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6AC0" w:rsidRDefault="00EA6AC0">
      <w:pPr>
        <w:pStyle w:val="dazhangjie"/>
        <w:rPr>
          <w:b/>
          <w:bCs/>
          <w:color w:val="000000"/>
        </w:rPr>
      </w:pPr>
    </w:p>
    <w:p w:rsidR="00EA6AC0" w:rsidRDefault="00EA6AC0">
      <w:pPr>
        <w:pStyle w:val="dazhangjie"/>
        <w:rPr>
          <w:b/>
          <w:bCs/>
          <w:color w:val="000000"/>
        </w:rPr>
      </w:pPr>
    </w:p>
    <w:p w:rsidR="00EA6AC0" w:rsidRDefault="00EA6AC0">
      <w:pPr>
        <w:pStyle w:val="dazhangjie"/>
        <w:rPr>
          <w:b/>
          <w:bCs/>
          <w:color w:val="000000"/>
        </w:rPr>
      </w:pPr>
    </w:p>
    <w:p w:rsidR="00EA6AC0" w:rsidRDefault="00E80433">
      <w:pPr>
        <w:pStyle w:val="dazhangjie"/>
        <w:spacing w:before="240" w:after="120"/>
        <w:rPr>
          <w:rFonts w:ascii="黑体" w:eastAsia="黑体" w:hAnsi="黑体"/>
          <w:b/>
          <w:bCs/>
          <w:sz w:val="36"/>
        </w:rPr>
      </w:pPr>
      <w:r>
        <w:rPr>
          <w:rFonts w:ascii="黑体" w:eastAsia="黑体" w:hAnsi="黑体" w:hint="eastAsia"/>
          <w:b/>
          <w:bCs/>
          <w:sz w:val="36"/>
        </w:rPr>
        <w:t>南京银行珠联璧合致远平衡</w:t>
      </w:r>
      <w:r>
        <w:rPr>
          <w:rFonts w:ascii="黑体" w:eastAsia="黑体" w:hAnsi="黑体"/>
          <w:b/>
          <w:bCs/>
          <w:sz w:val="36"/>
        </w:rPr>
        <w:t>2009</w:t>
      </w:r>
      <w:r>
        <w:rPr>
          <w:rFonts w:ascii="黑体" w:eastAsia="黑体" w:hAnsi="黑体"/>
          <w:b/>
          <w:bCs/>
          <w:sz w:val="36"/>
        </w:rPr>
        <w:t>两年定开公募人民币理财产品</w:t>
      </w:r>
    </w:p>
    <w:p w:rsidR="00EA6AC0" w:rsidRDefault="00E80433">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EA6AC0" w:rsidRDefault="00EA6AC0">
      <w:pPr>
        <w:pStyle w:val="dazhangjie"/>
        <w:spacing w:before="240" w:after="120"/>
        <w:rPr>
          <w:rFonts w:ascii="黑体" w:eastAsia="黑体" w:hAnsi="黑体"/>
          <w:b/>
          <w:bCs/>
          <w:color w:val="000000"/>
          <w:sz w:val="36"/>
        </w:rPr>
      </w:pPr>
    </w:p>
    <w:p w:rsidR="00EA6AC0" w:rsidRDefault="00EA6AC0">
      <w:pPr>
        <w:pStyle w:val="dazhangjie"/>
        <w:spacing w:before="240" w:after="120"/>
        <w:rPr>
          <w:rFonts w:ascii="黑体" w:eastAsia="黑体" w:hAnsi="黑体"/>
          <w:b/>
          <w:bCs/>
          <w:color w:val="000000"/>
          <w:sz w:val="36"/>
        </w:rPr>
      </w:pPr>
    </w:p>
    <w:p w:rsidR="00EA6AC0" w:rsidRDefault="00EA6AC0">
      <w:pPr>
        <w:pStyle w:val="dazhangjie"/>
        <w:spacing w:before="240" w:after="120"/>
        <w:rPr>
          <w:rFonts w:ascii="黑体" w:eastAsia="黑体" w:hAnsi="黑体"/>
          <w:b/>
          <w:bCs/>
          <w:color w:val="000000"/>
          <w:sz w:val="36"/>
        </w:rPr>
      </w:pPr>
    </w:p>
    <w:p w:rsidR="00EA6AC0" w:rsidRDefault="00EA6AC0">
      <w:pPr>
        <w:pStyle w:val="dazhangjie"/>
        <w:spacing w:before="240" w:after="120"/>
        <w:rPr>
          <w:rFonts w:ascii="黑体" w:eastAsia="黑体" w:hAnsi="黑体"/>
          <w:b/>
          <w:bCs/>
          <w:color w:val="000000"/>
          <w:sz w:val="36"/>
        </w:rPr>
      </w:pPr>
    </w:p>
    <w:p w:rsidR="00EA6AC0" w:rsidRDefault="00EA6AC0">
      <w:pPr>
        <w:pStyle w:val="dazhangjie"/>
        <w:spacing w:before="240" w:after="120"/>
        <w:rPr>
          <w:rFonts w:ascii="黑体" w:eastAsia="黑体" w:hAnsi="黑体"/>
          <w:b/>
          <w:bCs/>
          <w:color w:val="000000"/>
          <w:sz w:val="36"/>
        </w:rPr>
      </w:pPr>
    </w:p>
    <w:p w:rsidR="00EA6AC0" w:rsidRDefault="00EA6AC0">
      <w:pPr>
        <w:pStyle w:val="dazhangjie"/>
        <w:spacing w:before="240" w:after="120"/>
        <w:rPr>
          <w:rFonts w:ascii="黑体" w:eastAsia="黑体" w:hAnsi="黑体"/>
          <w:b/>
          <w:bCs/>
          <w:color w:val="000000"/>
          <w:sz w:val="36"/>
        </w:rPr>
      </w:pPr>
    </w:p>
    <w:p w:rsidR="00EA6AC0" w:rsidRDefault="00EA6AC0">
      <w:pPr>
        <w:pStyle w:val="dazhangjie"/>
        <w:spacing w:before="240" w:after="120"/>
        <w:rPr>
          <w:rFonts w:ascii="黑体" w:eastAsia="黑体" w:hAnsi="黑体"/>
          <w:b/>
          <w:bCs/>
          <w:color w:val="000000"/>
          <w:sz w:val="36"/>
        </w:rPr>
      </w:pPr>
    </w:p>
    <w:p w:rsidR="00EA6AC0" w:rsidRDefault="00EA6AC0">
      <w:pPr>
        <w:pStyle w:val="dazhangjie"/>
        <w:spacing w:before="240" w:after="120"/>
        <w:rPr>
          <w:rFonts w:ascii="黑体" w:eastAsia="黑体" w:hAnsi="黑体"/>
          <w:b/>
          <w:bCs/>
          <w:color w:val="000000"/>
          <w:sz w:val="36"/>
        </w:rPr>
      </w:pPr>
    </w:p>
    <w:p w:rsidR="00EA6AC0" w:rsidRDefault="00EA6AC0">
      <w:pPr>
        <w:pStyle w:val="dazhangjie"/>
        <w:spacing w:before="240" w:after="120"/>
        <w:ind w:left="0"/>
        <w:jc w:val="both"/>
        <w:rPr>
          <w:rFonts w:ascii="黑体" w:eastAsia="黑体" w:hAnsi="黑体"/>
          <w:b/>
          <w:bCs/>
          <w:color w:val="000000"/>
          <w:sz w:val="36"/>
        </w:rPr>
      </w:pPr>
    </w:p>
    <w:p w:rsidR="00EA6AC0" w:rsidRDefault="00E80433">
      <w:pPr>
        <w:pStyle w:val="dazhangjie"/>
        <w:spacing w:before="240" w:after="120"/>
        <w:ind w:firstLineChars="1100" w:firstLine="2640"/>
        <w:jc w:val="both"/>
        <w:rPr>
          <w:color w:val="000000"/>
        </w:rPr>
      </w:pPr>
      <w:r>
        <w:rPr>
          <w:rFonts w:hint="eastAsia"/>
          <w:color w:val="000000"/>
        </w:rPr>
        <w:t>产品</w:t>
      </w:r>
      <w:r>
        <w:rPr>
          <w:color w:val="000000"/>
        </w:rPr>
        <w:t>管理人</w:t>
      </w:r>
      <w:r>
        <w:rPr>
          <w:color w:val="000000"/>
        </w:rPr>
        <w:t>:</w:t>
      </w:r>
      <w:r>
        <w:rPr>
          <w:rFonts w:hint="eastAsia"/>
        </w:rPr>
        <w:t xml:space="preserve"> </w:t>
      </w:r>
      <w:r>
        <w:rPr>
          <w:rFonts w:hint="eastAsia"/>
        </w:rPr>
        <w:t>南京银行股份有限公司</w:t>
      </w:r>
    </w:p>
    <w:p w:rsidR="00EA6AC0" w:rsidRDefault="00E80433">
      <w:pPr>
        <w:pStyle w:val="dazhangjie"/>
        <w:spacing w:before="240" w:after="120"/>
        <w:ind w:firstLineChars="1100" w:firstLine="2640"/>
        <w:jc w:val="both"/>
        <w:rPr>
          <w:color w:val="000000"/>
        </w:rPr>
      </w:pPr>
      <w:r>
        <w:rPr>
          <w:rFonts w:hint="eastAsia"/>
          <w:color w:val="000000"/>
        </w:rPr>
        <w:t>产品</w:t>
      </w:r>
      <w:r>
        <w:rPr>
          <w:color w:val="000000"/>
        </w:rPr>
        <w:t>托管人</w:t>
      </w:r>
      <w:r>
        <w:rPr>
          <w:color w:val="000000"/>
        </w:rPr>
        <w:t xml:space="preserve">: </w:t>
      </w:r>
      <w:r>
        <w:t>南京银行股份有限公司</w:t>
      </w:r>
    </w:p>
    <w:p w:rsidR="00EA6AC0" w:rsidRDefault="00EA6AC0">
      <w:pPr>
        <w:widowControl/>
        <w:jc w:val="left"/>
        <w:rPr>
          <w:rFonts w:ascii="宋体" w:hAnsi="宋体" w:cs="宋体"/>
          <w:color w:val="000000"/>
          <w:kern w:val="0"/>
          <w:sz w:val="24"/>
          <w:szCs w:val="24"/>
        </w:rPr>
        <w:sectPr w:rsidR="00EA6AC0">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EA6AC0" w:rsidRDefault="00EA6AC0">
      <w:pPr>
        <w:widowControl/>
        <w:jc w:val="left"/>
        <w:rPr>
          <w:rFonts w:ascii="宋体" w:hAnsi="宋体" w:cs="宋体"/>
          <w:color w:val="000000"/>
          <w:kern w:val="0"/>
          <w:sz w:val="24"/>
          <w:szCs w:val="24"/>
        </w:rPr>
      </w:pPr>
    </w:p>
    <w:p w:rsidR="00EA6AC0" w:rsidRDefault="00E80433">
      <w:pPr>
        <w:pStyle w:val="dazhangjie"/>
        <w:rPr>
          <w:color w:val="000000"/>
        </w:rPr>
      </w:pPr>
      <w:r>
        <w:rPr>
          <w:rFonts w:hAnsi="Calibri" w:hint="eastAsia"/>
          <w:b/>
          <w:color w:val="000000"/>
        </w:rPr>
        <w:t>§</w:t>
      </w:r>
      <w:r>
        <w:rPr>
          <w:rFonts w:hAnsi="Calibri" w:hint="eastAsia"/>
          <w:b/>
          <w:color w:val="000000"/>
        </w:rPr>
        <w:t xml:space="preserve">1 </w:t>
      </w:r>
      <w:r>
        <w:rPr>
          <w:rFonts w:hAnsi="Calibri" w:hint="eastAsia"/>
          <w:b/>
          <w:color w:val="000000"/>
        </w:rPr>
        <w:t>产品概况</w:t>
      </w:r>
    </w:p>
    <w:p w:rsidR="00EA6AC0" w:rsidRDefault="00EA6AC0">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EA6AC0">
        <w:tc>
          <w:tcPr>
            <w:tcW w:w="2811" w:type="dxa"/>
            <w:tcBorders>
              <w:top w:val="single" w:sz="8" w:space="0" w:color="000000"/>
              <w:left w:val="single" w:sz="8" w:space="0" w:color="000000"/>
              <w:bottom w:val="single" w:sz="6" w:space="0" w:color="000000"/>
              <w:right w:val="single" w:sz="8" w:space="0" w:color="000000"/>
            </w:tcBorders>
            <w:vAlign w:val="center"/>
          </w:tcPr>
          <w:p w:rsidR="00EA6AC0" w:rsidRDefault="00E80433">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EA6AC0" w:rsidRDefault="00E80433">
            <w:pPr>
              <w:pStyle w:val="biaogeleft"/>
              <w:wordWrap w:val="0"/>
              <w:rPr>
                <w:color w:val="000000"/>
              </w:rPr>
            </w:pPr>
            <w:r>
              <w:rPr>
                <w:rFonts w:hint="eastAsia"/>
              </w:rPr>
              <w:t>南京银行珠联璧合致远平衡</w:t>
            </w:r>
            <w:r>
              <w:rPr>
                <w:rFonts w:hint="eastAsia"/>
              </w:rPr>
              <w:t>2009</w:t>
            </w:r>
            <w:r>
              <w:rPr>
                <w:rFonts w:hint="eastAsia"/>
              </w:rPr>
              <w:t>两年定开公募人民币理财产品</w:t>
            </w:r>
          </w:p>
        </w:tc>
      </w:tr>
      <w:tr w:rsidR="00EA6AC0">
        <w:tc>
          <w:tcPr>
            <w:tcW w:w="2811" w:type="dxa"/>
            <w:tcBorders>
              <w:top w:val="single" w:sz="8" w:space="0" w:color="000000"/>
              <w:left w:val="single" w:sz="8" w:space="0" w:color="000000"/>
              <w:bottom w:val="single" w:sz="6" w:space="0" w:color="000000"/>
              <w:right w:val="single" w:sz="8" w:space="0" w:color="000000"/>
            </w:tcBorders>
            <w:vAlign w:val="center"/>
          </w:tcPr>
          <w:p w:rsidR="00EA6AC0" w:rsidRDefault="00E80433">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EA6AC0" w:rsidRDefault="00E80433">
            <w:pPr>
              <w:pStyle w:val="biaogeleft"/>
              <w:wordWrap w:val="0"/>
            </w:pPr>
            <w:r>
              <w:t>C1086920000039</w:t>
            </w:r>
            <w:r>
              <w:rPr>
                <w:rFonts w:hint="eastAsia"/>
              </w:rPr>
              <w:t>（投资者可依据该编码在中国理财网</w:t>
            </w:r>
            <w:r>
              <w:rPr>
                <w:rFonts w:hint="eastAsia"/>
              </w:rPr>
              <w:t>www.chinawealth.com.cn</w:t>
            </w:r>
            <w:r>
              <w:rPr>
                <w:rFonts w:hint="eastAsia"/>
              </w:rPr>
              <w:t>查询理财产品相关信息）</w:t>
            </w:r>
          </w:p>
        </w:tc>
      </w:tr>
      <w:tr w:rsidR="00EA6AC0">
        <w:tc>
          <w:tcPr>
            <w:tcW w:w="2811" w:type="dxa"/>
            <w:tcBorders>
              <w:top w:val="single" w:sz="8" w:space="0" w:color="000000"/>
              <w:left w:val="single" w:sz="8" w:space="0" w:color="000000"/>
              <w:bottom w:val="single" w:sz="6" w:space="0" w:color="000000"/>
              <w:right w:val="single" w:sz="8" w:space="0" w:color="000000"/>
            </w:tcBorders>
            <w:vAlign w:val="center"/>
          </w:tcPr>
          <w:p w:rsidR="00EA6AC0" w:rsidRDefault="00E80433">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EA6AC0" w:rsidRDefault="00E80433">
            <w:pPr>
              <w:pStyle w:val="biaogeleft"/>
              <w:wordWrap w:val="0"/>
              <w:rPr>
                <w:color w:val="000000"/>
              </w:rPr>
            </w:pPr>
            <w:r>
              <w:rPr>
                <w:rFonts w:hint="eastAsia"/>
              </w:rPr>
              <w:t>开放式</w:t>
            </w:r>
            <w:r>
              <w:rPr>
                <w:rFonts w:hint="eastAsia"/>
              </w:rPr>
              <w:t>净值型</w:t>
            </w:r>
          </w:p>
        </w:tc>
      </w:tr>
      <w:tr w:rsidR="00EA6AC0">
        <w:tc>
          <w:tcPr>
            <w:tcW w:w="2811" w:type="dxa"/>
            <w:tcBorders>
              <w:top w:val="single" w:sz="8" w:space="0" w:color="000000"/>
              <w:left w:val="single" w:sz="8" w:space="0" w:color="000000"/>
              <w:bottom w:val="single" w:sz="6" w:space="0" w:color="000000"/>
              <w:right w:val="single" w:sz="8" w:space="0" w:color="000000"/>
            </w:tcBorders>
            <w:vAlign w:val="center"/>
          </w:tcPr>
          <w:p w:rsidR="00EA6AC0" w:rsidRDefault="00617251">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EA6AC0" w:rsidRDefault="00E80433">
            <w:pPr>
              <w:pStyle w:val="biaogeleft"/>
              <w:wordWrap w:val="0"/>
              <w:rPr>
                <w:color w:val="000000"/>
              </w:rPr>
            </w:pPr>
            <w:r>
              <w:rPr>
                <w:rFonts w:hint="eastAsia"/>
              </w:rPr>
              <w:t>2020</w:t>
            </w:r>
            <w:r>
              <w:rPr>
                <w:rFonts w:hint="eastAsia"/>
              </w:rPr>
              <w:t>年</w:t>
            </w:r>
            <w:r>
              <w:rPr>
                <w:rFonts w:hint="eastAsia"/>
              </w:rPr>
              <w:t>09</w:t>
            </w:r>
            <w:r>
              <w:rPr>
                <w:rFonts w:hint="eastAsia"/>
              </w:rPr>
              <w:t>月</w:t>
            </w:r>
            <w:r>
              <w:rPr>
                <w:rFonts w:hint="eastAsia"/>
              </w:rPr>
              <w:t>24</w:t>
            </w:r>
            <w:r>
              <w:rPr>
                <w:rFonts w:hint="eastAsia"/>
              </w:rPr>
              <w:t>日</w:t>
            </w:r>
          </w:p>
        </w:tc>
      </w:tr>
      <w:tr w:rsidR="00EA6AC0">
        <w:tc>
          <w:tcPr>
            <w:tcW w:w="2811" w:type="dxa"/>
            <w:tcBorders>
              <w:top w:val="single" w:sz="8" w:space="0" w:color="000000"/>
              <w:left w:val="single" w:sz="8" w:space="0" w:color="000000"/>
              <w:bottom w:val="single" w:sz="6" w:space="0" w:color="000000"/>
              <w:right w:val="single" w:sz="8" w:space="0" w:color="000000"/>
            </w:tcBorders>
            <w:vAlign w:val="center"/>
          </w:tcPr>
          <w:p w:rsidR="00EA6AC0" w:rsidRDefault="00E80433">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EA6AC0" w:rsidRDefault="00E80433">
            <w:pPr>
              <w:pStyle w:val="biaogeleft"/>
              <w:wordWrap w:val="0"/>
              <w:rPr>
                <w:color w:val="000000"/>
                <w:highlight w:val="yellow"/>
              </w:rPr>
            </w:pPr>
            <w:r>
              <w:rPr>
                <w:rFonts w:hint="eastAsia"/>
              </w:rPr>
              <w:t>125,760,000.00</w:t>
            </w:r>
            <w:r>
              <w:rPr>
                <w:rFonts w:hint="eastAsia"/>
              </w:rPr>
              <w:t>份</w:t>
            </w:r>
          </w:p>
        </w:tc>
      </w:tr>
      <w:tr w:rsidR="00EA6AC0">
        <w:tc>
          <w:tcPr>
            <w:tcW w:w="2811" w:type="dxa"/>
            <w:tcBorders>
              <w:top w:val="single" w:sz="8" w:space="0" w:color="000000"/>
              <w:left w:val="single" w:sz="8" w:space="0" w:color="000000"/>
              <w:bottom w:val="single" w:sz="6" w:space="0" w:color="000000"/>
              <w:right w:val="single" w:sz="8" w:space="0" w:color="000000"/>
            </w:tcBorders>
            <w:vAlign w:val="center"/>
          </w:tcPr>
          <w:p w:rsidR="00EA6AC0" w:rsidRDefault="00E80433">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EA6AC0" w:rsidRDefault="00E80433">
            <w:pPr>
              <w:pStyle w:val="biaogeleft"/>
              <w:wordWrap w:val="0"/>
              <w:rPr>
                <w:color w:val="000000"/>
              </w:rPr>
            </w:pPr>
            <w:r>
              <w:rPr>
                <w:rFonts w:hint="eastAsia"/>
                <w:color w:val="000000"/>
              </w:rPr>
              <w:t>100.29%</w:t>
            </w:r>
          </w:p>
        </w:tc>
      </w:tr>
      <w:tr w:rsidR="00EA6AC0">
        <w:tc>
          <w:tcPr>
            <w:tcW w:w="2811" w:type="dxa"/>
            <w:tcBorders>
              <w:top w:val="single" w:sz="8" w:space="0" w:color="000000"/>
              <w:left w:val="single" w:sz="8" w:space="0" w:color="000000"/>
              <w:bottom w:val="single" w:sz="6" w:space="0" w:color="000000"/>
              <w:right w:val="single" w:sz="8" w:space="0" w:color="000000"/>
            </w:tcBorders>
            <w:vAlign w:val="center"/>
          </w:tcPr>
          <w:p w:rsidR="00EA6AC0" w:rsidRDefault="00E80433">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EA6AC0" w:rsidRDefault="00E80433">
            <w:pPr>
              <w:pStyle w:val="biaogeleft"/>
              <w:wordWrap w:val="0"/>
              <w:rPr>
                <w:color w:val="000000"/>
              </w:rPr>
            </w:pPr>
            <w:r>
              <w:rPr>
                <w:rFonts w:hint="eastAsia"/>
                <w:color w:val="000000"/>
              </w:rPr>
              <w:t>南方基金管理股份有限公司、中欧基金管理有限公司、朱雀基金管理有限公司、兴证全球基金管理有限公司、鹏华基金管理有限公司</w:t>
            </w:r>
          </w:p>
        </w:tc>
      </w:tr>
      <w:tr w:rsidR="00EA6AC0">
        <w:tc>
          <w:tcPr>
            <w:tcW w:w="2811" w:type="dxa"/>
            <w:tcBorders>
              <w:top w:val="single" w:sz="8" w:space="0" w:color="000000"/>
              <w:left w:val="single" w:sz="8" w:space="0" w:color="000000"/>
              <w:bottom w:val="single" w:sz="6" w:space="0" w:color="000000"/>
              <w:right w:val="single" w:sz="8" w:space="0" w:color="000000"/>
            </w:tcBorders>
            <w:vAlign w:val="center"/>
          </w:tcPr>
          <w:p w:rsidR="00EA6AC0" w:rsidRDefault="00E80433">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EA6AC0" w:rsidRDefault="00E80433">
            <w:pPr>
              <w:pStyle w:val="biaogeleft"/>
              <w:wordWrap w:val="0"/>
              <w:rPr>
                <w:color w:val="000000"/>
              </w:rPr>
            </w:pPr>
            <w:r>
              <w:rPr>
                <w:rFonts w:hint="eastAsia"/>
              </w:rPr>
              <w:t>南京银行股份有限公司</w:t>
            </w:r>
          </w:p>
        </w:tc>
      </w:tr>
      <w:tr w:rsidR="00EA6AC0">
        <w:tc>
          <w:tcPr>
            <w:tcW w:w="2811" w:type="dxa"/>
            <w:tcBorders>
              <w:top w:val="single" w:sz="8" w:space="0" w:color="000000"/>
              <w:left w:val="single" w:sz="8" w:space="0" w:color="000000"/>
              <w:bottom w:val="single" w:sz="6" w:space="0" w:color="000000"/>
              <w:right w:val="single" w:sz="8" w:space="0" w:color="000000"/>
            </w:tcBorders>
            <w:vAlign w:val="center"/>
          </w:tcPr>
          <w:p w:rsidR="00EA6AC0" w:rsidRDefault="00E80433">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EA6AC0" w:rsidRDefault="00E80433">
            <w:pPr>
              <w:pStyle w:val="biaogeleft"/>
              <w:wordWrap w:val="0"/>
              <w:rPr>
                <w:color w:val="000000"/>
              </w:rPr>
            </w:pPr>
            <w:r>
              <w:rPr>
                <w:rFonts w:hint="eastAsia"/>
              </w:rPr>
              <w:t>南京银行股份有限公司</w:t>
            </w:r>
          </w:p>
        </w:tc>
      </w:tr>
    </w:tbl>
    <w:p w:rsidR="00EA6AC0" w:rsidRDefault="00EA6AC0">
      <w:pPr>
        <w:widowControl/>
        <w:jc w:val="left"/>
        <w:rPr>
          <w:rFonts w:ascii="宋体" w:hAnsi="宋体" w:cs="宋体"/>
          <w:color w:val="000000"/>
          <w:kern w:val="0"/>
          <w:sz w:val="24"/>
          <w:szCs w:val="24"/>
        </w:rPr>
      </w:pPr>
    </w:p>
    <w:p w:rsidR="00EA6AC0" w:rsidRDefault="00EA6AC0">
      <w:pPr>
        <w:pStyle w:val="dazhangjie"/>
        <w:rPr>
          <w:rFonts w:hAnsi="Calibri"/>
          <w:b/>
          <w:color w:val="000000"/>
        </w:rPr>
      </w:pPr>
    </w:p>
    <w:p w:rsidR="00EA6AC0" w:rsidRDefault="00E80433">
      <w:pPr>
        <w:pStyle w:val="dazhangjie"/>
        <w:rPr>
          <w:color w:val="000000"/>
        </w:rPr>
      </w:pPr>
      <w:r>
        <w:rPr>
          <w:rFonts w:hAnsi="Calibri" w:hint="eastAsia"/>
          <w:b/>
          <w:color w:val="000000"/>
        </w:rPr>
        <w:t>§</w:t>
      </w:r>
      <w:r>
        <w:rPr>
          <w:rFonts w:hAnsi="Calibri" w:hint="eastAsia"/>
          <w:b/>
          <w:color w:val="000000"/>
        </w:rPr>
        <w:t xml:space="preserve">2  </w:t>
      </w:r>
      <w:r>
        <w:rPr>
          <w:rFonts w:hAnsi="Calibri" w:hint="eastAsia"/>
          <w:b/>
          <w:color w:val="000000"/>
        </w:rPr>
        <w:t>主要财务指标和产品净值表现</w:t>
      </w:r>
    </w:p>
    <w:p w:rsidR="00EA6AC0" w:rsidRDefault="00EA6AC0">
      <w:pPr>
        <w:widowControl/>
        <w:jc w:val="left"/>
        <w:rPr>
          <w:rFonts w:ascii="宋体" w:hAnsi="宋体" w:cs="宋体"/>
          <w:color w:val="000000"/>
          <w:kern w:val="0"/>
          <w:sz w:val="24"/>
          <w:szCs w:val="24"/>
        </w:rPr>
      </w:pPr>
    </w:p>
    <w:p w:rsidR="00EA6AC0" w:rsidRDefault="00E80433">
      <w:pPr>
        <w:pStyle w:val="zhangjiep"/>
        <w:rPr>
          <w:color w:val="000000"/>
        </w:rPr>
      </w:pPr>
      <w:r>
        <w:rPr>
          <w:rFonts w:hint="eastAsia"/>
          <w:b/>
          <w:bCs/>
          <w:color w:val="000000"/>
        </w:rPr>
        <w:t xml:space="preserve">2.1 </w:t>
      </w:r>
      <w:r>
        <w:rPr>
          <w:rFonts w:hint="eastAsia"/>
          <w:b/>
          <w:bCs/>
          <w:color w:val="000000"/>
        </w:rPr>
        <w:t>主要财务指标</w:t>
      </w:r>
    </w:p>
    <w:p w:rsidR="00EA6AC0" w:rsidRDefault="00E80433">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EA6AC0">
        <w:tc>
          <w:tcPr>
            <w:tcW w:w="5220" w:type="dxa"/>
            <w:tcBorders>
              <w:top w:val="single" w:sz="8" w:space="0" w:color="000000"/>
              <w:left w:val="single" w:sz="8" w:space="0" w:color="000000"/>
              <w:bottom w:val="single" w:sz="6" w:space="0" w:color="000000"/>
              <w:right w:val="single" w:sz="8" w:space="0" w:color="000000"/>
            </w:tcBorders>
            <w:vAlign w:val="center"/>
          </w:tcPr>
          <w:p w:rsidR="00EA6AC0" w:rsidRDefault="00E80433">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EA6AC0" w:rsidRDefault="00E80433">
            <w:pPr>
              <w:pStyle w:val="dazhangjie"/>
              <w:spacing w:before="240" w:after="120"/>
              <w:rPr>
                <w:color w:val="000000"/>
              </w:rPr>
            </w:pPr>
            <w:r>
              <w:t>报告期（</w:t>
            </w:r>
            <w:r>
              <w:rPr>
                <w:rFonts w:hint="eastAsia"/>
              </w:rPr>
              <w:t>2020</w:t>
            </w:r>
            <w:r>
              <w:rPr>
                <w:rFonts w:hint="eastAsia"/>
              </w:rPr>
              <w:t>年</w:t>
            </w:r>
            <w:r>
              <w:rPr>
                <w:rFonts w:hint="eastAsia"/>
              </w:rPr>
              <w:t>09</w:t>
            </w:r>
            <w:r>
              <w:rPr>
                <w:rFonts w:hint="eastAsia"/>
              </w:rPr>
              <w:t>月</w:t>
            </w:r>
            <w:r>
              <w:rPr>
                <w:rFonts w:hint="eastAsia"/>
              </w:rPr>
              <w:t>24</w:t>
            </w:r>
            <w:r>
              <w:rPr>
                <w:rFonts w:hint="eastAsia"/>
              </w:rPr>
              <w:t>日</w:t>
            </w:r>
            <w:r>
              <w:t>- 2020</w:t>
            </w:r>
            <w:r>
              <w:t>年</w:t>
            </w:r>
            <w:r>
              <w:t>12</w:t>
            </w:r>
            <w:r>
              <w:t>月</w:t>
            </w:r>
            <w:r>
              <w:t>31</w:t>
            </w:r>
            <w:r>
              <w:t>日）</w:t>
            </w:r>
          </w:p>
        </w:tc>
      </w:tr>
      <w:tr w:rsidR="00EA6AC0">
        <w:tc>
          <w:tcPr>
            <w:tcW w:w="5220" w:type="dxa"/>
            <w:tcBorders>
              <w:top w:val="single" w:sz="8" w:space="0" w:color="000000"/>
              <w:left w:val="single" w:sz="8" w:space="0" w:color="000000"/>
              <w:bottom w:val="single" w:sz="6" w:space="0" w:color="000000"/>
              <w:right w:val="single" w:sz="8" w:space="0" w:color="000000"/>
            </w:tcBorders>
            <w:vAlign w:val="center"/>
          </w:tcPr>
          <w:p w:rsidR="00EA6AC0" w:rsidRDefault="00E80433">
            <w:pPr>
              <w:pStyle w:val="a8"/>
              <w:wordWrap w:val="0"/>
              <w:rPr>
                <w:color w:val="000000"/>
              </w:rPr>
            </w:pPr>
            <w:r>
              <w:rPr>
                <w:rFonts w:hint="eastAsia"/>
                <w:shd w:val="clear" w:color="auto" w:fill="FFFFFF"/>
              </w:rPr>
              <w:t>1</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EA6AC0" w:rsidRDefault="00E80433">
            <w:pPr>
              <w:pStyle w:val="biaogeright"/>
              <w:jc w:val="center"/>
              <w:rPr>
                <w:color w:val="000000"/>
                <w:highlight w:val="yellow"/>
              </w:rPr>
            </w:pPr>
            <w:r>
              <w:rPr>
                <w:rFonts w:hint="eastAsia"/>
              </w:rPr>
              <w:t>128,120,369.12</w:t>
            </w:r>
          </w:p>
        </w:tc>
      </w:tr>
      <w:tr w:rsidR="00EA6AC0">
        <w:tc>
          <w:tcPr>
            <w:tcW w:w="5220" w:type="dxa"/>
            <w:tcBorders>
              <w:top w:val="single" w:sz="8" w:space="0" w:color="000000"/>
              <w:left w:val="single" w:sz="8" w:space="0" w:color="000000"/>
              <w:bottom w:val="single" w:sz="6" w:space="0" w:color="000000"/>
              <w:right w:val="single" w:sz="8" w:space="0" w:color="000000"/>
            </w:tcBorders>
            <w:vAlign w:val="center"/>
          </w:tcPr>
          <w:p w:rsidR="00EA6AC0" w:rsidRDefault="00E80433">
            <w:pPr>
              <w:pStyle w:val="a8"/>
              <w:wordWrap w:val="0"/>
              <w:rPr>
                <w:color w:val="000000"/>
              </w:rPr>
            </w:pPr>
            <w:r>
              <w:rPr>
                <w:rFonts w:hint="eastAsia"/>
                <w:shd w:val="clear" w:color="auto" w:fill="FFFFFF"/>
              </w:rPr>
              <w:t>2</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EA6AC0" w:rsidRDefault="00E80433">
            <w:pPr>
              <w:pStyle w:val="biaogeright"/>
              <w:jc w:val="center"/>
              <w:rPr>
                <w:color w:val="000000"/>
                <w:highlight w:val="yellow"/>
              </w:rPr>
            </w:pPr>
            <w:r>
              <w:rPr>
                <w:rFonts w:hint="eastAsia"/>
              </w:rPr>
              <w:t>1.0188</w:t>
            </w:r>
          </w:p>
        </w:tc>
      </w:tr>
      <w:tr w:rsidR="00EA6AC0">
        <w:tc>
          <w:tcPr>
            <w:tcW w:w="5220" w:type="dxa"/>
            <w:tcBorders>
              <w:top w:val="single" w:sz="8" w:space="0" w:color="000000"/>
              <w:left w:val="single" w:sz="8" w:space="0" w:color="000000"/>
              <w:bottom w:val="single" w:sz="6" w:space="0" w:color="000000"/>
              <w:right w:val="single" w:sz="8" w:space="0" w:color="000000"/>
            </w:tcBorders>
            <w:vAlign w:val="center"/>
          </w:tcPr>
          <w:p w:rsidR="00EA6AC0" w:rsidRDefault="00E80433">
            <w:pPr>
              <w:pStyle w:val="a8"/>
              <w:wordWrap w:val="0"/>
              <w:rPr>
                <w:color w:val="000000"/>
              </w:rPr>
            </w:pPr>
            <w:r>
              <w:rPr>
                <w:rFonts w:hint="eastAsia"/>
                <w:shd w:val="clear" w:color="auto" w:fill="FFFFFF"/>
              </w:rPr>
              <w:t>3</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EA6AC0" w:rsidRDefault="00E80433">
            <w:pPr>
              <w:pStyle w:val="biaogeright"/>
              <w:jc w:val="center"/>
              <w:rPr>
                <w:color w:val="000000"/>
                <w:highlight w:val="yellow"/>
              </w:rPr>
            </w:pPr>
            <w:r>
              <w:rPr>
                <w:rFonts w:hint="eastAsia"/>
              </w:rPr>
              <w:t>1.0188</w:t>
            </w:r>
          </w:p>
        </w:tc>
      </w:tr>
      <w:tr w:rsidR="00EA6AC0">
        <w:tc>
          <w:tcPr>
            <w:tcW w:w="5220" w:type="dxa"/>
            <w:vAlign w:val="center"/>
          </w:tcPr>
          <w:p w:rsidR="00EA6AC0" w:rsidRDefault="00EA6AC0">
            <w:pPr>
              <w:widowControl/>
              <w:jc w:val="left"/>
              <w:rPr>
                <w:rFonts w:ascii="宋体" w:hAnsi="宋体" w:cs="宋体"/>
                <w:color w:val="000000"/>
                <w:kern w:val="0"/>
                <w:sz w:val="24"/>
                <w:szCs w:val="24"/>
              </w:rPr>
            </w:pPr>
          </w:p>
        </w:tc>
        <w:tc>
          <w:tcPr>
            <w:tcW w:w="3825" w:type="dxa"/>
            <w:vAlign w:val="center"/>
          </w:tcPr>
          <w:p w:rsidR="00EA6AC0" w:rsidRDefault="00EA6AC0">
            <w:pPr>
              <w:widowControl/>
              <w:jc w:val="left"/>
              <w:rPr>
                <w:color w:val="000000"/>
                <w:kern w:val="0"/>
                <w:sz w:val="20"/>
                <w:szCs w:val="20"/>
              </w:rPr>
            </w:pPr>
          </w:p>
        </w:tc>
      </w:tr>
    </w:tbl>
    <w:p w:rsidR="00EA6AC0" w:rsidRDefault="00E80433">
      <w:pPr>
        <w:pStyle w:val="zhangjiep"/>
        <w:rPr>
          <w:color w:val="000000"/>
        </w:rPr>
      </w:pPr>
      <w:r>
        <w:rPr>
          <w:rFonts w:hint="eastAsia"/>
          <w:b/>
          <w:bCs/>
          <w:color w:val="000000"/>
        </w:rPr>
        <w:t xml:space="preserve">2.2 </w:t>
      </w:r>
      <w:r>
        <w:rPr>
          <w:rFonts w:hint="eastAsia"/>
          <w:b/>
          <w:bCs/>
          <w:color w:val="000000"/>
        </w:rPr>
        <w:t>产品净值表现</w:t>
      </w:r>
    </w:p>
    <w:p w:rsidR="00EA6AC0" w:rsidRDefault="00E80433">
      <w:pPr>
        <w:pStyle w:val="zhangjiep2"/>
        <w:rPr>
          <w:color w:val="000000"/>
        </w:rPr>
      </w:pPr>
      <w:r>
        <w:rPr>
          <w:rFonts w:hint="eastAsia"/>
          <w:b/>
          <w:bCs/>
          <w:color w:val="000000"/>
        </w:rPr>
        <w:t xml:space="preserve">2.2.1 </w:t>
      </w:r>
      <w:r>
        <w:rPr>
          <w:rFonts w:hint="eastAsia"/>
          <w:b/>
          <w:bCs/>
          <w:color w:val="000000"/>
        </w:rPr>
        <w:t>本报告期产品净值收益率及其与同期业绩比较基准收益率的比较</w:t>
      </w:r>
    </w:p>
    <w:tbl>
      <w:tblPr>
        <w:tblW w:w="9214" w:type="dxa"/>
        <w:tblInd w:w="108" w:type="dxa"/>
        <w:tblLayout w:type="fixed"/>
        <w:tblLook w:val="04A0"/>
      </w:tblPr>
      <w:tblGrid>
        <w:gridCol w:w="3969"/>
        <w:gridCol w:w="2268"/>
        <w:gridCol w:w="2977"/>
      </w:tblGrid>
      <w:tr w:rsidR="00EA6AC0">
        <w:trPr>
          <w:trHeight w:val="225"/>
        </w:trPr>
        <w:tc>
          <w:tcPr>
            <w:tcW w:w="3969" w:type="dxa"/>
            <w:tcBorders>
              <w:top w:val="single" w:sz="4" w:space="0" w:color="auto"/>
              <w:left w:val="single" w:sz="8" w:space="0" w:color="000000"/>
              <w:bottom w:val="single" w:sz="6" w:space="0" w:color="000000"/>
              <w:right w:val="single" w:sz="8" w:space="0" w:color="000000"/>
            </w:tcBorders>
            <w:vAlign w:val="center"/>
          </w:tcPr>
          <w:p w:rsidR="00EA6AC0" w:rsidRDefault="00E80433">
            <w:pPr>
              <w:pStyle w:val="biaogecenter"/>
              <w:wordWrap w:val="0"/>
              <w:rPr>
                <w:rFonts w:hAnsi="Calibri"/>
                <w:color w:val="000000"/>
              </w:rPr>
            </w:pPr>
            <w:r>
              <w:rPr>
                <w:rFonts w:hAnsi="Calibri" w:hint="eastAsia"/>
                <w:color w:val="000000"/>
              </w:rPr>
              <w:t>阶段</w:t>
            </w:r>
          </w:p>
        </w:tc>
        <w:tc>
          <w:tcPr>
            <w:tcW w:w="2268" w:type="dxa"/>
            <w:tcBorders>
              <w:top w:val="single" w:sz="4" w:space="0" w:color="auto"/>
              <w:left w:val="single" w:sz="8" w:space="0" w:color="000000"/>
              <w:bottom w:val="single" w:sz="6" w:space="0" w:color="000000"/>
              <w:right w:val="single" w:sz="4" w:space="0" w:color="auto"/>
            </w:tcBorders>
            <w:vAlign w:val="center"/>
          </w:tcPr>
          <w:p w:rsidR="00EA6AC0" w:rsidRDefault="00E80433">
            <w:pPr>
              <w:pStyle w:val="biaogecenter"/>
              <w:wordWrap w:val="0"/>
              <w:rPr>
                <w:rFonts w:hAnsi="Calibri"/>
                <w:color w:val="000000"/>
              </w:rPr>
            </w:pPr>
            <w:r>
              <w:rPr>
                <w:rFonts w:hAnsi="Calibri" w:hint="eastAsia"/>
                <w:color w:val="000000"/>
              </w:rPr>
              <w:t>净值收益率</w:t>
            </w:r>
          </w:p>
        </w:tc>
        <w:tc>
          <w:tcPr>
            <w:tcW w:w="2977" w:type="dxa"/>
            <w:tcBorders>
              <w:top w:val="single" w:sz="4" w:space="0" w:color="auto"/>
              <w:left w:val="single" w:sz="4" w:space="0" w:color="auto"/>
              <w:bottom w:val="single" w:sz="6" w:space="0" w:color="000000"/>
              <w:right w:val="single" w:sz="8" w:space="0" w:color="000000"/>
            </w:tcBorders>
            <w:vAlign w:val="center"/>
          </w:tcPr>
          <w:p w:rsidR="00EA6AC0" w:rsidRDefault="00E80433">
            <w:pPr>
              <w:pStyle w:val="biaogecenter"/>
              <w:wordWrap w:val="0"/>
              <w:rPr>
                <w:rFonts w:hAnsi="Calibri"/>
                <w:color w:val="000000"/>
              </w:rPr>
            </w:pPr>
            <w:r>
              <w:rPr>
                <w:rFonts w:hAnsi="Calibri" w:hint="eastAsia"/>
                <w:color w:val="000000"/>
              </w:rPr>
              <w:t>业绩比较基准收益率</w:t>
            </w:r>
          </w:p>
        </w:tc>
      </w:tr>
      <w:tr w:rsidR="00EA6AC0">
        <w:tc>
          <w:tcPr>
            <w:tcW w:w="3969" w:type="dxa"/>
            <w:tcBorders>
              <w:top w:val="single" w:sz="8" w:space="0" w:color="000000"/>
              <w:left w:val="single" w:sz="8" w:space="0" w:color="000000"/>
              <w:bottom w:val="single" w:sz="6" w:space="0" w:color="000000"/>
              <w:right w:val="single" w:sz="8" w:space="0" w:color="000000"/>
            </w:tcBorders>
            <w:vAlign w:val="center"/>
          </w:tcPr>
          <w:p w:rsidR="00EA6AC0" w:rsidRDefault="00E80433">
            <w:pPr>
              <w:pStyle w:val="biaogeleft"/>
              <w:wordWrap w:val="0"/>
              <w:rPr>
                <w:color w:val="000000"/>
              </w:rPr>
            </w:pPr>
            <w:r>
              <w:rPr>
                <w:rFonts w:hint="eastAsia"/>
              </w:rPr>
              <w:t>2020</w:t>
            </w:r>
            <w:r>
              <w:rPr>
                <w:rFonts w:hint="eastAsia"/>
              </w:rPr>
              <w:t>年</w:t>
            </w:r>
            <w:r>
              <w:rPr>
                <w:rFonts w:hint="eastAsia"/>
              </w:rPr>
              <w:t>09</w:t>
            </w:r>
            <w:r>
              <w:rPr>
                <w:rFonts w:hint="eastAsia"/>
              </w:rPr>
              <w:t>月</w:t>
            </w:r>
            <w:r>
              <w:rPr>
                <w:rFonts w:hint="eastAsia"/>
              </w:rPr>
              <w:t>24</w:t>
            </w:r>
            <w:r>
              <w:rPr>
                <w:rFonts w:hint="eastAsia"/>
              </w:rPr>
              <w:t>日</w:t>
            </w:r>
            <w:r>
              <w:t>- 2020</w:t>
            </w:r>
            <w:r>
              <w:t>年</w:t>
            </w:r>
            <w:r>
              <w:t>12</w:t>
            </w:r>
            <w:r>
              <w:t>月</w:t>
            </w:r>
            <w:r>
              <w:t>31</w:t>
            </w:r>
            <w:r>
              <w:t>日</w:t>
            </w:r>
          </w:p>
        </w:tc>
        <w:tc>
          <w:tcPr>
            <w:tcW w:w="2268" w:type="dxa"/>
            <w:tcBorders>
              <w:top w:val="single" w:sz="8" w:space="0" w:color="000000"/>
              <w:left w:val="single" w:sz="8" w:space="0" w:color="000000"/>
              <w:bottom w:val="single" w:sz="6" w:space="0" w:color="000000"/>
              <w:right w:val="single" w:sz="4" w:space="0" w:color="auto"/>
            </w:tcBorders>
            <w:vAlign w:val="center"/>
          </w:tcPr>
          <w:p w:rsidR="00EA6AC0" w:rsidRDefault="00E80433">
            <w:pPr>
              <w:pStyle w:val="biaogeright"/>
              <w:wordWrap w:val="0"/>
              <w:ind w:left="0"/>
              <w:rPr>
                <w:color w:val="000000"/>
              </w:rPr>
            </w:pPr>
            <w:r>
              <w:rPr>
                <w:rFonts w:hint="eastAsia"/>
                <w:color w:val="000000"/>
              </w:rPr>
              <w:t>6.93%</w:t>
            </w:r>
          </w:p>
        </w:tc>
        <w:tc>
          <w:tcPr>
            <w:tcW w:w="2977" w:type="dxa"/>
            <w:tcBorders>
              <w:top w:val="single" w:sz="8" w:space="0" w:color="000000"/>
              <w:left w:val="single" w:sz="4" w:space="0" w:color="auto"/>
              <w:bottom w:val="single" w:sz="6" w:space="0" w:color="000000"/>
              <w:right w:val="single" w:sz="8" w:space="0" w:color="000000"/>
            </w:tcBorders>
            <w:vAlign w:val="center"/>
          </w:tcPr>
          <w:p w:rsidR="00EA6AC0" w:rsidRDefault="00E80433">
            <w:pPr>
              <w:pStyle w:val="biaogeright"/>
              <w:wordWrap w:val="0"/>
              <w:ind w:left="0"/>
              <w:rPr>
                <w:color w:val="000000"/>
              </w:rPr>
            </w:pPr>
            <w:r>
              <w:rPr>
                <w:rFonts w:hAnsi="Calibri" w:hint="eastAsia"/>
                <w:color w:val="000000"/>
              </w:rPr>
              <w:t>8.23%</w:t>
            </w:r>
          </w:p>
        </w:tc>
      </w:tr>
    </w:tbl>
    <w:p w:rsidR="00EA6AC0" w:rsidRDefault="00E80433">
      <w:pPr>
        <w:widowControl/>
        <w:jc w:val="left"/>
        <w:rPr>
          <w:rFonts w:ascii="宋体" w:hAnsi="宋体" w:cs="宋体"/>
          <w:color w:val="000000"/>
          <w:kern w:val="0"/>
          <w:sz w:val="24"/>
          <w:szCs w:val="24"/>
        </w:rPr>
      </w:pPr>
      <w:r>
        <w:t>注：收益率为年化收益率</w:t>
      </w:r>
    </w:p>
    <w:p w:rsidR="00EA6AC0" w:rsidRDefault="00EA6AC0">
      <w:pPr>
        <w:widowControl/>
        <w:jc w:val="left"/>
        <w:rPr>
          <w:rFonts w:ascii="宋体" w:hAnsi="宋体" w:cs="宋体"/>
          <w:color w:val="000000"/>
          <w:kern w:val="0"/>
          <w:sz w:val="24"/>
          <w:szCs w:val="24"/>
        </w:rPr>
      </w:pPr>
    </w:p>
    <w:p w:rsidR="00EA6AC0" w:rsidRDefault="00E80433">
      <w:pPr>
        <w:pStyle w:val="dazhangjie"/>
        <w:rPr>
          <w:color w:val="000000"/>
        </w:rPr>
      </w:pPr>
      <w:r>
        <w:rPr>
          <w:rFonts w:hAnsi="Calibri" w:hint="eastAsia"/>
          <w:b/>
          <w:color w:val="000000"/>
        </w:rPr>
        <w:t>§</w:t>
      </w:r>
      <w:r>
        <w:rPr>
          <w:rFonts w:hAnsi="Calibri" w:hint="eastAsia"/>
          <w:b/>
          <w:color w:val="000000"/>
        </w:rPr>
        <w:t xml:space="preserve">3  </w:t>
      </w:r>
      <w:r>
        <w:rPr>
          <w:rFonts w:hAnsi="Calibri" w:hint="eastAsia"/>
          <w:b/>
          <w:color w:val="000000"/>
        </w:rPr>
        <w:t>管理人报告</w:t>
      </w:r>
    </w:p>
    <w:p w:rsidR="00EA6AC0" w:rsidRDefault="00E80433">
      <w:pPr>
        <w:pStyle w:val="a8"/>
        <w:rPr>
          <w:b/>
          <w:color w:val="000000"/>
        </w:rPr>
      </w:pPr>
      <w:r>
        <w:rPr>
          <w:rFonts w:hint="eastAsia"/>
          <w:b/>
          <w:color w:val="000000"/>
        </w:rPr>
        <w:lastRenderedPageBreak/>
        <w:t>3</w:t>
      </w:r>
      <w:r>
        <w:rPr>
          <w:b/>
          <w:color w:val="000000"/>
        </w:rPr>
        <w:t>.</w:t>
      </w:r>
      <w:r>
        <w:rPr>
          <w:rFonts w:hint="eastAsia"/>
          <w:b/>
          <w:color w:val="000000"/>
        </w:rPr>
        <w:t>1</w:t>
      </w:r>
      <w:r>
        <w:rPr>
          <w:b/>
          <w:color w:val="000000"/>
        </w:rPr>
        <w:t xml:space="preserve"> </w:t>
      </w:r>
      <w:r>
        <w:rPr>
          <w:b/>
          <w:color w:val="000000"/>
        </w:rPr>
        <w:t>报告期内</w:t>
      </w:r>
      <w:r>
        <w:rPr>
          <w:rFonts w:hint="eastAsia"/>
          <w:b/>
          <w:color w:val="000000"/>
        </w:rPr>
        <w:t>产品</w:t>
      </w:r>
      <w:r>
        <w:rPr>
          <w:b/>
          <w:color w:val="000000"/>
        </w:rPr>
        <w:t>的投资策略和运作分析</w:t>
      </w:r>
    </w:p>
    <w:p w:rsidR="00EA6AC0" w:rsidRDefault="00E80433" w:rsidP="00617251">
      <w:pPr>
        <w:widowControl/>
        <w:adjustRightInd w:val="0"/>
        <w:snapToGrid w:val="0"/>
        <w:spacing w:afterLines="50" w:line="360" w:lineRule="auto"/>
        <w:ind w:firstLineChars="200" w:firstLine="48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四季度，国内宏观经济指标延续修复态势。需求端稳步恢复，社零持续正增长，</w:t>
      </w:r>
      <w:r>
        <w:rPr>
          <w:rFonts w:asciiTheme="minorEastAsia" w:eastAsiaTheme="minorEastAsia" w:hAnsiTheme="minorEastAsia" w:hint="eastAsia"/>
          <w:kern w:val="0"/>
          <w:sz w:val="24"/>
          <w:szCs w:val="24"/>
        </w:rPr>
        <w:t>11</w:t>
      </w:r>
      <w:r>
        <w:rPr>
          <w:rFonts w:asciiTheme="minorEastAsia" w:eastAsiaTheme="minorEastAsia" w:hAnsiTheme="minorEastAsia" w:hint="eastAsia"/>
          <w:kern w:val="0"/>
          <w:sz w:val="24"/>
          <w:szCs w:val="24"/>
        </w:rPr>
        <w:t>月剔除价格影响后的社消增速为</w:t>
      </w:r>
      <w:r>
        <w:rPr>
          <w:rFonts w:asciiTheme="minorEastAsia" w:eastAsiaTheme="minorEastAsia" w:hAnsiTheme="minorEastAsia" w:hint="eastAsia"/>
          <w:kern w:val="0"/>
          <w:sz w:val="24"/>
          <w:szCs w:val="24"/>
        </w:rPr>
        <w:t>6.1%</w:t>
      </w:r>
      <w:r>
        <w:rPr>
          <w:rFonts w:asciiTheme="minorEastAsia" w:eastAsiaTheme="minorEastAsia" w:hAnsiTheme="minorEastAsia" w:hint="eastAsia"/>
          <w:kern w:val="0"/>
          <w:sz w:val="24"/>
          <w:szCs w:val="24"/>
        </w:rPr>
        <w:t>，已强于去年同期水平。出口持续强劲，同比增速逐月提高。制造业投资加快恢复，民间投资由负转正，支持固定资产投资回升。内需向好、外需强劲对工业生产形成有效拉动，</w:t>
      </w:r>
      <w:r>
        <w:rPr>
          <w:rFonts w:asciiTheme="minorEastAsia" w:eastAsiaTheme="minorEastAsia" w:hAnsiTheme="minorEastAsia" w:hint="eastAsia"/>
          <w:kern w:val="0"/>
          <w:sz w:val="24"/>
          <w:szCs w:val="24"/>
        </w:rPr>
        <w:t>11</w:t>
      </w:r>
      <w:r>
        <w:rPr>
          <w:rFonts w:asciiTheme="minorEastAsia" w:eastAsiaTheme="minorEastAsia" w:hAnsiTheme="minorEastAsia" w:hint="eastAsia"/>
          <w:kern w:val="0"/>
          <w:sz w:val="24"/>
          <w:szCs w:val="24"/>
        </w:rPr>
        <w:t>月工业增加值当月同比上升至</w:t>
      </w:r>
      <w:r>
        <w:rPr>
          <w:rFonts w:asciiTheme="minorEastAsia" w:eastAsiaTheme="minorEastAsia" w:hAnsiTheme="minorEastAsia" w:hint="eastAsia"/>
          <w:kern w:val="0"/>
          <w:sz w:val="24"/>
          <w:szCs w:val="24"/>
        </w:rPr>
        <w:t>7%</w:t>
      </w:r>
      <w:r>
        <w:rPr>
          <w:rFonts w:asciiTheme="minorEastAsia" w:eastAsiaTheme="minorEastAsia" w:hAnsiTheme="minorEastAsia" w:hint="eastAsia"/>
          <w:kern w:val="0"/>
          <w:sz w:val="24"/>
          <w:szCs w:val="24"/>
        </w:rPr>
        <w:t>。</w:t>
      </w:r>
    </w:p>
    <w:p w:rsidR="00EA6AC0" w:rsidRDefault="00E80433" w:rsidP="00617251">
      <w:pPr>
        <w:widowControl/>
        <w:adjustRightInd w:val="0"/>
        <w:snapToGrid w:val="0"/>
        <w:spacing w:afterLines="50" w:line="360" w:lineRule="auto"/>
        <w:ind w:firstLineChars="200" w:firstLine="48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市场方面，四季度债券走势一波三折。</w:t>
      </w:r>
      <w:r>
        <w:rPr>
          <w:rFonts w:asciiTheme="minorEastAsia" w:eastAsiaTheme="minorEastAsia" w:hAnsiTheme="minorEastAsia" w:hint="eastAsia"/>
          <w:kern w:val="0"/>
          <w:sz w:val="24"/>
          <w:szCs w:val="24"/>
        </w:rPr>
        <w:t>10</w:t>
      </w:r>
      <w:r>
        <w:rPr>
          <w:rFonts w:asciiTheme="minorEastAsia" w:eastAsiaTheme="minorEastAsia" w:hAnsiTheme="minorEastAsia" w:hint="eastAsia"/>
          <w:kern w:val="0"/>
          <w:sz w:val="24"/>
          <w:szCs w:val="24"/>
        </w:rPr>
        <w:t>月，受益于基本面偏弱、资金面宽松及债券供给减少，利率债呈现出一定的交易性机会。但</w:t>
      </w:r>
      <w:r>
        <w:rPr>
          <w:rFonts w:asciiTheme="minorEastAsia" w:eastAsiaTheme="minorEastAsia" w:hAnsiTheme="minorEastAsia" w:hint="eastAsia"/>
          <w:kern w:val="0"/>
          <w:sz w:val="24"/>
          <w:szCs w:val="24"/>
        </w:rPr>
        <w:t>11</w:t>
      </w:r>
      <w:r>
        <w:rPr>
          <w:rFonts w:asciiTheme="minorEastAsia" w:eastAsiaTheme="minorEastAsia" w:hAnsiTheme="minorEastAsia" w:hint="eastAsia"/>
          <w:kern w:val="0"/>
          <w:sz w:val="24"/>
          <w:szCs w:val="24"/>
        </w:rPr>
        <w:t>月永煤违约风险事件导致信用市场出现普遍性调整，信用利差持续走阔，利率市场被动受牵连。而在随着央行</w:t>
      </w:r>
      <w:r>
        <w:rPr>
          <w:rFonts w:asciiTheme="minorEastAsia" w:eastAsiaTheme="minorEastAsia" w:hAnsiTheme="minorEastAsia" w:hint="eastAsia"/>
          <w:kern w:val="0"/>
          <w:sz w:val="24"/>
          <w:szCs w:val="24"/>
        </w:rPr>
        <w:t>1</w:t>
      </w:r>
      <w:r>
        <w:rPr>
          <w:rFonts w:asciiTheme="minorEastAsia" w:eastAsiaTheme="minorEastAsia" w:hAnsiTheme="minorEastAsia"/>
          <w:kern w:val="0"/>
          <w:sz w:val="24"/>
          <w:szCs w:val="24"/>
        </w:rPr>
        <w:t>1</w:t>
      </w:r>
      <w:r>
        <w:rPr>
          <w:rFonts w:asciiTheme="minorEastAsia" w:eastAsiaTheme="minorEastAsia" w:hAnsiTheme="minorEastAsia" w:hint="eastAsia"/>
          <w:kern w:val="0"/>
          <w:sz w:val="24"/>
          <w:szCs w:val="24"/>
        </w:rPr>
        <w:t>月末超预期续作</w:t>
      </w:r>
      <w:r>
        <w:rPr>
          <w:rFonts w:asciiTheme="minorEastAsia" w:eastAsiaTheme="minorEastAsia" w:hAnsiTheme="minorEastAsia" w:hint="eastAsia"/>
          <w:kern w:val="0"/>
          <w:sz w:val="24"/>
          <w:szCs w:val="24"/>
        </w:rPr>
        <w:t>MLF</w:t>
      </w:r>
      <w:r>
        <w:rPr>
          <w:rFonts w:asciiTheme="minorEastAsia" w:eastAsiaTheme="minorEastAsia" w:hAnsiTheme="minorEastAsia" w:hint="eastAsia"/>
          <w:kern w:val="0"/>
          <w:sz w:val="24"/>
          <w:szCs w:val="24"/>
        </w:rPr>
        <w:t>，</w:t>
      </w:r>
      <w:r>
        <w:rPr>
          <w:rFonts w:asciiTheme="minorEastAsia" w:eastAsiaTheme="minorEastAsia" w:hAnsiTheme="minorEastAsia" w:hint="eastAsia"/>
          <w:kern w:val="0"/>
          <w:sz w:val="24"/>
          <w:szCs w:val="24"/>
        </w:rPr>
        <w:t>12</w:t>
      </w:r>
      <w:r>
        <w:rPr>
          <w:rFonts w:asciiTheme="minorEastAsia" w:eastAsiaTheme="minorEastAsia" w:hAnsiTheme="minorEastAsia" w:hint="eastAsia"/>
          <w:kern w:val="0"/>
          <w:sz w:val="24"/>
          <w:szCs w:val="24"/>
        </w:rPr>
        <w:t>月超额续作</w:t>
      </w:r>
      <w:r>
        <w:rPr>
          <w:rFonts w:asciiTheme="minorEastAsia" w:eastAsiaTheme="minorEastAsia" w:hAnsiTheme="minorEastAsia" w:hint="eastAsia"/>
          <w:kern w:val="0"/>
          <w:sz w:val="24"/>
          <w:szCs w:val="24"/>
        </w:rPr>
        <w:t>MLF</w:t>
      </w:r>
      <w:r>
        <w:rPr>
          <w:rFonts w:asciiTheme="minorEastAsia" w:eastAsiaTheme="minorEastAsia" w:hAnsiTheme="minorEastAsia" w:hint="eastAsia"/>
          <w:kern w:val="0"/>
          <w:sz w:val="24"/>
          <w:szCs w:val="24"/>
        </w:rPr>
        <w:t>，市场对宽松的预期增强，债市走强，四季度</w:t>
      </w:r>
      <w:r>
        <w:rPr>
          <w:rFonts w:asciiTheme="minorEastAsia" w:eastAsiaTheme="minorEastAsia" w:hAnsiTheme="minorEastAsia" w:hint="eastAsia"/>
          <w:kern w:val="0"/>
          <w:sz w:val="24"/>
          <w:szCs w:val="24"/>
        </w:rPr>
        <w:t>10</w:t>
      </w:r>
      <w:r>
        <w:rPr>
          <w:rFonts w:asciiTheme="minorEastAsia" w:eastAsiaTheme="minorEastAsia" w:hAnsiTheme="minorEastAsia" w:hint="eastAsia"/>
          <w:kern w:val="0"/>
          <w:sz w:val="24"/>
          <w:szCs w:val="24"/>
        </w:rPr>
        <w:t>年期国开收益率总体下行</w:t>
      </w:r>
      <w:r>
        <w:rPr>
          <w:rFonts w:asciiTheme="minorEastAsia" w:eastAsiaTheme="minorEastAsia" w:hAnsiTheme="minorEastAsia" w:hint="eastAsia"/>
          <w:kern w:val="0"/>
          <w:sz w:val="24"/>
          <w:szCs w:val="24"/>
        </w:rPr>
        <w:t>19bp</w:t>
      </w:r>
      <w:r>
        <w:rPr>
          <w:rFonts w:asciiTheme="minorEastAsia" w:eastAsiaTheme="minorEastAsia" w:hAnsiTheme="minorEastAsia" w:hint="eastAsia"/>
          <w:kern w:val="0"/>
          <w:sz w:val="24"/>
          <w:szCs w:val="24"/>
        </w:rPr>
        <w:t>至</w:t>
      </w:r>
      <w:r>
        <w:rPr>
          <w:rFonts w:asciiTheme="minorEastAsia" w:eastAsiaTheme="minorEastAsia" w:hAnsiTheme="minorEastAsia" w:hint="eastAsia"/>
          <w:kern w:val="0"/>
          <w:sz w:val="24"/>
          <w:szCs w:val="24"/>
        </w:rPr>
        <w:t>3.53%</w:t>
      </w:r>
      <w:r>
        <w:rPr>
          <w:rFonts w:asciiTheme="minorEastAsia" w:eastAsiaTheme="minorEastAsia" w:hAnsiTheme="minorEastAsia" w:hint="eastAsia"/>
          <w:kern w:val="0"/>
          <w:sz w:val="24"/>
          <w:szCs w:val="24"/>
        </w:rPr>
        <w:t>。权益方面，在经历四个月左右的横盘震荡后，</w:t>
      </w:r>
      <w:r>
        <w:rPr>
          <w:rFonts w:asciiTheme="minorEastAsia" w:eastAsiaTheme="minorEastAsia" w:hAnsiTheme="minorEastAsia" w:hint="eastAsia"/>
          <w:kern w:val="0"/>
          <w:sz w:val="24"/>
          <w:szCs w:val="24"/>
        </w:rPr>
        <w:t>A</w:t>
      </w:r>
      <w:r>
        <w:rPr>
          <w:rFonts w:asciiTheme="minorEastAsia" w:eastAsiaTheme="minorEastAsia" w:hAnsiTheme="minorEastAsia" w:hint="eastAsia"/>
          <w:kern w:val="0"/>
          <w:sz w:val="24"/>
          <w:szCs w:val="24"/>
        </w:rPr>
        <w:t>股主要指数在</w:t>
      </w:r>
      <w:r>
        <w:rPr>
          <w:rFonts w:asciiTheme="minorEastAsia" w:eastAsiaTheme="minorEastAsia" w:hAnsiTheme="minorEastAsia" w:hint="eastAsia"/>
          <w:kern w:val="0"/>
          <w:sz w:val="24"/>
          <w:szCs w:val="24"/>
        </w:rPr>
        <w:t>2020</w:t>
      </w:r>
      <w:r>
        <w:rPr>
          <w:rFonts w:asciiTheme="minorEastAsia" w:eastAsiaTheme="minorEastAsia" w:hAnsiTheme="minorEastAsia" w:hint="eastAsia"/>
          <w:kern w:val="0"/>
          <w:sz w:val="24"/>
          <w:szCs w:val="24"/>
        </w:rPr>
        <w:t>年最后两个月均获得显著上涨。</w:t>
      </w:r>
      <w:r>
        <w:rPr>
          <w:rFonts w:asciiTheme="minorEastAsia" w:eastAsiaTheme="minorEastAsia" w:hAnsiTheme="minorEastAsia" w:hint="eastAsia"/>
          <w:kern w:val="0"/>
          <w:sz w:val="24"/>
          <w:szCs w:val="24"/>
        </w:rPr>
        <w:t>11</w:t>
      </w:r>
      <w:r>
        <w:rPr>
          <w:rFonts w:asciiTheme="minorEastAsia" w:eastAsiaTheme="minorEastAsia" w:hAnsiTheme="minorEastAsia" w:hint="eastAsia"/>
          <w:kern w:val="0"/>
          <w:sz w:val="24"/>
          <w:szCs w:val="24"/>
        </w:rPr>
        <w:t>月利率上行，市场一致预期经济复苏和流动性边际收紧的组合，顺周期板块</w:t>
      </w:r>
      <w:r>
        <w:rPr>
          <w:rFonts w:asciiTheme="minorEastAsia" w:eastAsiaTheme="minorEastAsia" w:hAnsiTheme="minorEastAsia" w:hint="eastAsia"/>
          <w:kern w:val="0"/>
          <w:sz w:val="24"/>
          <w:szCs w:val="24"/>
        </w:rPr>
        <w:t>大涨，核心成长赛道有所调整；</w:t>
      </w:r>
      <w:r>
        <w:rPr>
          <w:rFonts w:asciiTheme="minorEastAsia" w:eastAsiaTheme="minorEastAsia" w:hAnsiTheme="minorEastAsia" w:hint="eastAsia"/>
          <w:kern w:val="0"/>
          <w:sz w:val="24"/>
          <w:szCs w:val="24"/>
        </w:rPr>
        <w:t>12</w:t>
      </w:r>
      <w:r>
        <w:rPr>
          <w:rFonts w:asciiTheme="minorEastAsia" w:eastAsiaTheme="minorEastAsia" w:hAnsiTheme="minorEastAsia" w:hint="eastAsia"/>
          <w:kern w:val="0"/>
          <w:sz w:val="24"/>
          <w:szCs w:val="24"/>
        </w:rPr>
        <w:t>月随着流动性转宽和美股新能源映射的加强，新能源汽车等成长板块趋势增强大幅上涨。</w:t>
      </w:r>
    </w:p>
    <w:p w:rsidR="00EA6AC0" w:rsidRDefault="00E80433" w:rsidP="00617251">
      <w:pPr>
        <w:widowControl/>
        <w:adjustRightInd w:val="0"/>
        <w:snapToGrid w:val="0"/>
        <w:spacing w:afterLines="50" w:line="360" w:lineRule="auto"/>
        <w:ind w:firstLineChars="200" w:firstLine="48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四季度，本系列产品坚持稳健的投资策略，随着净值安全垫的积累看，逐步提升权益资产的配资比例，在控制净值波动的基础上努力提升产品收益。展望未来，国内经济内生动力增强，但境外疫情和世界经济形势依然复杂严峻，短期央行或呵护资金面，流动性压力不大，但随着春节后随着经济活动展开，通胀压力显露，各项经济指标上行，债市调整压力增加。固收方面，本系列产品主要配置高票息固收资产，并采用持有到期策略，无惧债券短期波动。</w:t>
      </w:r>
      <w:r>
        <w:rPr>
          <w:rFonts w:asciiTheme="minorEastAsia" w:eastAsiaTheme="minorEastAsia" w:hAnsiTheme="minorEastAsia" w:hint="eastAsia"/>
          <w:kern w:val="0"/>
          <w:sz w:val="24"/>
          <w:szCs w:val="24"/>
        </w:rPr>
        <w:t>权益方面，我们看好</w:t>
      </w:r>
      <w:r>
        <w:rPr>
          <w:rFonts w:asciiTheme="minorEastAsia" w:eastAsiaTheme="minorEastAsia" w:hAnsiTheme="minorEastAsia" w:hint="eastAsia"/>
          <w:kern w:val="0"/>
          <w:sz w:val="24"/>
          <w:szCs w:val="24"/>
        </w:rPr>
        <w:t>A</w:t>
      </w:r>
      <w:r>
        <w:rPr>
          <w:rFonts w:asciiTheme="minorEastAsia" w:eastAsiaTheme="minorEastAsia" w:hAnsiTheme="minorEastAsia" w:hint="eastAsia"/>
          <w:kern w:val="0"/>
          <w:sz w:val="24"/>
          <w:szCs w:val="24"/>
        </w:rPr>
        <w:t>股市场的长期配置价值，但同时关注到短期结构化高估带来的估值消化需求，</w:t>
      </w:r>
      <w:r>
        <w:rPr>
          <w:rFonts w:asciiTheme="minorEastAsia" w:eastAsiaTheme="minorEastAsia" w:hAnsiTheme="minorEastAsia" w:hint="eastAsia"/>
          <w:kern w:val="0"/>
          <w:sz w:val="24"/>
          <w:szCs w:val="24"/>
        </w:rPr>
        <w:t>2</w:t>
      </w:r>
      <w:r>
        <w:rPr>
          <w:rFonts w:asciiTheme="minorEastAsia" w:eastAsiaTheme="minorEastAsia" w:hAnsiTheme="minorEastAsia"/>
          <w:kern w:val="0"/>
          <w:sz w:val="24"/>
          <w:szCs w:val="24"/>
        </w:rPr>
        <w:t>021</w:t>
      </w:r>
      <w:r>
        <w:rPr>
          <w:rFonts w:asciiTheme="minorEastAsia" w:eastAsiaTheme="minorEastAsia" w:hAnsiTheme="minorEastAsia" w:hint="eastAsia"/>
          <w:kern w:val="0"/>
          <w:sz w:val="24"/>
          <w:szCs w:val="24"/>
        </w:rPr>
        <w:t>年选股难度将有所增加。本系列产品将通过合理的参与模式设计，分享权益市场发展红利，并着重通过精选合作机构把握市场的阿尔法机会。</w:t>
      </w:r>
    </w:p>
    <w:p w:rsidR="00EA6AC0" w:rsidRDefault="00E80433">
      <w:pPr>
        <w:pStyle w:val="a8"/>
        <w:rPr>
          <w:b/>
          <w:color w:val="000000"/>
        </w:rPr>
      </w:pPr>
      <w:r>
        <w:rPr>
          <w:rFonts w:hint="eastAsia"/>
          <w:b/>
          <w:color w:val="000000"/>
        </w:rPr>
        <w:t>3.</w:t>
      </w:r>
      <w:r>
        <w:rPr>
          <w:rFonts w:hint="eastAsia"/>
          <w:b/>
          <w:color w:val="000000"/>
        </w:rPr>
        <w:t>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EA6AC0" w:rsidRDefault="00E80433" w:rsidP="00617251">
      <w:pPr>
        <w:widowControl/>
        <w:adjustRightInd w:val="0"/>
        <w:snapToGrid w:val="0"/>
        <w:spacing w:afterLines="50" w:line="360" w:lineRule="auto"/>
        <w:ind w:firstLineChars="200" w:firstLine="48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本系列产品作为混合型理财，持仓资产以固收资产为主，但权益资产最高也能达到</w:t>
      </w:r>
      <w:r>
        <w:rPr>
          <w:rFonts w:asciiTheme="minorEastAsia" w:eastAsiaTheme="minorEastAsia" w:hAnsiTheme="minorEastAsia" w:hint="eastAsia"/>
          <w:kern w:val="0"/>
          <w:sz w:val="24"/>
          <w:szCs w:val="24"/>
        </w:rPr>
        <w:t>30%</w:t>
      </w:r>
      <w:r>
        <w:rPr>
          <w:rFonts w:asciiTheme="minorEastAsia" w:eastAsiaTheme="minorEastAsia" w:hAnsiTheme="minorEastAsia" w:hint="eastAsia"/>
          <w:kern w:val="0"/>
          <w:sz w:val="24"/>
          <w:szCs w:val="24"/>
        </w:rPr>
        <w:t>，投资操作中采用尽量分散的方式构建权益基金组合，力争将权益资产的波动控制在合理的范围内。</w:t>
      </w:r>
    </w:p>
    <w:p w:rsidR="00EA6AC0" w:rsidRDefault="00E80433">
      <w:pPr>
        <w:pStyle w:val="a8"/>
        <w:rPr>
          <w:color w:val="000000"/>
        </w:rPr>
      </w:pPr>
      <w:r>
        <w:rPr>
          <w:rFonts w:hint="eastAsia"/>
          <w:b/>
          <w:color w:val="000000"/>
        </w:rPr>
        <w:t>3</w:t>
      </w:r>
      <w:r>
        <w:rPr>
          <w:b/>
          <w:color w:val="000000"/>
        </w:rPr>
        <w:t>.</w:t>
      </w:r>
      <w:r>
        <w:rPr>
          <w:rFonts w:hint="eastAsia"/>
          <w:b/>
          <w:color w:val="000000"/>
        </w:rPr>
        <w:t>3</w:t>
      </w:r>
      <w:r>
        <w:rPr>
          <w:b/>
          <w:color w:val="000000"/>
        </w:rPr>
        <w:t xml:space="preserve"> </w:t>
      </w:r>
      <w:r>
        <w:rPr>
          <w:b/>
          <w:color w:val="000000"/>
        </w:rPr>
        <w:t>报告期内</w:t>
      </w:r>
      <w:r>
        <w:rPr>
          <w:rFonts w:hint="eastAsia"/>
          <w:b/>
          <w:color w:val="000000"/>
        </w:rPr>
        <w:t>产品</w:t>
      </w:r>
      <w:r>
        <w:rPr>
          <w:b/>
          <w:color w:val="000000"/>
        </w:rPr>
        <w:t>的业绩表现</w:t>
      </w:r>
    </w:p>
    <w:p w:rsidR="00EA6AC0" w:rsidRDefault="00E80433">
      <w:pPr>
        <w:pStyle w:val="biaogeleft"/>
        <w:spacing w:line="360" w:lineRule="auto"/>
        <w:ind w:firstLine="480"/>
        <w:rPr>
          <w:color w:val="000000"/>
          <w:highlight w:val="yellow"/>
        </w:rPr>
      </w:pPr>
      <w:r>
        <w:rPr>
          <w:rFonts w:hint="eastAsia"/>
        </w:rPr>
        <w:t>截至报告期末</w:t>
      </w:r>
      <w:r>
        <w:rPr>
          <w:rFonts w:hint="eastAsia"/>
        </w:rPr>
        <w:t>,</w:t>
      </w:r>
      <w:r>
        <w:rPr>
          <w:rFonts w:hint="eastAsia"/>
        </w:rPr>
        <w:t>本产品份额净值为</w:t>
      </w:r>
      <w:r>
        <w:rPr>
          <w:rFonts w:hint="eastAsia"/>
        </w:rPr>
        <w:t>1.0188</w:t>
      </w:r>
      <w:r>
        <w:rPr>
          <w:rFonts w:hint="eastAsia"/>
        </w:rPr>
        <w:t>元</w:t>
      </w:r>
      <w:r>
        <w:rPr>
          <w:rFonts w:hint="eastAsia"/>
          <w:color w:val="000000"/>
        </w:rPr>
        <w:t>。</w:t>
      </w:r>
    </w:p>
    <w:p w:rsidR="00EA6AC0" w:rsidRDefault="00EA6AC0">
      <w:pPr>
        <w:widowControl/>
        <w:jc w:val="left"/>
        <w:rPr>
          <w:rFonts w:ascii="宋体" w:hAnsi="宋体" w:cs="宋体"/>
          <w:color w:val="000000"/>
          <w:kern w:val="0"/>
          <w:sz w:val="24"/>
          <w:szCs w:val="24"/>
        </w:rPr>
      </w:pPr>
    </w:p>
    <w:p w:rsidR="00EA6AC0" w:rsidRDefault="00E80433">
      <w:pPr>
        <w:pStyle w:val="dazhangjie"/>
        <w:rPr>
          <w:rFonts w:hAnsi="Calibri"/>
          <w:b/>
          <w:color w:val="000000"/>
        </w:rPr>
      </w:pPr>
      <w:r>
        <w:rPr>
          <w:rFonts w:hAnsi="Calibri" w:hint="eastAsia"/>
          <w:b/>
          <w:color w:val="000000"/>
        </w:rPr>
        <w:t>§</w:t>
      </w:r>
      <w:r>
        <w:rPr>
          <w:rFonts w:hAnsi="Calibri" w:hint="eastAsia"/>
          <w:b/>
          <w:color w:val="000000"/>
        </w:rPr>
        <w:t>4</w:t>
      </w:r>
      <w:r>
        <w:rPr>
          <w:rFonts w:hAnsi="Calibri" w:hint="eastAsia"/>
          <w:b/>
          <w:color w:val="000000"/>
        </w:rPr>
        <w:t xml:space="preserve">  </w:t>
      </w:r>
      <w:r>
        <w:rPr>
          <w:rFonts w:hAnsi="Calibri" w:hint="eastAsia"/>
          <w:b/>
          <w:color w:val="000000"/>
        </w:rPr>
        <w:t>托管人报告</w:t>
      </w:r>
    </w:p>
    <w:p w:rsidR="00EA6AC0" w:rsidRDefault="00EA6AC0">
      <w:pPr>
        <w:pStyle w:val="dazhangjie"/>
        <w:rPr>
          <w:rFonts w:hAnsi="Calibri"/>
          <w:b/>
          <w:color w:val="000000"/>
        </w:rPr>
      </w:pPr>
    </w:p>
    <w:p w:rsidR="00EA6AC0" w:rsidRDefault="00E80433">
      <w:pPr>
        <w:pStyle w:val="a8"/>
        <w:rPr>
          <w:b/>
          <w:color w:val="000000"/>
        </w:rPr>
      </w:pPr>
      <w:bookmarkStart w:id="0" w:name="_Hlk65779940"/>
      <w:r>
        <w:rPr>
          <w:rFonts w:hint="eastAsia"/>
          <w:b/>
          <w:color w:val="000000"/>
        </w:rPr>
        <w:t>4.1</w:t>
      </w:r>
      <w:r>
        <w:rPr>
          <w:rFonts w:hint="eastAsia"/>
          <w:b/>
          <w:color w:val="000000"/>
        </w:rPr>
        <w:t>报告期内托管人遵规守信情况声明</w:t>
      </w:r>
    </w:p>
    <w:p w:rsidR="00EA6AC0" w:rsidRDefault="00E80433">
      <w:pPr>
        <w:pStyle w:val="biaogeleft"/>
        <w:spacing w:line="360" w:lineRule="auto"/>
        <w:ind w:firstLineChars="200" w:firstLine="480"/>
        <w:rPr>
          <w:rFonts w:cs="Times New Roman"/>
          <w:b/>
          <w:color w:val="000000"/>
        </w:rPr>
      </w:pPr>
      <w:r>
        <w:rPr>
          <w:rFonts w:hint="eastAsia"/>
        </w:rPr>
        <w:t>在托管本产品的过程中，本产品托管人南京银行股份有限公司严格遵守《商业银行理财业务监督管理办法》相关法律法规的规定以及产品说明书的约定，对本产品管理人—南京银行股份有限公司</w:t>
      </w:r>
      <w:r>
        <w:rPr>
          <w:rFonts w:hint="eastAsia"/>
        </w:rPr>
        <w:t>2020</w:t>
      </w:r>
      <w:r>
        <w:rPr>
          <w:rFonts w:hint="eastAsia"/>
        </w:rPr>
        <w:t>年</w:t>
      </w:r>
      <w:r>
        <w:rPr>
          <w:rFonts w:hint="eastAsia"/>
        </w:rPr>
        <w:t>09</w:t>
      </w:r>
      <w:r>
        <w:rPr>
          <w:rFonts w:hint="eastAsia"/>
        </w:rPr>
        <w:t>月</w:t>
      </w:r>
      <w:r>
        <w:rPr>
          <w:rFonts w:hint="eastAsia"/>
        </w:rPr>
        <w:t>24</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日产品的投资运作，进行了认真、独立的会计核算和必要的投资监督，认真履行了托管人的义务，没有从事任何损害产品份额持有人利益的行为。</w:t>
      </w:r>
    </w:p>
    <w:p w:rsidR="00EA6AC0" w:rsidRDefault="00E80433">
      <w:pPr>
        <w:pStyle w:val="biaogeleft"/>
        <w:spacing w:line="360" w:lineRule="auto"/>
        <w:rPr>
          <w:rFonts w:cs="Times New Roman"/>
          <w:b/>
          <w:color w:val="000000"/>
        </w:rPr>
      </w:pPr>
      <w:r>
        <w:rPr>
          <w:rFonts w:cs="Times New Roman" w:hint="eastAsia"/>
          <w:b/>
          <w:color w:val="000000"/>
        </w:rPr>
        <w:t xml:space="preserve">4.2 </w:t>
      </w:r>
      <w:r>
        <w:rPr>
          <w:rFonts w:cs="Times New Roman" w:hint="eastAsia"/>
          <w:b/>
          <w:color w:val="000000"/>
        </w:rPr>
        <w:t>托管人对报告期内投资运作遵规守信、净值计算、利润分配等情况的说明</w:t>
      </w:r>
    </w:p>
    <w:p w:rsidR="00EA6AC0" w:rsidRDefault="00E80433">
      <w:pPr>
        <w:pStyle w:val="biaogeleft"/>
        <w:spacing w:line="360" w:lineRule="auto"/>
        <w:ind w:firstLine="480"/>
        <w:rPr>
          <w:color w:val="000000"/>
        </w:rPr>
      </w:pPr>
      <w:r>
        <w:rPr>
          <w:rFonts w:hint="eastAsia"/>
        </w:rPr>
        <w:t>本托管人认为，南京银行股份有限公司在本</w:t>
      </w:r>
      <w:r>
        <w:rPr>
          <w:rFonts w:hint="eastAsia"/>
        </w:rPr>
        <w:t>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EA6AC0" w:rsidRDefault="00E80433">
      <w:pPr>
        <w:pStyle w:val="biaogeleft"/>
        <w:spacing w:line="360" w:lineRule="auto"/>
        <w:rPr>
          <w:rFonts w:cs="Times New Roman"/>
          <w:b/>
          <w:color w:val="000000"/>
        </w:rPr>
      </w:pPr>
      <w:r>
        <w:rPr>
          <w:rFonts w:cs="Times New Roman" w:hint="eastAsia"/>
          <w:b/>
          <w:color w:val="000000"/>
        </w:rPr>
        <w:t xml:space="preserve">4.3 </w:t>
      </w:r>
      <w:r>
        <w:rPr>
          <w:rFonts w:cs="Times New Roman" w:hint="eastAsia"/>
          <w:b/>
          <w:color w:val="000000"/>
        </w:rPr>
        <w:t>托管人对本</w:t>
      </w:r>
      <w:bookmarkStart w:id="1" w:name="_GoBack"/>
      <w:bookmarkEnd w:id="1"/>
      <w:r>
        <w:rPr>
          <w:rFonts w:cs="Times New Roman" w:hint="eastAsia"/>
          <w:b/>
          <w:color w:val="000000"/>
        </w:rPr>
        <w:t>年度报告中财务信息等内容的真实、准确和完整发表意见</w:t>
      </w:r>
    </w:p>
    <w:p w:rsidR="00EA6AC0" w:rsidRDefault="00E80433">
      <w:pPr>
        <w:pStyle w:val="biaogeleft"/>
        <w:spacing w:line="360" w:lineRule="auto"/>
        <w:ind w:firstLine="480"/>
      </w:pPr>
      <w:r>
        <w:rPr>
          <w:rFonts w:hint="eastAsia"/>
        </w:rPr>
        <w:t>本托管人认为，南京银行股份有限公司的信息披露事务符合《商业银行理财业务监督管理办法》及其他相关法律法规的规定，产品管理人所编制和披露的本产品年度报告中的财务指标、净值表现、财务会计报告、投资组合报告等信息真实、</w:t>
      </w:r>
      <w:r>
        <w:rPr>
          <w:rFonts w:hint="eastAsia"/>
        </w:rPr>
        <w:t>准确、完整，未发现有损害产品持有人利益的行为。</w:t>
      </w:r>
      <w:bookmarkEnd w:id="0"/>
    </w:p>
    <w:p w:rsidR="00EA6AC0" w:rsidRDefault="00EA6AC0">
      <w:pPr>
        <w:pStyle w:val="biaogeleft"/>
        <w:spacing w:line="360" w:lineRule="auto"/>
        <w:ind w:firstLine="480"/>
        <w:rPr>
          <w:color w:val="000000"/>
        </w:rPr>
      </w:pPr>
    </w:p>
    <w:p w:rsidR="00EA6AC0" w:rsidRDefault="00E80433">
      <w:pPr>
        <w:pStyle w:val="dazhangjie"/>
      </w:pPr>
      <w:bookmarkStart w:id="2" w:name="_Toc15977845"/>
      <w:r>
        <w:rPr>
          <w:rFonts w:hAnsi="Calibri" w:hint="eastAsia"/>
          <w:b/>
          <w:color w:val="000000"/>
        </w:rPr>
        <w:t>§</w:t>
      </w:r>
      <w:r>
        <w:rPr>
          <w:rFonts w:hAnsi="Calibri" w:hint="eastAsia"/>
          <w:b/>
          <w:color w:val="000000"/>
        </w:rPr>
        <w:t xml:space="preserve">5 </w:t>
      </w:r>
      <w:r>
        <w:rPr>
          <w:rFonts w:hAnsi="Calibri" w:hint="eastAsia"/>
          <w:b/>
          <w:color w:val="000000"/>
        </w:rPr>
        <w:t>年度财务会计报告</w:t>
      </w:r>
      <w:r>
        <w:rPr>
          <w:rFonts w:hAnsi="Calibri" w:hint="eastAsia"/>
          <w:b/>
          <w:color w:val="000000"/>
        </w:rPr>
        <w:t>(</w:t>
      </w:r>
      <w:r>
        <w:rPr>
          <w:rFonts w:hAnsi="Calibri" w:hint="eastAsia"/>
          <w:b/>
          <w:color w:val="000000"/>
        </w:rPr>
        <w:t>未经审计</w:t>
      </w:r>
      <w:r>
        <w:rPr>
          <w:rFonts w:hAnsi="Calibri" w:hint="eastAsia"/>
          <w:b/>
          <w:color w:val="000000"/>
        </w:rPr>
        <w:t>)</w:t>
      </w:r>
      <w:bookmarkEnd w:id="2"/>
    </w:p>
    <w:p w:rsidR="00EA6AC0" w:rsidRDefault="00EA6AC0">
      <w:pPr>
        <w:widowControl/>
        <w:jc w:val="left"/>
        <w:rPr>
          <w:rFonts w:ascii="宋体" w:hAnsi="宋体" w:cs="宋体"/>
          <w:kern w:val="0"/>
          <w:sz w:val="24"/>
          <w:szCs w:val="24"/>
        </w:rPr>
      </w:pPr>
    </w:p>
    <w:p w:rsidR="00EA6AC0" w:rsidRDefault="00E80433">
      <w:pPr>
        <w:pStyle w:val="zhangjiep"/>
      </w:pPr>
      <w:bookmarkStart w:id="3" w:name="_Toc61271615"/>
      <w:r>
        <w:rPr>
          <w:rFonts w:hint="eastAsia"/>
          <w:b/>
          <w:bCs/>
        </w:rPr>
        <w:t xml:space="preserve">5.1 </w:t>
      </w:r>
      <w:r>
        <w:rPr>
          <w:rFonts w:hint="eastAsia"/>
          <w:b/>
          <w:bCs/>
        </w:rPr>
        <w:t>资产负债表</w:t>
      </w:r>
      <w:bookmarkEnd w:id="3"/>
    </w:p>
    <w:p w:rsidR="00EA6AC0" w:rsidRDefault="00E80433">
      <w:pPr>
        <w:pStyle w:val="biaogeleft"/>
      </w:pPr>
      <w:r>
        <w:rPr>
          <w:rFonts w:hint="eastAsia"/>
        </w:rPr>
        <w:t>会计主体：南京银行珠联璧合致远平衡</w:t>
      </w:r>
      <w:r>
        <w:rPr>
          <w:rFonts w:hint="eastAsia"/>
        </w:rPr>
        <w:t>2009</w:t>
      </w:r>
      <w:r>
        <w:rPr>
          <w:rFonts w:hint="eastAsia"/>
        </w:rPr>
        <w:t>两年定开公募人民币理财产品</w:t>
      </w:r>
    </w:p>
    <w:p w:rsidR="00EA6AC0" w:rsidRDefault="00E80433">
      <w:pPr>
        <w:pStyle w:val="biaogeleft"/>
      </w:pPr>
      <w:r>
        <w:rPr>
          <w:rFonts w:hint="eastAsia"/>
        </w:rPr>
        <w:t>报告截止日：</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EA6AC0" w:rsidRDefault="00E80433">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208" w:type="dxa"/>
        <w:tblInd w:w="108" w:type="dxa"/>
        <w:tblLayout w:type="fixed"/>
        <w:tblLook w:val="04A0"/>
      </w:tblPr>
      <w:tblGrid>
        <w:gridCol w:w="3660"/>
        <w:gridCol w:w="3548"/>
      </w:tblGrid>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center"/>
              <w:wordWrap w:val="0"/>
            </w:pPr>
            <w:r>
              <w:rPr>
                <w:rFonts w:hint="eastAsia"/>
                <w:b/>
                <w:bCs/>
              </w:rPr>
              <w:t>资</w:t>
            </w:r>
            <w:r>
              <w:rPr>
                <w:rFonts w:hint="eastAsia"/>
                <w:b/>
                <w:bCs/>
              </w:rPr>
              <w:t xml:space="preserve"> </w:t>
            </w:r>
            <w:r>
              <w:rPr>
                <w:rFonts w:hint="eastAsia"/>
                <w:b/>
                <w:bCs/>
              </w:rPr>
              <w:t>产</w:t>
            </w:r>
            <w:r>
              <w:rPr>
                <w:rFonts w:hint="eastAsia"/>
                <w:b/>
                <w:bCs/>
              </w:rPr>
              <w:t> </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center"/>
              <w:wordWrap w:val="0"/>
            </w:pPr>
            <w:r>
              <w:rPr>
                <w:rFonts w:hAnsi="Calibri" w:hint="eastAsia"/>
                <w:color w:val="000000"/>
              </w:rPr>
              <w:t>本期末</w:t>
            </w:r>
            <w:r>
              <w:rPr>
                <w:rFonts w:hAnsi="Calibri" w:hint="eastAsia"/>
                <w:color w:val="000000"/>
              </w:rPr>
              <w:t> </w:t>
            </w:r>
          </w:p>
          <w:p w:rsidR="00EA6AC0" w:rsidRDefault="00E80433">
            <w:pPr>
              <w:pStyle w:val="biaogecenter"/>
              <w:wordWrap w:val="0"/>
            </w:pPr>
            <w:r>
              <w:rPr>
                <w:rFonts w:hAnsi="Calibri" w:hint="eastAsia"/>
                <w:color w:val="000000"/>
              </w:rPr>
              <w:t>2020</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r>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hint="eastAsia"/>
                <w:b/>
                <w:bCs/>
              </w:rPr>
              <w:t>资</w:t>
            </w:r>
            <w:r>
              <w:rPr>
                <w:rFonts w:hint="eastAsia"/>
                <w:b/>
                <w:bCs/>
              </w:rPr>
              <w:t xml:space="preserve"> </w:t>
            </w:r>
            <w:r>
              <w:rPr>
                <w:rFonts w:hint="eastAsia"/>
                <w:b/>
                <w:bCs/>
              </w:rPr>
              <w:t>产：</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center"/>
              <w:wordWrap w:val="0"/>
            </w:pPr>
            <w:r>
              <w:rPr>
                <w:rFonts w:hint="eastAsia"/>
              </w:rPr>
              <w:t> </w:t>
            </w:r>
          </w:p>
        </w:tc>
      </w:tr>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cs="Arial" w:hint="eastAsia"/>
                <w:color w:val="000000"/>
              </w:rPr>
              <w:t xml:space="preserve">    </w:t>
            </w:r>
            <w:r>
              <w:rPr>
                <w:rFonts w:cs="Arial" w:hint="eastAsia"/>
                <w:color w:val="000000"/>
              </w:rPr>
              <w:t>银行存款</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cs="Arial" w:hint="eastAsia"/>
                <w:color w:val="000000"/>
              </w:rPr>
              <w:t>1,280,448.46</w:t>
            </w:r>
          </w:p>
        </w:tc>
      </w:tr>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cs="Arial" w:hint="eastAsia"/>
                <w:color w:val="000000"/>
              </w:rPr>
              <w:t xml:space="preserve">    </w:t>
            </w:r>
            <w:r>
              <w:rPr>
                <w:rFonts w:cs="Arial" w:hint="eastAsia"/>
                <w:color w:val="000000"/>
              </w:rPr>
              <w:t>结算备付金</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cs="Arial" w:hint="eastAsia"/>
                <w:color w:val="000000"/>
              </w:rPr>
              <w:t>0.00</w:t>
            </w:r>
          </w:p>
        </w:tc>
      </w:tr>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cs="Arial" w:hint="eastAsia"/>
                <w:color w:val="000000"/>
              </w:rPr>
              <w:lastRenderedPageBreak/>
              <w:t xml:space="preserve">    </w:t>
            </w:r>
            <w:r>
              <w:rPr>
                <w:rFonts w:cs="Arial" w:hint="eastAsia"/>
                <w:color w:val="000000"/>
              </w:rPr>
              <w:t>存出保证金</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cs="Arial" w:hint="eastAsia"/>
                <w:color w:val="000000"/>
              </w:rPr>
              <w:t>26.41</w:t>
            </w:r>
          </w:p>
        </w:tc>
      </w:tr>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cs="Arial" w:hint="eastAsia"/>
                <w:color w:val="000000"/>
              </w:rPr>
              <w:t xml:space="preserve">    </w:t>
            </w:r>
            <w:r>
              <w:rPr>
                <w:rFonts w:cs="Arial" w:hint="eastAsia"/>
                <w:color w:val="000000"/>
              </w:rPr>
              <w:t>交易性金融资产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cs="Arial" w:hint="eastAsia"/>
                <w:color w:val="000000"/>
              </w:rPr>
              <w:t>42,861,075.46</w:t>
            </w:r>
          </w:p>
        </w:tc>
      </w:tr>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cs="Arial" w:hint="eastAsia"/>
                <w:color w:val="000000"/>
              </w:rPr>
              <w:t xml:space="preserve">    </w:t>
            </w:r>
            <w:r>
              <w:rPr>
                <w:rFonts w:cs="Arial" w:hint="eastAsia"/>
                <w:color w:val="000000"/>
              </w:rPr>
              <w:t>其中：股票投资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cs="Arial" w:hint="eastAsia"/>
                <w:color w:val="000000"/>
              </w:rPr>
              <w:t>0.00</w:t>
            </w:r>
          </w:p>
        </w:tc>
      </w:tr>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ind w:left="750"/>
            </w:pPr>
            <w:r>
              <w:rPr>
                <w:rFonts w:cs="Arial" w:hint="eastAsia"/>
                <w:color w:val="000000"/>
              </w:rPr>
              <w:t xml:space="preserve">    </w:t>
            </w:r>
            <w:r>
              <w:rPr>
                <w:rFonts w:cs="Arial" w:hint="eastAsia"/>
                <w:color w:val="000000"/>
              </w:rPr>
              <w:t>债券投资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cs="Arial" w:hint="eastAsia"/>
                <w:color w:val="000000"/>
              </w:rPr>
              <w:t>30,324,090.00</w:t>
            </w:r>
          </w:p>
        </w:tc>
      </w:tr>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ind w:left="750"/>
            </w:pPr>
            <w:r>
              <w:rPr>
                <w:rFonts w:cs="Arial" w:hint="eastAsia"/>
                <w:color w:val="000000"/>
              </w:rPr>
              <w:t xml:space="preserve">    </w:t>
            </w:r>
            <w:r>
              <w:rPr>
                <w:rFonts w:cs="Arial" w:hint="eastAsia"/>
                <w:color w:val="000000"/>
              </w:rPr>
              <w:t>基金投资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cs="Arial" w:hint="eastAsia"/>
                <w:color w:val="000000"/>
              </w:rPr>
              <w:t>12,536,985.46</w:t>
            </w:r>
          </w:p>
        </w:tc>
      </w:tr>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ind w:left="750"/>
            </w:pPr>
            <w:r>
              <w:rPr>
                <w:rFonts w:cs="Arial" w:hint="eastAsia"/>
                <w:color w:val="000000"/>
              </w:rPr>
              <w:t>权证投资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cs="Arial" w:hint="eastAsia"/>
                <w:color w:val="000000"/>
              </w:rPr>
              <w:t>0.00</w:t>
            </w:r>
          </w:p>
        </w:tc>
      </w:tr>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ind w:left="750"/>
            </w:pPr>
            <w:r>
              <w:rPr>
                <w:rFonts w:cs="Arial" w:hint="eastAsia"/>
                <w:color w:val="000000"/>
              </w:rPr>
              <w:t>资产支持证券投资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cs="Arial" w:hint="eastAsia"/>
                <w:color w:val="000000"/>
              </w:rPr>
              <w:t>0.00</w:t>
            </w:r>
          </w:p>
        </w:tc>
      </w:tr>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cs="Arial" w:hint="eastAsia"/>
                <w:color w:val="000000"/>
              </w:rPr>
              <w:t xml:space="preserve">    </w:t>
            </w:r>
            <w:r>
              <w:rPr>
                <w:rFonts w:cs="Arial" w:hint="eastAsia"/>
                <w:color w:val="000000"/>
              </w:rPr>
              <w:t>衍生金融工具</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cs="Arial" w:hint="eastAsia"/>
                <w:color w:val="000000"/>
              </w:rPr>
              <w:t>0.00</w:t>
            </w:r>
          </w:p>
        </w:tc>
      </w:tr>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cs="Arial" w:hint="eastAsia"/>
                <w:color w:val="000000"/>
              </w:rPr>
              <w:t xml:space="preserve">    </w:t>
            </w:r>
            <w:r>
              <w:rPr>
                <w:rFonts w:cs="Arial" w:hint="eastAsia"/>
                <w:color w:val="000000"/>
              </w:rPr>
              <w:t>买入返售金融资产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cs="Arial" w:hint="eastAsia"/>
                <w:color w:val="000000"/>
              </w:rPr>
              <w:t>0.00</w:t>
            </w:r>
          </w:p>
        </w:tc>
      </w:tr>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cs="Arial" w:hint="eastAsia"/>
                <w:color w:val="000000"/>
              </w:rPr>
              <w:t xml:space="preserve">    </w:t>
            </w:r>
            <w:r>
              <w:rPr>
                <w:rFonts w:cs="Arial" w:hint="eastAsia"/>
                <w:color w:val="000000"/>
              </w:rPr>
              <w:t>应收证券清算款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cs="Arial" w:hint="eastAsia"/>
                <w:color w:val="000000"/>
              </w:rPr>
              <w:t>0.00</w:t>
            </w:r>
          </w:p>
        </w:tc>
      </w:tr>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cs="Arial" w:hint="eastAsia"/>
                <w:color w:val="000000"/>
              </w:rPr>
              <w:t xml:space="preserve">    </w:t>
            </w:r>
            <w:r>
              <w:rPr>
                <w:rFonts w:cs="Arial" w:hint="eastAsia"/>
                <w:color w:val="000000"/>
              </w:rPr>
              <w:t>应收利息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cs="Arial" w:hint="eastAsia"/>
                <w:color w:val="000000"/>
              </w:rPr>
              <w:t>1,826,093.60</w:t>
            </w:r>
          </w:p>
        </w:tc>
      </w:tr>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cs="Arial" w:hint="eastAsia"/>
                <w:color w:val="000000"/>
              </w:rPr>
              <w:t xml:space="preserve">    </w:t>
            </w:r>
            <w:r>
              <w:rPr>
                <w:rFonts w:cs="Arial" w:hint="eastAsia"/>
                <w:color w:val="000000"/>
              </w:rPr>
              <w:t>应收股利</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cs="Arial" w:hint="eastAsia"/>
                <w:color w:val="000000"/>
              </w:rPr>
              <w:t>0.00</w:t>
            </w:r>
          </w:p>
        </w:tc>
      </w:tr>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cs="Arial" w:hint="eastAsia"/>
                <w:color w:val="000000"/>
              </w:rPr>
              <w:t xml:space="preserve">    </w:t>
            </w:r>
            <w:r>
              <w:rPr>
                <w:rFonts w:cs="Arial" w:hint="eastAsia"/>
                <w:color w:val="000000"/>
              </w:rPr>
              <w:t>应收申购款</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cs="Arial" w:hint="eastAsia"/>
                <w:color w:val="000000"/>
              </w:rPr>
              <w:t>0.00</w:t>
            </w:r>
          </w:p>
        </w:tc>
      </w:tr>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cs="Arial" w:hint="eastAsia"/>
                <w:color w:val="000000"/>
              </w:rPr>
              <w:t xml:space="preserve">    </w:t>
            </w:r>
            <w:r>
              <w:rPr>
                <w:rFonts w:cs="Arial" w:hint="eastAsia"/>
                <w:color w:val="000000"/>
              </w:rPr>
              <w:t>贷款</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cs="Arial" w:hint="eastAsia"/>
                <w:color w:val="000000"/>
              </w:rPr>
              <w:t>0.00</w:t>
            </w:r>
          </w:p>
        </w:tc>
      </w:tr>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cs="Arial" w:hint="eastAsia"/>
                <w:color w:val="000000"/>
              </w:rPr>
              <w:t xml:space="preserve">    </w:t>
            </w:r>
            <w:r>
              <w:rPr>
                <w:rFonts w:cs="Arial" w:hint="eastAsia"/>
                <w:color w:val="000000"/>
              </w:rPr>
              <w:t>代理业务资产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cs="Arial" w:hint="eastAsia"/>
                <w:color w:val="000000"/>
              </w:rPr>
              <w:t>0.00</w:t>
            </w:r>
          </w:p>
        </w:tc>
      </w:tr>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cs="Arial" w:hint="eastAsia"/>
                <w:color w:val="000000"/>
              </w:rPr>
              <w:t xml:space="preserve">    </w:t>
            </w:r>
            <w:r>
              <w:rPr>
                <w:rFonts w:cs="Arial" w:hint="eastAsia"/>
                <w:color w:val="000000"/>
              </w:rPr>
              <w:t>融资租赁资产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cs="Arial" w:hint="eastAsia"/>
                <w:color w:val="000000"/>
              </w:rPr>
              <w:t>0.00</w:t>
            </w:r>
          </w:p>
        </w:tc>
      </w:tr>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cs="Arial" w:hint="eastAsia"/>
                <w:color w:val="000000"/>
              </w:rPr>
              <w:t xml:space="preserve">    </w:t>
            </w:r>
            <w:r>
              <w:rPr>
                <w:rFonts w:cs="Arial" w:hint="eastAsia"/>
                <w:color w:val="000000"/>
              </w:rPr>
              <w:t>可供出售金融资产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cs="Arial" w:hint="eastAsia"/>
                <w:color w:val="000000"/>
              </w:rPr>
              <w:t>0.00</w:t>
            </w:r>
          </w:p>
        </w:tc>
      </w:tr>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cs="Arial" w:hint="eastAsia"/>
                <w:color w:val="000000"/>
              </w:rPr>
              <w:t xml:space="preserve">    </w:t>
            </w:r>
            <w:r>
              <w:rPr>
                <w:rFonts w:cs="Arial" w:hint="eastAsia"/>
                <w:color w:val="000000"/>
              </w:rPr>
              <w:t>持有至到期投资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cs="Arial" w:hint="eastAsia"/>
                <w:color w:val="000000"/>
              </w:rPr>
              <w:t>60,000,000.00</w:t>
            </w:r>
          </w:p>
        </w:tc>
      </w:tr>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cs="Arial" w:hint="eastAsia"/>
                <w:color w:val="000000"/>
              </w:rPr>
              <w:t xml:space="preserve">    </w:t>
            </w:r>
            <w:r>
              <w:rPr>
                <w:rFonts w:cs="Arial" w:hint="eastAsia"/>
                <w:color w:val="000000"/>
              </w:rPr>
              <w:t>长期股权投资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cs="Arial" w:hint="eastAsia"/>
                <w:color w:val="000000"/>
              </w:rPr>
              <w:t>0.00</w:t>
            </w:r>
          </w:p>
        </w:tc>
      </w:tr>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cs="Arial" w:hint="eastAsia"/>
                <w:color w:val="000000"/>
              </w:rPr>
              <w:t xml:space="preserve">    </w:t>
            </w:r>
            <w:r>
              <w:rPr>
                <w:rFonts w:cs="Arial" w:hint="eastAsia"/>
                <w:color w:val="000000"/>
              </w:rPr>
              <w:t>长期应收款</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cs="Arial" w:hint="eastAsia"/>
                <w:color w:val="000000"/>
              </w:rPr>
              <w:t>0.00</w:t>
            </w:r>
          </w:p>
        </w:tc>
      </w:tr>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cs="Arial" w:hint="eastAsia"/>
                <w:color w:val="000000"/>
              </w:rPr>
              <w:t xml:space="preserve">    </w:t>
            </w:r>
            <w:r>
              <w:rPr>
                <w:rFonts w:cs="Arial" w:hint="eastAsia"/>
                <w:color w:val="000000"/>
              </w:rPr>
              <w:t>其他资产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cs="Arial" w:hint="eastAsia"/>
                <w:color w:val="000000"/>
              </w:rPr>
              <w:t>22,527,627.24</w:t>
            </w:r>
          </w:p>
        </w:tc>
      </w:tr>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cs="Arial" w:hint="eastAsia"/>
                <w:b/>
                <w:bCs/>
                <w:color w:val="000000"/>
              </w:rPr>
              <w:t xml:space="preserve">   </w:t>
            </w:r>
            <w:r>
              <w:rPr>
                <w:rFonts w:cs="Arial" w:hint="eastAsia"/>
                <w:b/>
                <w:bCs/>
                <w:color w:val="000000"/>
              </w:rPr>
              <w:t>资产总计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cs="Arial" w:hint="eastAsia"/>
                <w:color w:val="000000"/>
              </w:rPr>
              <w:t>128,495,271.17</w:t>
            </w:r>
          </w:p>
        </w:tc>
      </w:tr>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center"/>
              <w:wordWrap w:val="0"/>
            </w:pPr>
            <w:r>
              <w:rPr>
                <w:rFonts w:hint="eastAsia"/>
                <w:b/>
                <w:bCs/>
              </w:rPr>
              <w:t>负债和所有者权益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center"/>
              <w:wordWrap w:val="0"/>
            </w:pPr>
            <w:r>
              <w:rPr>
                <w:rFonts w:hint="eastAsia"/>
              </w:rPr>
              <w:t>本期末</w:t>
            </w:r>
            <w:r>
              <w:rPr>
                <w:rFonts w:hint="eastAsia"/>
              </w:rPr>
              <w:t> </w:t>
            </w:r>
          </w:p>
          <w:p w:rsidR="00EA6AC0" w:rsidRDefault="00E80433">
            <w:pPr>
              <w:pStyle w:val="biaogecenter"/>
              <w:wordWrap w:val="0"/>
            </w:pP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hint="eastAsia"/>
                <w:b/>
                <w:bCs/>
              </w:rPr>
              <w:t>负</w:t>
            </w:r>
            <w:r>
              <w:rPr>
                <w:rFonts w:hint="eastAsia"/>
                <w:b/>
                <w:bCs/>
              </w:rPr>
              <w:t xml:space="preserve"> </w:t>
            </w:r>
            <w:r>
              <w:rPr>
                <w:rFonts w:hint="eastAsia"/>
                <w:b/>
                <w:bCs/>
              </w:rPr>
              <w:t>债：</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center"/>
              <w:wordWrap w:val="0"/>
            </w:pPr>
            <w:r>
              <w:rPr>
                <w:rFonts w:hint="eastAsia"/>
              </w:rPr>
              <w:t> </w:t>
            </w:r>
          </w:p>
        </w:tc>
      </w:tr>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cs="Arial" w:hint="eastAsia"/>
                <w:color w:val="000000"/>
              </w:rPr>
              <w:t xml:space="preserve">    </w:t>
            </w:r>
            <w:r>
              <w:rPr>
                <w:rFonts w:cs="Arial" w:hint="eastAsia"/>
                <w:color w:val="000000"/>
              </w:rPr>
              <w:t>短期借款</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cs="Arial" w:hint="eastAsia"/>
                <w:color w:val="000000"/>
              </w:rPr>
              <w:t>0.00</w:t>
            </w:r>
          </w:p>
        </w:tc>
      </w:tr>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cs="Arial" w:hint="eastAsia"/>
                <w:color w:val="000000"/>
              </w:rPr>
              <w:t xml:space="preserve">    </w:t>
            </w:r>
            <w:r>
              <w:rPr>
                <w:rFonts w:cs="Arial" w:hint="eastAsia"/>
                <w:color w:val="000000"/>
              </w:rPr>
              <w:t>交易性金融负债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cs="Arial" w:hint="eastAsia"/>
                <w:color w:val="000000"/>
              </w:rPr>
              <w:t>0.00</w:t>
            </w:r>
          </w:p>
        </w:tc>
      </w:tr>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cs="Arial" w:hint="eastAsia"/>
                <w:color w:val="000000"/>
              </w:rPr>
              <w:t xml:space="preserve">    </w:t>
            </w:r>
            <w:r>
              <w:rPr>
                <w:rFonts w:cs="Arial" w:hint="eastAsia"/>
                <w:color w:val="000000"/>
              </w:rPr>
              <w:t>衍生金融负债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cs="Arial" w:hint="eastAsia"/>
                <w:color w:val="000000"/>
              </w:rPr>
              <w:t>0.00</w:t>
            </w:r>
          </w:p>
        </w:tc>
      </w:tr>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cs="Arial" w:hint="eastAsia"/>
                <w:color w:val="000000"/>
              </w:rPr>
              <w:t xml:space="preserve">    </w:t>
            </w:r>
            <w:r>
              <w:rPr>
                <w:rFonts w:cs="Arial" w:hint="eastAsia"/>
                <w:color w:val="000000"/>
              </w:rPr>
              <w:t>卖出回购金融资产款</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cs="Arial" w:hint="eastAsia"/>
                <w:color w:val="000000"/>
              </w:rPr>
              <w:t>0.00</w:t>
            </w:r>
          </w:p>
        </w:tc>
      </w:tr>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cs="Arial" w:hint="eastAsia"/>
                <w:color w:val="000000"/>
              </w:rPr>
              <w:t xml:space="preserve">    </w:t>
            </w:r>
            <w:r>
              <w:rPr>
                <w:rFonts w:cs="Arial" w:hint="eastAsia"/>
                <w:color w:val="000000"/>
              </w:rPr>
              <w:t>应付证券清算款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cs="Arial" w:hint="eastAsia"/>
                <w:color w:val="000000"/>
              </w:rPr>
              <w:t>0.00</w:t>
            </w:r>
          </w:p>
        </w:tc>
      </w:tr>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cs="Arial" w:hint="eastAsia"/>
                <w:color w:val="000000"/>
              </w:rPr>
              <w:t xml:space="preserve">    </w:t>
            </w:r>
            <w:r>
              <w:rPr>
                <w:rFonts w:cs="Arial" w:hint="eastAsia"/>
                <w:color w:val="000000"/>
              </w:rPr>
              <w:t>应付赎回款</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cs="Arial" w:hint="eastAsia"/>
                <w:color w:val="000000"/>
              </w:rPr>
              <w:t>0.00</w:t>
            </w:r>
          </w:p>
        </w:tc>
      </w:tr>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cs="Arial" w:hint="eastAsia"/>
                <w:color w:val="000000"/>
              </w:rPr>
              <w:t xml:space="preserve">    </w:t>
            </w:r>
            <w:r>
              <w:rPr>
                <w:rFonts w:cs="Arial" w:hint="eastAsia"/>
                <w:color w:val="000000"/>
              </w:rPr>
              <w:t>应付管理人报酬</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cs="Arial" w:hint="eastAsia"/>
                <w:color w:val="000000"/>
              </w:rPr>
              <w:t>203,432.77</w:t>
            </w:r>
          </w:p>
        </w:tc>
      </w:tr>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cs="Arial" w:hint="eastAsia"/>
                <w:color w:val="000000"/>
              </w:rPr>
              <w:t xml:space="preserve">    </w:t>
            </w:r>
            <w:r>
              <w:rPr>
                <w:rFonts w:cs="Arial" w:hint="eastAsia"/>
                <w:color w:val="000000"/>
              </w:rPr>
              <w:t>应付托管费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cs="Arial" w:hint="eastAsia"/>
                <w:color w:val="000000"/>
              </w:rPr>
              <w:t>6,781.10</w:t>
            </w:r>
          </w:p>
        </w:tc>
      </w:tr>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cs="Arial" w:hint="eastAsia"/>
                <w:color w:val="000000"/>
              </w:rPr>
              <w:lastRenderedPageBreak/>
              <w:t xml:space="preserve">    </w:t>
            </w:r>
            <w:r>
              <w:rPr>
                <w:rFonts w:cs="Arial" w:hint="eastAsia"/>
                <w:color w:val="000000"/>
              </w:rPr>
              <w:t>应付销售服务费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cs="Arial" w:hint="eastAsia"/>
                <w:color w:val="000000"/>
              </w:rPr>
              <w:t>101,716.36</w:t>
            </w:r>
          </w:p>
        </w:tc>
      </w:tr>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cs="Arial" w:hint="eastAsia"/>
                <w:color w:val="000000"/>
              </w:rPr>
              <w:t xml:space="preserve">    </w:t>
            </w:r>
            <w:r>
              <w:rPr>
                <w:rFonts w:cs="Arial" w:hint="eastAsia"/>
                <w:color w:val="000000"/>
              </w:rPr>
              <w:t>应付交易费用</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cs="Arial" w:hint="eastAsia"/>
                <w:color w:val="000000"/>
              </w:rPr>
              <w:t>0.00</w:t>
            </w:r>
          </w:p>
        </w:tc>
      </w:tr>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cs="Arial" w:hint="eastAsia"/>
                <w:color w:val="000000"/>
              </w:rPr>
              <w:t xml:space="preserve">    </w:t>
            </w:r>
            <w:r>
              <w:rPr>
                <w:rFonts w:cs="Arial" w:hint="eastAsia"/>
                <w:color w:val="000000"/>
              </w:rPr>
              <w:t>应交税费</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cs="Arial" w:hint="eastAsia"/>
                <w:color w:val="000000"/>
              </w:rPr>
              <w:t>62,971.82</w:t>
            </w:r>
          </w:p>
        </w:tc>
      </w:tr>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cs="Arial" w:hint="eastAsia"/>
                <w:color w:val="000000"/>
              </w:rPr>
              <w:t xml:space="preserve">    </w:t>
            </w:r>
            <w:r>
              <w:rPr>
                <w:rFonts w:cs="Arial" w:hint="eastAsia"/>
                <w:color w:val="000000"/>
              </w:rPr>
              <w:t>应付利息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cs="Arial" w:hint="eastAsia"/>
                <w:color w:val="000000"/>
              </w:rPr>
              <w:t>0.00</w:t>
            </w:r>
          </w:p>
        </w:tc>
      </w:tr>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cs="Arial" w:hint="eastAsia"/>
                <w:color w:val="000000"/>
              </w:rPr>
              <w:t xml:space="preserve">    </w:t>
            </w:r>
            <w:r>
              <w:rPr>
                <w:rFonts w:cs="Arial" w:hint="eastAsia"/>
                <w:color w:val="000000"/>
              </w:rPr>
              <w:t>应付利润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cs="Arial" w:hint="eastAsia"/>
                <w:color w:val="000000"/>
              </w:rPr>
              <w:t>0.00</w:t>
            </w:r>
          </w:p>
        </w:tc>
      </w:tr>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cs="Arial" w:hint="eastAsia"/>
                <w:color w:val="000000"/>
              </w:rPr>
              <w:t xml:space="preserve">    </w:t>
            </w:r>
            <w:r>
              <w:rPr>
                <w:rFonts w:cs="Arial" w:hint="eastAsia"/>
                <w:color w:val="000000"/>
              </w:rPr>
              <w:t>其他负债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cs="Arial" w:hint="eastAsia"/>
                <w:color w:val="000000"/>
              </w:rPr>
              <w:t>0.00</w:t>
            </w:r>
          </w:p>
        </w:tc>
      </w:tr>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cs="Arial" w:hint="eastAsia"/>
                <w:b/>
                <w:bCs/>
                <w:color w:val="000000"/>
              </w:rPr>
              <w:t xml:space="preserve">   </w:t>
            </w:r>
            <w:r>
              <w:rPr>
                <w:rFonts w:cs="Arial" w:hint="eastAsia"/>
                <w:b/>
                <w:bCs/>
                <w:color w:val="000000"/>
              </w:rPr>
              <w:t>负债合计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cs="Arial" w:hint="eastAsia"/>
                <w:color w:val="000000"/>
              </w:rPr>
              <w:t>374,902.05</w:t>
            </w:r>
          </w:p>
        </w:tc>
      </w:tr>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hint="eastAsia"/>
                <w:b/>
                <w:bCs/>
              </w:rPr>
              <w:t>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center"/>
              <w:wordWrap w:val="0"/>
            </w:pPr>
            <w:r>
              <w:rPr>
                <w:rFonts w:hint="eastAsia"/>
              </w:rPr>
              <w:t> </w:t>
            </w:r>
          </w:p>
        </w:tc>
      </w:tr>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cs="Arial" w:hint="eastAsia"/>
                <w:color w:val="000000"/>
              </w:rPr>
              <w:t xml:space="preserve">    </w:t>
            </w:r>
            <w:r>
              <w:rPr>
                <w:rFonts w:cs="Arial" w:hint="eastAsia"/>
                <w:color w:val="000000"/>
              </w:rPr>
              <w:t>实收基金</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cs="Arial" w:hint="eastAsia"/>
                <w:color w:val="000000"/>
              </w:rPr>
              <w:t>125,760,000.00</w:t>
            </w:r>
          </w:p>
        </w:tc>
      </w:tr>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cs="Arial" w:hint="eastAsia"/>
                <w:color w:val="000000"/>
              </w:rPr>
              <w:t xml:space="preserve">    </w:t>
            </w:r>
            <w:r>
              <w:rPr>
                <w:rFonts w:cs="Arial" w:hint="eastAsia"/>
                <w:color w:val="000000"/>
              </w:rPr>
              <w:t>资本公积</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cs="Arial" w:hint="eastAsia"/>
                <w:color w:val="000000"/>
              </w:rPr>
              <w:t>0.00</w:t>
            </w:r>
          </w:p>
        </w:tc>
      </w:tr>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cs="Arial" w:hint="eastAsia"/>
                <w:color w:val="000000"/>
              </w:rPr>
              <w:t xml:space="preserve">    </w:t>
            </w:r>
            <w:r>
              <w:rPr>
                <w:rFonts w:cs="Arial" w:hint="eastAsia"/>
                <w:color w:val="000000"/>
              </w:rPr>
              <w:t>未分配利润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cs="Arial" w:hint="eastAsia"/>
                <w:color w:val="000000"/>
              </w:rPr>
              <w:t>2,360,369.12</w:t>
            </w:r>
          </w:p>
        </w:tc>
      </w:tr>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cs="Arial" w:hint="eastAsia"/>
                <w:b/>
                <w:bCs/>
                <w:color w:val="000000"/>
              </w:rPr>
              <w:t xml:space="preserve">    </w:t>
            </w:r>
            <w:r>
              <w:rPr>
                <w:rFonts w:cs="Arial" w:hint="eastAsia"/>
                <w:b/>
                <w:bCs/>
                <w:color w:val="000000"/>
              </w:rPr>
              <w:t>所有者权益合计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cs="Arial" w:hint="eastAsia"/>
                <w:color w:val="000000"/>
              </w:rPr>
              <w:t>128,120,369.12</w:t>
            </w:r>
          </w:p>
        </w:tc>
      </w:tr>
      <w:tr w:rsidR="00EA6AC0">
        <w:tc>
          <w:tcPr>
            <w:tcW w:w="3660"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cs="Arial" w:hint="eastAsia"/>
                <w:b/>
                <w:bCs/>
                <w:color w:val="000000"/>
              </w:rPr>
              <w:t xml:space="preserve">   </w:t>
            </w:r>
            <w:r>
              <w:rPr>
                <w:rFonts w:cs="Arial" w:hint="eastAsia"/>
                <w:b/>
                <w:bCs/>
                <w:color w:val="000000"/>
              </w:rPr>
              <w:t>负债和所有者权益总计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cs="Arial" w:hint="eastAsia"/>
                <w:color w:val="000000"/>
              </w:rPr>
              <w:t>128,495,271.17</w:t>
            </w:r>
          </w:p>
        </w:tc>
      </w:tr>
    </w:tbl>
    <w:p w:rsidR="00EA6AC0" w:rsidRDefault="00EA6AC0">
      <w:pPr>
        <w:widowControl/>
        <w:jc w:val="left"/>
        <w:rPr>
          <w:rFonts w:ascii="宋体" w:hAnsi="宋体" w:cs="宋体"/>
          <w:kern w:val="0"/>
          <w:sz w:val="24"/>
          <w:szCs w:val="24"/>
        </w:rPr>
      </w:pPr>
    </w:p>
    <w:p w:rsidR="00EA6AC0" w:rsidRDefault="00E80433">
      <w:pPr>
        <w:pStyle w:val="zhangjiep"/>
      </w:pPr>
      <w:bookmarkStart w:id="4" w:name="_Toc61427504"/>
      <w:r>
        <w:rPr>
          <w:rFonts w:hint="eastAsia"/>
          <w:b/>
          <w:bCs/>
        </w:rPr>
        <w:t xml:space="preserve">5.2 </w:t>
      </w:r>
      <w:r>
        <w:rPr>
          <w:rFonts w:hint="eastAsia"/>
          <w:b/>
          <w:bCs/>
        </w:rPr>
        <w:t>利润表</w:t>
      </w:r>
      <w:bookmarkEnd w:id="4"/>
    </w:p>
    <w:p w:rsidR="00EA6AC0" w:rsidRDefault="00E80433">
      <w:pPr>
        <w:pStyle w:val="biaogeleft"/>
      </w:pPr>
      <w:r>
        <w:rPr>
          <w:rFonts w:hint="eastAsia"/>
        </w:rPr>
        <w:t>会计主体：南京银行珠联璧合致远平衡</w:t>
      </w:r>
      <w:r>
        <w:rPr>
          <w:rFonts w:hint="eastAsia"/>
        </w:rPr>
        <w:t>2009</w:t>
      </w:r>
      <w:r>
        <w:rPr>
          <w:rFonts w:hint="eastAsia"/>
        </w:rPr>
        <w:t>两年定开公募人民币理财产品</w:t>
      </w:r>
    </w:p>
    <w:p w:rsidR="00EA6AC0" w:rsidRDefault="00E80433">
      <w:pPr>
        <w:pStyle w:val="biaogeleft"/>
      </w:pPr>
      <w:r>
        <w:rPr>
          <w:rFonts w:hint="eastAsia"/>
        </w:rPr>
        <w:t>本报告期：</w:t>
      </w:r>
      <w:r>
        <w:rPr>
          <w:rFonts w:hint="eastAsia"/>
        </w:rPr>
        <w:t>2020</w:t>
      </w:r>
      <w:r>
        <w:rPr>
          <w:rFonts w:hint="eastAsia"/>
        </w:rPr>
        <w:t>年</w:t>
      </w:r>
      <w:r>
        <w:rPr>
          <w:rFonts w:hint="eastAsia"/>
        </w:rPr>
        <w:t>09</w:t>
      </w:r>
      <w:r>
        <w:rPr>
          <w:rFonts w:hint="eastAsia"/>
        </w:rPr>
        <w:t>月</w:t>
      </w:r>
      <w:r>
        <w:rPr>
          <w:rFonts w:hint="eastAsia"/>
        </w:rPr>
        <w:t>24</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EA6AC0" w:rsidRDefault="00E80433">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EA6AC0">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center"/>
              <w:wordWrap w:val="0"/>
              <w:rPr>
                <w:rFonts w:asciiTheme="minorEastAsia" w:eastAsiaTheme="minorEastAsia" w:hAnsiTheme="minorEastAsia"/>
              </w:rPr>
            </w:pPr>
            <w:bookmarkStart w:id="5" w:name="_Hlk63863579"/>
            <w:r>
              <w:rPr>
                <w:rFonts w:asciiTheme="minorEastAsia" w:eastAsiaTheme="minorEastAsia" w:hAnsiTheme="minorEastAsia" w:hint="eastAsia"/>
                <w:b/>
                <w:bCs/>
              </w:rPr>
              <w:t>项</w:t>
            </w:r>
            <w:r>
              <w:rPr>
                <w:rFonts w:asciiTheme="minorEastAsia" w:eastAsiaTheme="minorEastAsia" w:hAnsiTheme="minorEastAsia" w:hint="eastAsia"/>
                <w:b/>
                <w:bCs/>
              </w:rPr>
              <w:t xml:space="preserve"> </w:t>
            </w:r>
            <w:r>
              <w:rPr>
                <w:rFonts w:asciiTheme="minorEastAsia" w:eastAsiaTheme="minorEastAsia" w:hAnsiTheme="minorEastAsia" w:hint="eastAsia"/>
                <w:b/>
                <w:bCs/>
              </w:rPr>
              <w:t>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center"/>
              <w:wordWrap w:val="0"/>
              <w:rPr>
                <w:rFonts w:asciiTheme="minorEastAsia" w:eastAsiaTheme="minorEastAsia" w:hAnsiTheme="minorEastAsia"/>
              </w:rPr>
            </w:pPr>
            <w:r>
              <w:rPr>
                <w:rFonts w:asciiTheme="minorEastAsia" w:eastAsiaTheme="minorEastAsia" w:hAnsiTheme="minorEastAsia" w:hint="eastAsia"/>
              </w:rPr>
              <w:t>本期</w:t>
            </w:r>
            <w:r>
              <w:rPr>
                <w:rFonts w:hint="eastAsia"/>
              </w:rPr>
              <w:t>2020</w:t>
            </w:r>
            <w:r>
              <w:rPr>
                <w:rFonts w:hint="eastAsia"/>
              </w:rPr>
              <w:t>年</w:t>
            </w:r>
            <w:r>
              <w:rPr>
                <w:rFonts w:hint="eastAsia"/>
              </w:rPr>
              <w:t>09</w:t>
            </w:r>
            <w:r>
              <w:rPr>
                <w:rFonts w:hint="eastAsia"/>
              </w:rPr>
              <w:t>月</w:t>
            </w:r>
            <w:r>
              <w:rPr>
                <w:rFonts w:hint="eastAsia"/>
              </w:rPr>
              <w:t>24</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EA6AC0">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EA6AC0" w:rsidRDefault="00EA6AC0">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EA6AC0" w:rsidRDefault="00EA6AC0">
            <w:pPr>
              <w:widowControl/>
              <w:jc w:val="left"/>
              <w:rPr>
                <w:rFonts w:asciiTheme="minorEastAsia" w:eastAsiaTheme="minorEastAsia" w:hAnsiTheme="minorEastAsia" w:cs="宋体"/>
                <w:kern w:val="0"/>
                <w:sz w:val="24"/>
                <w:szCs w:val="24"/>
              </w:rPr>
            </w:pPr>
          </w:p>
        </w:tc>
      </w:tr>
      <w:tr w:rsidR="00EA6AC0">
        <w:tc>
          <w:tcPr>
            <w:tcW w:w="2969"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EA6AC0" w:rsidRDefault="00E80433">
            <w:pPr>
              <w:widowControl/>
              <w:jc w:val="right"/>
              <w:rPr>
                <w:rFonts w:cs="Arial"/>
                <w:b/>
                <w:bCs/>
                <w:color w:val="000000"/>
                <w:kern w:val="0"/>
                <w:sz w:val="24"/>
                <w:szCs w:val="24"/>
              </w:rPr>
            </w:pPr>
            <w:r>
              <w:rPr>
                <w:rFonts w:cs="Arial" w:hint="eastAsia"/>
                <w:b/>
                <w:bCs/>
                <w:color w:val="000000"/>
                <w:sz w:val="24"/>
                <w:szCs w:val="24"/>
              </w:rPr>
              <w:t>2,691,461.62</w:t>
            </w:r>
          </w:p>
        </w:tc>
      </w:tr>
      <w:tr w:rsidR="00EA6AC0">
        <w:tc>
          <w:tcPr>
            <w:tcW w:w="2969"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EA6AC0" w:rsidRDefault="00E80433">
            <w:pPr>
              <w:jc w:val="right"/>
              <w:rPr>
                <w:rFonts w:cs="Arial"/>
                <w:color w:val="000000"/>
                <w:sz w:val="24"/>
                <w:szCs w:val="24"/>
              </w:rPr>
            </w:pPr>
            <w:r>
              <w:rPr>
                <w:rFonts w:cs="Arial" w:hint="eastAsia"/>
                <w:color w:val="000000"/>
                <w:sz w:val="24"/>
                <w:szCs w:val="24"/>
              </w:rPr>
              <w:t>1,435,007.78</w:t>
            </w:r>
          </w:p>
        </w:tc>
      </w:tr>
      <w:tr w:rsidR="00EA6AC0">
        <w:tc>
          <w:tcPr>
            <w:tcW w:w="2969"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EA6AC0" w:rsidRDefault="00E80433">
            <w:pPr>
              <w:jc w:val="right"/>
              <w:rPr>
                <w:rFonts w:cs="Arial"/>
                <w:color w:val="000000"/>
                <w:sz w:val="24"/>
                <w:szCs w:val="24"/>
              </w:rPr>
            </w:pPr>
            <w:r>
              <w:rPr>
                <w:rFonts w:cs="Arial" w:hint="eastAsia"/>
                <w:color w:val="000000"/>
                <w:sz w:val="24"/>
                <w:szCs w:val="24"/>
              </w:rPr>
              <w:t>5,737.78</w:t>
            </w:r>
          </w:p>
        </w:tc>
      </w:tr>
      <w:tr w:rsidR="00EA6AC0">
        <w:tc>
          <w:tcPr>
            <w:tcW w:w="2969"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EA6AC0" w:rsidRDefault="00E80433">
            <w:pPr>
              <w:jc w:val="right"/>
              <w:rPr>
                <w:rFonts w:cs="Arial"/>
                <w:color w:val="000000"/>
                <w:sz w:val="24"/>
                <w:szCs w:val="24"/>
              </w:rPr>
            </w:pPr>
            <w:r>
              <w:rPr>
                <w:rFonts w:cs="Arial" w:hint="eastAsia"/>
                <w:color w:val="000000"/>
                <w:sz w:val="24"/>
                <w:szCs w:val="24"/>
              </w:rPr>
              <w:t>1,429,270.00</w:t>
            </w:r>
          </w:p>
        </w:tc>
      </w:tr>
      <w:tr w:rsidR="00EA6AC0">
        <w:tc>
          <w:tcPr>
            <w:tcW w:w="2969"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EA6AC0" w:rsidRDefault="00E80433">
            <w:pPr>
              <w:jc w:val="right"/>
              <w:rPr>
                <w:rFonts w:cs="Arial"/>
                <w:color w:val="000000"/>
                <w:sz w:val="24"/>
                <w:szCs w:val="24"/>
              </w:rPr>
            </w:pPr>
            <w:r>
              <w:rPr>
                <w:rFonts w:cs="Arial" w:hint="eastAsia"/>
                <w:color w:val="000000"/>
                <w:sz w:val="24"/>
                <w:szCs w:val="24"/>
              </w:rPr>
              <w:t>0.00</w:t>
            </w:r>
          </w:p>
        </w:tc>
      </w:tr>
      <w:tr w:rsidR="00EA6AC0">
        <w:tc>
          <w:tcPr>
            <w:tcW w:w="2969"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EA6AC0" w:rsidRDefault="00E80433">
            <w:pPr>
              <w:jc w:val="right"/>
              <w:rPr>
                <w:rFonts w:cs="Arial"/>
                <w:color w:val="000000"/>
                <w:sz w:val="24"/>
                <w:szCs w:val="24"/>
              </w:rPr>
            </w:pPr>
            <w:r>
              <w:rPr>
                <w:rFonts w:cs="Arial" w:hint="eastAsia"/>
                <w:color w:val="000000"/>
                <w:sz w:val="24"/>
                <w:szCs w:val="24"/>
              </w:rPr>
              <w:t>0.00</w:t>
            </w:r>
          </w:p>
        </w:tc>
      </w:tr>
      <w:tr w:rsidR="00EA6AC0">
        <w:tc>
          <w:tcPr>
            <w:tcW w:w="2969"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EA6AC0" w:rsidRDefault="00E80433">
            <w:pPr>
              <w:jc w:val="left"/>
              <w:rPr>
                <w:rFonts w:ascii="Arial" w:hAnsi="Arial" w:cs="Arial"/>
                <w:color w:val="000000"/>
                <w:sz w:val="24"/>
                <w:szCs w:val="24"/>
              </w:rPr>
            </w:pPr>
            <w:r>
              <w:rPr>
                <w:rFonts w:ascii="Arial" w:hAnsi="Arial" w:cs="Arial"/>
                <w:color w:val="000000"/>
                <w:sz w:val="24"/>
                <w:szCs w:val="24"/>
              </w:rPr>
              <w:t xml:space="preserve">　</w:t>
            </w:r>
          </w:p>
        </w:tc>
      </w:tr>
      <w:tr w:rsidR="00EA6AC0">
        <w:tc>
          <w:tcPr>
            <w:tcW w:w="2969"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、投资收益（损失以“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EA6AC0" w:rsidRDefault="00E80433">
            <w:pPr>
              <w:jc w:val="right"/>
              <w:rPr>
                <w:rFonts w:ascii="宋体" w:hAnsi="宋体" w:cs="Arial"/>
                <w:color w:val="000000"/>
                <w:sz w:val="24"/>
                <w:szCs w:val="24"/>
              </w:rPr>
            </w:pPr>
            <w:r>
              <w:rPr>
                <w:rFonts w:cs="Arial" w:hint="eastAsia"/>
                <w:color w:val="000000"/>
                <w:sz w:val="24"/>
                <w:szCs w:val="24"/>
              </w:rPr>
              <w:t>149,334.08</w:t>
            </w:r>
          </w:p>
        </w:tc>
      </w:tr>
      <w:tr w:rsidR="00EA6AC0">
        <w:tc>
          <w:tcPr>
            <w:tcW w:w="2969"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EA6AC0" w:rsidRDefault="00E80433">
            <w:pPr>
              <w:jc w:val="right"/>
              <w:rPr>
                <w:rFonts w:cs="Arial"/>
                <w:color w:val="000000"/>
                <w:sz w:val="24"/>
                <w:szCs w:val="24"/>
              </w:rPr>
            </w:pPr>
            <w:r>
              <w:rPr>
                <w:rFonts w:cs="Arial" w:hint="eastAsia"/>
                <w:color w:val="000000"/>
                <w:sz w:val="24"/>
                <w:szCs w:val="24"/>
              </w:rPr>
              <w:t>0.00</w:t>
            </w:r>
          </w:p>
        </w:tc>
      </w:tr>
      <w:tr w:rsidR="00EA6AC0">
        <w:tc>
          <w:tcPr>
            <w:tcW w:w="2969"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EA6AC0" w:rsidRDefault="00E80433">
            <w:pPr>
              <w:jc w:val="right"/>
              <w:rPr>
                <w:rFonts w:cs="Arial"/>
                <w:color w:val="000000"/>
                <w:sz w:val="24"/>
                <w:szCs w:val="24"/>
              </w:rPr>
            </w:pPr>
            <w:r>
              <w:rPr>
                <w:rFonts w:cs="Arial" w:hint="eastAsia"/>
                <w:color w:val="000000"/>
                <w:sz w:val="24"/>
                <w:szCs w:val="24"/>
              </w:rPr>
              <w:t>0.00</w:t>
            </w:r>
          </w:p>
        </w:tc>
      </w:tr>
      <w:tr w:rsidR="00EA6AC0">
        <w:tc>
          <w:tcPr>
            <w:tcW w:w="2969"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lastRenderedPageBreak/>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EA6AC0" w:rsidRDefault="00E80433">
            <w:pPr>
              <w:jc w:val="right"/>
              <w:rPr>
                <w:rFonts w:cs="Arial"/>
                <w:color w:val="000000"/>
                <w:sz w:val="24"/>
                <w:szCs w:val="24"/>
              </w:rPr>
            </w:pPr>
            <w:r>
              <w:rPr>
                <w:rFonts w:cs="Arial" w:hint="eastAsia"/>
                <w:color w:val="000000"/>
                <w:sz w:val="24"/>
                <w:szCs w:val="24"/>
              </w:rPr>
              <w:t>0.00</w:t>
            </w:r>
          </w:p>
        </w:tc>
      </w:tr>
      <w:tr w:rsidR="00EA6AC0">
        <w:tc>
          <w:tcPr>
            <w:tcW w:w="2969"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EA6AC0" w:rsidRDefault="00E80433">
            <w:pPr>
              <w:jc w:val="right"/>
              <w:rPr>
                <w:rFonts w:cs="Arial"/>
                <w:color w:val="000000"/>
                <w:sz w:val="24"/>
                <w:szCs w:val="24"/>
              </w:rPr>
            </w:pPr>
            <w:r>
              <w:rPr>
                <w:rFonts w:cs="Arial" w:hint="eastAsia"/>
                <w:color w:val="000000"/>
                <w:sz w:val="24"/>
                <w:szCs w:val="24"/>
              </w:rPr>
              <w:t>0.00</w:t>
            </w:r>
          </w:p>
        </w:tc>
      </w:tr>
      <w:tr w:rsidR="00EA6AC0">
        <w:tc>
          <w:tcPr>
            <w:tcW w:w="2969"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EA6AC0" w:rsidRDefault="00E80433">
            <w:pPr>
              <w:jc w:val="right"/>
              <w:rPr>
                <w:rFonts w:cs="Arial"/>
                <w:color w:val="000000"/>
                <w:sz w:val="24"/>
                <w:szCs w:val="24"/>
              </w:rPr>
            </w:pPr>
            <w:r>
              <w:rPr>
                <w:rFonts w:cs="Arial" w:hint="eastAsia"/>
                <w:color w:val="000000"/>
                <w:sz w:val="24"/>
                <w:szCs w:val="24"/>
              </w:rPr>
              <w:t>0.00</w:t>
            </w:r>
          </w:p>
        </w:tc>
      </w:tr>
      <w:tr w:rsidR="00EA6AC0">
        <w:tc>
          <w:tcPr>
            <w:tcW w:w="2969"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EA6AC0" w:rsidRDefault="00E80433">
            <w:pPr>
              <w:jc w:val="right"/>
              <w:rPr>
                <w:rFonts w:cs="Arial"/>
                <w:color w:val="000000"/>
                <w:sz w:val="24"/>
                <w:szCs w:val="24"/>
              </w:rPr>
            </w:pPr>
            <w:r>
              <w:rPr>
                <w:rFonts w:cs="Arial" w:hint="eastAsia"/>
                <w:color w:val="000000"/>
                <w:sz w:val="24"/>
                <w:szCs w:val="24"/>
              </w:rPr>
              <w:t xml:space="preserve">　</w:t>
            </w:r>
          </w:p>
        </w:tc>
      </w:tr>
      <w:tr w:rsidR="00EA6AC0">
        <w:tc>
          <w:tcPr>
            <w:tcW w:w="2969"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EA6AC0" w:rsidRDefault="00E80433">
            <w:pPr>
              <w:jc w:val="right"/>
              <w:rPr>
                <w:rFonts w:cs="Arial"/>
                <w:color w:val="000000"/>
                <w:sz w:val="24"/>
                <w:szCs w:val="24"/>
              </w:rPr>
            </w:pPr>
            <w:r>
              <w:rPr>
                <w:rFonts w:cs="Arial" w:hint="eastAsia"/>
                <w:color w:val="000000"/>
                <w:sz w:val="24"/>
                <w:szCs w:val="24"/>
              </w:rPr>
              <w:t>0.00</w:t>
            </w:r>
          </w:p>
        </w:tc>
      </w:tr>
      <w:tr w:rsidR="00EA6AC0">
        <w:tc>
          <w:tcPr>
            <w:tcW w:w="2969"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EA6AC0" w:rsidRDefault="00E80433">
            <w:pPr>
              <w:jc w:val="right"/>
              <w:rPr>
                <w:rFonts w:cs="Arial"/>
                <w:color w:val="000000"/>
                <w:sz w:val="24"/>
                <w:szCs w:val="24"/>
              </w:rPr>
            </w:pPr>
            <w:r>
              <w:rPr>
                <w:rFonts w:cs="Arial" w:hint="eastAsia"/>
                <w:color w:val="000000"/>
                <w:sz w:val="24"/>
                <w:szCs w:val="24"/>
              </w:rPr>
              <w:t>149,334.08</w:t>
            </w:r>
          </w:p>
        </w:tc>
      </w:tr>
      <w:tr w:rsidR="00EA6AC0">
        <w:tc>
          <w:tcPr>
            <w:tcW w:w="2969"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EA6AC0" w:rsidRDefault="00E80433">
            <w:pPr>
              <w:jc w:val="right"/>
              <w:rPr>
                <w:rFonts w:cs="Arial"/>
                <w:color w:val="000000"/>
                <w:sz w:val="24"/>
                <w:szCs w:val="24"/>
              </w:rPr>
            </w:pPr>
            <w:r>
              <w:rPr>
                <w:rFonts w:cs="Arial" w:hint="eastAsia"/>
                <w:color w:val="000000"/>
                <w:sz w:val="24"/>
                <w:szCs w:val="24"/>
              </w:rPr>
              <w:t>0.00</w:t>
            </w:r>
          </w:p>
        </w:tc>
      </w:tr>
      <w:tr w:rsidR="00EA6AC0">
        <w:tc>
          <w:tcPr>
            <w:tcW w:w="2969"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、公允价值变动收益（损失以“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EA6AC0" w:rsidRDefault="00E80433">
            <w:pPr>
              <w:jc w:val="right"/>
              <w:rPr>
                <w:rFonts w:cs="Arial"/>
                <w:color w:val="000000"/>
                <w:sz w:val="24"/>
                <w:szCs w:val="24"/>
              </w:rPr>
            </w:pPr>
            <w:r>
              <w:rPr>
                <w:rFonts w:cs="Arial" w:hint="eastAsia"/>
                <w:color w:val="000000"/>
                <w:sz w:val="24"/>
                <w:szCs w:val="24"/>
              </w:rPr>
              <w:t>1,107,119.76</w:t>
            </w:r>
          </w:p>
        </w:tc>
      </w:tr>
      <w:tr w:rsidR="00EA6AC0">
        <w:tc>
          <w:tcPr>
            <w:tcW w:w="2969"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、汇总收益（损失以“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EA6AC0" w:rsidRDefault="00E80433">
            <w:pPr>
              <w:jc w:val="right"/>
              <w:rPr>
                <w:rFonts w:cs="Arial"/>
                <w:color w:val="000000"/>
                <w:sz w:val="24"/>
                <w:szCs w:val="24"/>
              </w:rPr>
            </w:pPr>
            <w:r>
              <w:rPr>
                <w:rFonts w:cs="Arial" w:hint="eastAsia"/>
                <w:color w:val="000000"/>
                <w:sz w:val="24"/>
                <w:szCs w:val="24"/>
              </w:rPr>
              <w:t xml:space="preserve">　</w:t>
            </w:r>
          </w:p>
        </w:tc>
      </w:tr>
      <w:tr w:rsidR="00EA6AC0">
        <w:tc>
          <w:tcPr>
            <w:tcW w:w="2969"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、其他收入（损失以“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EA6AC0" w:rsidRDefault="00E80433">
            <w:pPr>
              <w:jc w:val="right"/>
              <w:rPr>
                <w:rFonts w:cs="Arial"/>
                <w:color w:val="000000"/>
                <w:sz w:val="24"/>
                <w:szCs w:val="24"/>
              </w:rPr>
            </w:pPr>
            <w:r>
              <w:rPr>
                <w:rFonts w:cs="Arial" w:hint="eastAsia"/>
                <w:color w:val="000000"/>
                <w:sz w:val="24"/>
                <w:szCs w:val="24"/>
              </w:rPr>
              <w:t>0.00</w:t>
            </w:r>
          </w:p>
        </w:tc>
      </w:tr>
      <w:tr w:rsidR="00EA6AC0">
        <w:tc>
          <w:tcPr>
            <w:tcW w:w="2969"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EA6AC0" w:rsidRDefault="00E80433">
            <w:pPr>
              <w:jc w:val="right"/>
              <w:rPr>
                <w:rFonts w:cs="Arial"/>
                <w:b/>
                <w:bCs/>
                <w:color w:val="000000"/>
                <w:sz w:val="24"/>
                <w:szCs w:val="24"/>
              </w:rPr>
            </w:pPr>
            <w:r>
              <w:rPr>
                <w:rFonts w:cs="Arial" w:hint="eastAsia"/>
                <w:b/>
                <w:bCs/>
                <w:color w:val="000000"/>
                <w:sz w:val="24"/>
                <w:szCs w:val="24"/>
              </w:rPr>
              <w:t>331,092.50</w:t>
            </w:r>
          </w:p>
        </w:tc>
      </w:tr>
      <w:tr w:rsidR="00EA6AC0">
        <w:tc>
          <w:tcPr>
            <w:tcW w:w="2969"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EA6AC0" w:rsidRDefault="00E80433">
            <w:pPr>
              <w:jc w:val="right"/>
              <w:rPr>
                <w:rFonts w:cs="Arial"/>
                <w:color w:val="000000"/>
                <w:sz w:val="24"/>
                <w:szCs w:val="24"/>
              </w:rPr>
            </w:pPr>
            <w:r>
              <w:rPr>
                <w:rFonts w:cs="Arial" w:hint="eastAsia"/>
                <w:color w:val="000000"/>
                <w:sz w:val="24"/>
                <w:szCs w:val="24"/>
              </w:rPr>
              <w:t>203,432.77</w:t>
            </w:r>
          </w:p>
        </w:tc>
      </w:tr>
      <w:tr w:rsidR="00EA6AC0">
        <w:tc>
          <w:tcPr>
            <w:tcW w:w="2969"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EA6AC0" w:rsidRDefault="00E80433">
            <w:pPr>
              <w:jc w:val="right"/>
              <w:rPr>
                <w:rFonts w:cs="Arial"/>
                <w:color w:val="000000"/>
                <w:sz w:val="24"/>
                <w:szCs w:val="24"/>
              </w:rPr>
            </w:pPr>
            <w:r>
              <w:rPr>
                <w:rFonts w:cs="Arial" w:hint="eastAsia"/>
                <w:color w:val="000000"/>
                <w:sz w:val="24"/>
                <w:szCs w:val="24"/>
              </w:rPr>
              <w:t>6,781.10</w:t>
            </w:r>
          </w:p>
        </w:tc>
      </w:tr>
      <w:tr w:rsidR="00EA6AC0">
        <w:tc>
          <w:tcPr>
            <w:tcW w:w="2969"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EA6AC0" w:rsidRDefault="00E80433">
            <w:pPr>
              <w:jc w:val="right"/>
              <w:rPr>
                <w:rFonts w:cs="Arial"/>
                <w:color w:val="000000"/>
                <w:sz w:val="24"/>
                <w:szCs w:val="24"/>
              </w:rPr>
            </w:pPr>
            <w:r>
              <w:rPr>
                <w:rFonts w:cs="Arial" w:hint="eastAsia"/>
                <w:color w:val="000000"/>
                <w:sz w:val="24"/>
                <w:szCs w:val="24"/>
              </w:rPr>
              <w:t>101,716.36</w:t>
            </w:r>
          </w:p>
        </w:tc>
      </w:tr>
      <w:tr w:rsidR="00EA6AC0">
        <w:tc>
          <w:tcPr>
            <w:tcW w:w="2969"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EA6AC0" w:rsidRDefault="00E80433">
            <w:pPr>
              <w:jc w:val="right"/>
              <w:rPr>
                <w:rFonts w:cs="Arial"/>
                <w:color w:val="000000"/>
                <w:sz w:val="24"/>
                <w:szCs w:val="24"/>
              </w:rPr>
            </w:pPr>
            <w:r>
              <w:rPr>
                <w:rFonts w:cs="Arial" w:hint="eastAsia"/>
                <w:color w:val="000000"/>
                <w:sz w:val="24"/>
                <w:szCs w:val="24"/>
              </w:rPr>
              <w:t>11,700.27</w:t>
            </w:r>
          </w:p>
        </w:tc>
      </w:tr>
      <w:tr w:rsidR="00EA6AC0">
        <w:tc>
          <w:tcPr>
            <w:tcW w:w="2969"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EA6AC0" w:rsidRDefault="00E80433">
            <w:pPr>
              <w:jc w:val="right"/>
              <w:rPr>
                <w:rFonts w:cs="Arial"/>
                <w:color w:val="000000"/>
                <w:sz w:val="24"/>
                <w:szCs w:val="24"/>
              </w:rPr>
            </w:pPr>
            <w:r>
              <w:rPr>
                <w:rFonts w:cs="Arial" w:hint="eastAsia"/>
                <w:color w:val="000000"/>
                <w:sz w:val="24"/>
                <w:szCs w:val="24"/>
              </w:rPr>
              <w:t>0.00</w:t>
            </w:r>
          </w:p>
        </w:tc>
      </w:tr>
      <w:tr w:rsidR="00EA6AC0">
        <w:tc>
          <w:tcPr>
            <w:tcW w:w="2969"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EA6AC0" w:rsidRDefault="00E80433">
            <w:pPr>
              <w:jc w:val="right"/>
              <w:rPr>
                <w:rFonts w:cs="Arial"/>
                <w:color w:val="000000"/>
                <w:sz w:val="24"/>
                <w:szCs w:val="24"/>
              </w:rPr>
            </w:pPr>
            <w:r>
              <w:rPr>
                <w:rFonts w:cs="Arial" w:hint="eastAsia"/>
                <w:color w:val="000000"/>
                <w:sz w:val="24"/>
                <w:szCs w:val="24"/>
              </w:rPr>
              <w:t>0.00</w:t>
            </w:r>
          </w:p>
        </w:tc>
      </w:tr>
      <w:tr w:rsidR="00EA6AC0">
        <w:tc>
          <w:tcPr>
            <w:tcW w:w="2969"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rPr>
                <w:rFonts w:asciiTheme="minorEastAsia" w:eastAsiaTheme="minorEastAsia" w:hAnsiTheme="minorEastAsia"/>
              </w:rPr>
            </w:pPr>
            <w:r>
              <w:rPr>
                <w:rFonts w:asciiTheme="minorEastAsia" w:eastAsiaTheme="minorEastAsia" w:hAnsiTheme="minorEastAsia" w:cs="Arial"/>
                <w:color w:val="000000"/>
              </w:rPr>
              <w:t>6</w:t>
            </w:r>
            <w:r>
              <w:rPr>
                <w:rFonts w:asciiTheme="minorEastAsia" w:eastAsiaTheme="minorEastAsia" w:hAnsiTheme="minorEastAsia" w:cs="Arial"/>
                <w:color w:val="000000"/>
              </w:rPr>
              <w:t>、税金及附加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EA6AC0" w:rsidRDefault="00E80433">
            <w:pPr>
              <w:jc w:val="right"/>
              <w:rPr>
                <w:rFonts w:cs="Arial"/>
                <w:color w:val="000000"/>
                <w:sz w:val="24"/>
                <w:szCs w:val="24"/>
              </w:rPr>
            </w:pPr>
            <w:r>
              <w:rPr>
                <w:rFonts w:cs="Arial" w:hint="eastAsia"/>
                <w:color w:val="000000"/>
                <w:sz w:val="24"/>
                <w:szCs w:val="24"/>
              </w:rPr>
              <w:t>7,062.00</w:t>
            </w:r>
          </w:p>
        </w:tc>
      </w:tr>
      <w:tr w:rsidR="00EA6AC0">
        <w:tc>
          <w:tcPr>
            <w:tcW w:w="2969"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w:t>
            </w:r>
            <w:r>
              <w:rPr>
                <w:rFonts w:asciiTheme="minorEastAsia" w:eastAsiaTheme="minorEastAsia" w:hAnsiTheme="minorEastAsia" w:cs="Arial" w:hint="eastAsia"/>
                <w:color w:val="000000"/>
              </w:rPr>
              <w:t>、其他费用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EA6AC0" w:rsidRDefault="00E80433">
            <w:pPr>
              <w:jc w:val="right"/>
              <w:rPr>
                <w:rFonts w:cs="Arial"/>
                <w:color w:val="000000"/>
                <w:sz w:val="24"/>
                <w:szCs w:val="24"/>
              </w:rPr>
            </w:pPr>
            <w:r>
              <w:rPr>
                <w:rFonts w:cs="Arial" w:hint="eastAsia"/>
                <w:color w:val="000000"/>
                <w:sz w:val="24"/>
                <w:szCs w:val="24"/>
              </w:rPr>
              <w:t>400.00</w:t>
            </w:r>
          </w:p>
        </w:tc>
      </w:tr>
      <w:tr w:rsidR="00EA6AC0">
        <w:tc>
          <w:tcPr>
            <w:tcW w:w="2969"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w:t>
            </w:r>
            <w:r>
              <w:rPr>
                <w:rFonts w:asciiTheme="minorEastAsia" w:eastAsiaTheme="minorEastAsia" w:hAnsiTheme="minorEastAsia" w:cs="Arial" w:hint="eastAsia"/>
                <w:b/>
                <w:bCs/>
                <w:color w:val="000000"/>
              </w:rPr>
              <w:t>-</w:t>
            </w:r>
            <w:r>
              <w:rPr>
                <w:rFonts w:asciiTheme="minorEastAsia" w:eastAsiaTheme="minorEastAsia" w:hAnsiTheme="minorEastAsia" w:cs="Arial" w:hint="eastAsia"/>
                <w:b/>
                <w:bCs/>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EA6AC0" w:rsidRDefault="00E80433">
            <w:pPr>
              <w:jc w:val="right"/>
              <w:rPr>
                <w:rFonts w:cs="Arial"/>
                <w:b/>
                <w:bCs/>
                <w:color w:val="000000"/>
                <w:sz w:val="24"/>
                <w:szCs w:val="24"/>
              </w:rPr>
            </w:pPr>
            <w:r>
              <w:rPr>
                <w:rFonts w:cs="Arial" w:hint="eastAsia"/>
                <w:b/>
                <w:bCs/>
                <w:color w:val="000000"/>
                <w:sz w:val="24"/>
                <w:szCs w:val="24"/>
              </w:rPr>
              <w:t>2,360,369.12</w:t>
            </w:r>
          </w:p>
        </w:tc>
      </w:tr>
      <w:tr w:rsidR="00EA6AC0">
        <w:tc>
          <w:tcPr>
            <w:tcW w:w="2969"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EA6AC0" w:rsidRDefault="00E80433">
            <w:pPr>
              <w:jc w:val="right"/>
              <w:rPr>
                <w:rFonts w:ascii="Arial" w:hAnsi="Arial" w:cs="Arial"/>
                <w:color w:val="000000"/>
                <w:sz w:val="24"/>
                <w:szCs w:val="24"/>
              </w:rPr>
            </w:pPr>
            <w:r>
              <w:rPr>
                <w:rFonts w:ascii="Arial" w:hAnsi="Arial" w:cs="Arial"/>
                <w:color w:val="000000"/>
                <w:sz w:val="24"/>
                <w:szCs w:val="24"/>
              </w:rPr>
              <w:t xml:space="preserve">　</w:t>
            </w:r>
          </w:p>
        </w:tc>
      </w:tr>
      <w:tr w:rsidR="00EA6AC0">
        <w:tc>
          <w:tcPr>
            <w:tcW w:w="2969" w:type="dxa"/>
            <w:tcBorders>
              <w:top w:val="single" w:sz="8" w:space="0" w:color="000000"/>
              <w:left w:val="single" w:sz="8" w:space="0" w:color="000000"/>
              <w:bottom w:val="single" w:sz="8" w:space="0" w:color="000000"/>
              <w:right w:val="single" w:sz="8" w:space="0" w:color="000000"/>
            </w:tcBorders>
            <w:vAlign w:val="center"/>
          </w:tcPr>
          <w:p w:rsidR="00EA6AC0" w:rsidRDefault="00E80433">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w:t>
            </w:r>
            <w:r>
              <w:rPr>
                <w:rFonts w:asciiTheme="minorEastAsia" w:eastAsiaTheme="minorEastAsia" w:hAnsiTheme="minorEastAsia" w:cs="Arial" w:hint="eastAsia"/>
                <w:b/>
                <w:bCs/>
                <w:color w:val="000000"/>
                <w:sz w:val="24"/>
                <w:szCs w:val="24"/>
              </w:rPr>
              <w:t>-</w:t>
            </w:r>
            <w:r>
              <w:rPr>
                <w:rFonts w:asciiTheme="minorEastAsia" w:eastAsiaTheme="minorEastAsia" w:hAnsiTheme="minorEastAsia" w:cs="Arial" w:hint="eastAsia"/>
                <w:b/>
                <w:bCs/>
                <w:color w:val="000000"/>
                <w:sz w:val="24"/>
                <w:szCs w:val="24"/>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EA6AC0" w:rsidRDefault="00E80433">
            <w:pPr>
              <w:jc w:val="right"/>
              <w:rPr>
                <w:rFonts w:ascii="宋体" w:hAnsi="宋体" w:cs="Arial"/>
                <w:b/>
                <w:bCs/>
                <w:color w:val="000000"/>
                <w:sz w:val="24"/>
                <w:szCs w:val="24"/>
              </w:rPr>
            </w:pPr>
            <w:r>
              <w:rPr>
                <w:rFonts w:cs="Arial" w:hint="eastAsia"/>
                <w:b/>
                <w:bCs/>
                <w:color w:val="000000"/>
                <w:sz w:val="24"/>
                <w:szCs w:val="24"/>
              </w:rPr>
              <w:t>2,360,369.12</w:t>
            </w:r>
          </w:p>
        </w:tc>
      </w:tr>
      <w:bookmarkEnd w:id="5"/>
    </w:tbl>
    <w:p w:rsidR="00EA6AC0" w:rsidRDefault="00EA6AC0">
      <w:pPr>
        <w:widowControl/>
        <w:jc w:val="left"/>
        <w:rPr>
          <w:rFonts w:ascii="宋体" w:hAnsi="宋体" w:cs="宋体"/>
          <w:kern w:val="0"/>
          <w:sz w:val="24"/>
          <w:szCs w:val="24"/>
        </w:rPr>
      </w:pPr>
    </w:p>
    <w:p w:rsidR="00EA6AC0" w:rsidRDefault="00E80433">
      <w:pPr>
        <w:pStyle w:val="zhangjiep"/>
      </w:pPr>
      <w:bookmarkStart w:id="6" w:name="_Toc61427505"/>
      <w:r>
        <w:rPr>
          <w:rFonts w:hint="eastAsia"/>
          <w:b/>
          <w:bCs/>
        </w:rPr>
        <w:t xml:space="preserve">5.3 </w:t>
      </w:r>
      <w:r>
        <w:rPr>
          <w:rFonts w:hint="eastAsia"/>
          <w:b/>
          <w:bCs/>
        </w:rPr>
        <w:t>所有者权益（基金净值）变动表</w:t>
      </w:r>
      <w:bookmarkEnd w:id="6"/>
    </w:p>
    <w:p w:rsidR="00EA6AC0" w:rsidRDefault="00E80433">
      <w:pPr>
        <w:pStyle w:val="biaogeleft"/>
      </w:pPr>
      <w:r>
        <w:rPr>
          <w:rFonts w:hint="eastAsia"/>
        </w:rPr>
        <w:t>会计主体：南京银行珠联璧合致远平衡</w:t>
      </w:r>
      <w:r>
        <w:rPr>
          <w:rFonts w:hint="eastAsia"/>
        </w:rPr>
        <w:t>2009</w:t>
      </w:r>
      <w:r>
        <w:rPr>
          <w:rFonts w:hint="eastAsia"/>
        </w:rPr>
        <w:t>两年定开公募人民币理财产品</w:t>
      </w:r>
    </w:p>
    <w:p w:rsidR="00EA6AC0" w:rsidRDefault="00E80433">
      <w:pPr>
        <w:pStyle w:val="biaogeleft"/>
      </w:pPr>
      <w:r>
        <w:rPr>
          <w:rFonts w:hint="eastAsia"/>
        </w:rPr>
        <w:t>本报告期：</w:t>
      </w:r>
      <w:r>
        <w:rPr>
          <w:rFonts w:hint="eastAsia"/>
        </w:rPr>
        <w:t>2020</w:t>
      </w:r>
      <w:r>
        <w:rPr>
          <w:rFonts w:hint="eastAsia"/>
        </w:rPr>
        <w:t>年</w:t>
      </w:r>
      <w:r>
        <w:rPr>
          <w:rFonts w:hint="eastAsia"/>
        </w:rPr>
        <w:t>09</w:t>
      </w:r>
      <w:r>
        <w:rPr>
          <w:rFonts w:hint="eastAsia"/>
        </w:rPr>
        <w:t>月</w:t>
      </w:r>
      <w:r>
        <w:rPr>
          <w:rFonts w:hint="eastAsia"/>
        </w:rPr>
        <w:t>24</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EA6AC0" w:rsidRDefault="00E80433">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lastRenderedPageBreak/>
        <w:t>单位：人民币元</w:t>
      </w:r>
    </w:p>
    <w:tbl>
      <w:tblPr>
        <w:tblW w:w="9198" w:type="dxa"/>
        <w:tblInd w:w="108" w:type="dxa"/>
        <w:tblLayout w:type="fixed"/>
        <w:tblLook w:val="04A0"/>
      </w:tblPr>
      <w:tblGrid>
        <w:gridCol w:w="2116"/>
        <w:gridCol w:w="2299"/>
        <w:gridCol w:w="2299"/>
        <w:gridCol w:w="2484"/>
      </w:tblGrid>
      <w:tr w:rsidR="00EA6AC0">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center"/>
              <w:wordWrap w:val="0"/>
            </w:pPr>
            <w:r>
              <w:rPr>
                <w:rFonts w:hint="eastAsia"/>
              </w:rPr>
              <w:t>本期</w:t>
            </w:r>
            <w:r>
              <w:rPr>
                <w:rFonts w:hint="eastAsia"/>
              </w:rPr>
              <w:t> </w:t>
            </w:r>
          </w:p>
          <w:p w:rsidR="00EA6AC0" w:rsidRDefault="00E80433">
            <w:pPr>
              <w:pStyle w:val="biaogecenter"/>
              <w:wordWrap w:val="0"/>
            </w:pPr>
            <w:r>
              <w:rPr>
                <w:rFonts w:hint="eastAsia"/>
              </w:rPr>
              <w:t>2020</w:t>
            </w:r>
            <w:r>
              <w:rPr>
                <w:rFonts w:hint="eastAsia"/>
              </w:rPr>
              <w:t>年</w:t>
            </w:r>
            <w:r>
              <w:rPr>
                <w:rFonts w:hint="eastAsia"/>
              </w:rPr>
              <w:t>09</w:t>
            </w:r>
            <w:r>
              <w:rPr>
                <w:rFonts w:hint="eastAsia"/>
              </w:rPr>
              <w:t>月</w:t>
            </w:r>
            <w:r>
              <w:rPr>
                <w:rFonts w:hint="eastAsia"/>
              </w:rPr>
              <w:t>24</w:t>
            </w:r>
            <w:r>
              <w:rPr>
                <w:rFonts w:hint="eastAsia"/>
              </w:rPr>
              <w:t>日</w:t>
            </w:r>
            <w:r>
              <w:rPr>
                <w:rStyle w:val="show1"/>
                <w:rFonts w:hint="eastAsia"/>
              </w:rPr>
              <w:t>（基金合同生效日）</w:t>
            </w:r>
            <w:r>
              <w:rPr>
                <w:rFonts w:hint="eastAsia"/>
              </w:rPr>
              <w:t>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EA6AC0">
        <w:tc>
          <w:tcPr>
            <w:tcW w:w="2116" w:type="dxa"/>
            <w:vMerge/>
            <w:tcBorders>
              <w:top w:val="single" w:sz="8" w:space="0" w:color="000000"/>
              <w:left w:val="single" w:sz="8" w:space="0" w:color="000000"/>
              <w:bottom w:val="single" w:sz="8" w:space="0" w:color="000000"/>
              <w:right w:val="single" w:sz="8" w:space="0" w:color="000000"/>
            </w:tcBorders>
            <w:vAlign w:val="center"/>
          </w:tcPr>
          <w:p w:rsidR="00EA6AC0" w:rsidRDefault="00EA6AC0">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center"/>
              <w:wordWrap w:val="0"/>
            </w:pPr>
            <w:r>
              <w:rPr>
                <w:rFonts w:hint="eastAsia"/>
              </w:rPr>
              <w:t>所有者权益合计</w:t>
            </w:r>
            <w:r>
              <w:rPr>
                <w:rFonts w:hint="eastAsia"/>
              </w:rPr>
              <w:t> </w:t>
            </w:r>
          </w:p>
        </w:tc>
      </w:tr>
      <w:tr w:rsidR="00EA6AC0">
        <w:tc>
          <w:tcPr>
            <w:tcW w:w="2116"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hint="eastAsia"/>
              </w:rPr>
              <w:t>125,760,000.00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hint="eastAsia"/>
              </w:rPr>
              <w:t>125,760,000.00</w:t>
            </w:r>
          </w:p>
        </w:tc>
      </w:tr>
      <w:tr w:rsidR="00EA6AC0">
        <w:tc>
          <w:tcPr>
            <w:tcW w:w="2116"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hint="eastAsia"/>
              </w:rPr>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hint="eastAsia"/>
              </w:rPr>
              <w:t>2,360,369.12</w:t>
            </w:r>
          </w:p>
        </w:tc>
        <w:tc>
          <w:tcPr>
            <w:tcW w:w="2484"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hint="eastAsia"/>
              </w:rPr>
              <w:t>2,360,369.12</w:t>
            </w:r>
          </w:p>
        </w:tc>
      </w:tr>
      <w:tr w:rsidR="00EA6AC0">
        <w:tc>
          <w:tcPr>
            <w:tcW w:w="2116"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hint="eastAsia"/>
              </w:rPr>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hint="eastAsia"/>
              </w:rPr>
              <w:t>-</w:t>
            </w:r>
          </w:p>
        </w:tc>
      </w:tr>
      <w:tr w:rsidR="00EA6AC0">
        <w:tc>
          <w:tcPr>
            <w:tcW w:w="2116"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hint="eastAsia"/>
              </w:rPr>
              <w:t>-</w:t>
            </w:r>
          </w:p>
        </w:tc>
      </w:tr>
      <w:tr w:rsidR="00EA6AC0">
        <w:tc>
          <w:tcPr>
            <w:tcW w:w="2116"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hint="eastAsia"/>
              </w:rPr>
              <w:t>-</w:t>
            </w:r>
          </w:p>
        </w:tc>
      </w:tr>
      <w:tr w:rsidR="00EA6AC0">
        <w:tc>
          <w:tcPr>
            <w:tcW w:w="2116"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hint="eastAsia"/>
              </w:rPr>
              <w:t>-</w:t>
            </w:r>
          </w:p>
        </w:tc>
      </w:tr>
      <w:tr w:rsidR="00EA6AC0">
        <w:tc>
          <w:tcPr>
            <w:tcW w:w="2116"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hint="eastAsia"/>
              </w:rPr>
              <w:t>125,760,000.00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hint="eastAsia"/>
              </w:rPr>
              <w:t>2,360,369.12</w:t>
            </w:r>
          </w:p>
        </w:tc>
        <w:tc>
          <w:tcPr>
            <w:tcW w:w="2484"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right"/>
              <w:wordWrap w:val="0"/>
            </w:pPr>
            <w:r>
              <w:rPr>
                <w:rFonts w:hint="eastAsia"/>
              </w:rPr>
              <w:t>128,120,369.12</w:t>
            </w:r>
          </w:p>
        </w:tc>
      </w:tr>
    </w:tbl>
    <w:p w:rsidR="00EA6AC0" w:rsidRDefault="00EA6AC0">
      <w:pPr>
        <w:widowControl/>
        <w:autoSpaceDE w:val="0"/>
        <w:autoSpaceDN w:val="0"/>
        <w:adjustRightInd w:val="0"/>
        <w:spacing w:line="288" w:lineRule="auto"/>
        <w:jc w:val="right"/>
        <w:rPr>
          <w:rFonts w:ascii="宋体" w:hAnsi="宋体" w:cs="宋体"/>
          <w:kern w:val="0"/>
          <w:sz w:val="24"/>
          <w:szCs w:val="24"/>
        </w:rPr>
      </w:pPr>
    </w:p>
    <w:p w:rsidR="00EA6AC0" w:rsidRDefault="00EA6AC0">
      <w:pPr>
        <w:pStyle w:val="biaogeleft"/>
        <w:spacing w:line="360" w:lineRule="auto"/>
        <w:ind w:firstLine="480"/>
        <w:rPr>
          <w:color w:val="000000"/>
        </w:rPr>
      </w:pPr>
    </w:p>
    <w:p w:rsidR="00EA6AC0" w:rsidRDefault="00E80433">
      <w:pPr>
        <w:pStyle w:val="dazhangjie"/>
        <w:rPr>
          <w:color w:val="000000"/>
        </w:rPr>
      </w:pPr>
      <w:r>
        <w:rPr>
          <w:rFonts w:hAnsi="Calibri" w:hint="eastAsia"/>
          <w:b/>
          <w:color w:val="000000"/>
        </w:rPr>
        <w:t>§</w:t>
      </w:r>
      <w:r>
        <w:rPr>
          <w:rFonts w:hAnsi="Calibri" w:hint="eastAsia"/>
          <w:b/>
          <w:color w:val="000000"/>
        </w:rPr>
        <w:t xml:space="preserve">6  </w:t>
      </w:r>
      <w:r>
        <w:rPr>
          <w:rFonts w:hAnsi="Calibri" w:hint="eastAsia"/>
          <w:b/>
          <w:color w:val="000000"/>
        </w:rPr>
        <w:t>投资组合报告</w:t>
      </w:r>
    </w:p>
    <w:p w:rsidR="00EA6AC0" w:rsidRDefault="00EA6AC0">
      <w:pPr>
        <w:widowControl/>
        <w:jc w:val="left"/>
        <w:rPr>
          <w:rFonts w:ascii="宋体" w:hAnsi="宋体" w:cs="宋体"/>
          <w:color w:val="000000"/>
          <w:kern w:val="0"/>
          <w:sz w:val="24"/>
          <w:szCs w:val="24"/>
        </w:rPr>
      </w:pPr>
    </w:p>
    <w:p w:rsidR="00EA6AC0" w:rsidRDefault="00E80433">
      <w:pPr>
        <w:pStyle w:val="zhangjiep"/>
        <w:rPr>
          <w:color w:val="000000"/>
        </w:rPr>
      </w:pPr>
      <w:r>
        <w:rPr>
          <w:rFonts w:hint="eastAsia"/>
          <w:b/>
          <w:bCs/>
          <w:color w:val="000000"/>
        </w:rPr>
        <w:t xml:space="preserve">6.1 </w:t>
      </w:r>
      <w:r>
        <w:rPr>
          <w:rFonts w:hint="eastAsia"/>
          <w:b/>
          <w:bCs/>
          <w:color w:val="000000"/>
        </w:rPr>
        <w:t>报告期末产品资产组合情况</w:t>
      </w:r>
    </w:p>
    <w:tbl>
      <w:tblPr>
        <w:tblW w:w="8931" w:type="dxa"/>
        <w:tblInd w:w="108" w:type="dxa"/>
        <w:tblLayout w:type="fixed"/>
        <w:tblLook w:val="04A0"/>
      </w:tblPr>
      <w:tblGrid>
        <w:gridCol w:w="891"/>
        <w:gridCol w:w="3314"/>
        <w:gridCol w:w="2331"/>
        <w:gridCol w:w="2395"/>
      </w:tblGrid>
      <w:tr w:rsidR="00EA6AC0">
        <w:tc>
          <w:tcPr>
            <w:tcW w:w="891" w:type="dxa"/>
            <w:tcBorders>
              <w:top w:val="single" w:sz="8" w:space="0" w:color="000000"/>
              <w:left w:val="single" w:sz="8" w:space="0" w:color="000000"/>
              <w:bottom w:val="single" w:sz="6" w:space="0" w:color="000000"/>
              <w:right w:val="single" w:sz="8" w:space="0" w:color="000000"/>
            </w:tcBorders>
            <w:vAlign w:val="bottom"/>
          </w:tcPr>
          <w:p w:rsidR="00EA6AC0" w:rsidRDefault="00E80433">
            <w:pPr>
              <w:widowControl/>
              <w:jc w:val="center"/>
              <w:textAlignment w:val="bottom"/>
              <w:rPr>
                <w:color w:val="000000"/>
              </w:rPr>
            </w:pPr>
            <w:r>
              <w:rPr>
                <w:rFonts w:ascii="宋体" w:hAnsi="宋体" w:cs="宋体" w:hint="eastAsia"/>
                <w:color w:val="000000"/>
                <w:kern w:val="0"/>
                <w:sz w:val="24"/>
                <w:szCs w:val="24"/>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EA6AC0" w:rsidRDefault="00E80433">
            <w:pPr>
              <w:widowControl/>
              <w:jc w:val="center"/>
              <w:textAlignment w:val="bottom"/>
              <w:rPr>
                <w:color w:val="000000"/>
              </w:rPr>
            </w:pPr>
            <w:r>
              <w:rPr>
                <w:rFonts w:ascii="宋体" w:hAnsi="宋体" w:cs="宋体" w:hint="eastAsia"/>
                <w:color w:val="000000"/>
                <w:kern w:val="0"/>
                <w:sz w:val="24"/>
                <w:szCs w:val="24"/>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EA6AC0" w:rsidRDefault="00E80433">
            <w:pPr>
              <w:widowControl/>
              <w:jc w:val="center"/>
              <w:textAlignment w:val="bottom"/>
              <w:rPr>
                <w:color w:val="000000"/>
              </w:rPr>
            </w:pPr>
            <w:r>
              <w:rPr>
                <w:rFonts w:ascii="宋体" w:hAnsi="宋体" w:cs="宋体" w:hint="eastAsia"/>
                <w:color w:val="000000"/>
                <w:kern w:val="0"/>
                <w:sz w:val="24"/>
                <w:szCs w:val="24"/>
              </w:rPr>
              <w:t>金额</w:t>
            </w:r>
            <w:r>
              <w:rPr>
                <w:rFonts w:ascii="宋体" w:hAnsi="宋体" w:cs="宋体" w:hint="eastAsia"/>
                <w:color w:val="000000"/>
                <w:kern w:val="0"/>
                <w:sz w:val="24"/>
                <w:szCs w:val="24"/>
              </w:rPr>
              <w:t>(</w:t>
            </w:r>
            <w:r>
              <w:rPr>
                <w:rFonts w:ascii="宋体" w:hAnsi="宋体" w:cs="宋体" w:hint="eastAsia"/>
                <w:color w:val="000000"/>
                <w:kern w:val="0"/>
                <w:sz w:val="24"/>
                <w:szCs w:val="24"/>
              </w:rPr>
              <w:t>元</w:t>
            </w:r>
            <w:r>
              <w:rPr>
                <w:rFonts w:ascii="宋体" w:hAnsi="宋体" w:cs="宋体" w:hint="eastAsia"/>
                <w:color w:val="000000"/>
                <w:kern w:val="0"/>
                <w:sz w:val="24"/>
                <w:szCs w:val="24"/>
              </w:rPr>
              <w:t>)</w:t>
            </w:r>
          </w:p>
        </w:tc>
        <w:tc>
          <w:tcPr>
            <w:tcW w:w="2395" w:type="dxa"/>
            <w:tcBorders>
              <w:top w:val="single" w:sz="8" w:space="0" w:color="000000"/>
              <w:left w:val="single" w:sz="8" w:space="0" w:color="000000"/>
              <w:bottom w:val="single" w:sz="6" w:space="0" w:color="000000"/>
              <w:right w:val="single" w:sz="8" w:space="0" w:color="000000"/>
            </w:tcBorders>
            <w:vAlign w:val="bottom"/>
          </w:tcPr>
          <w:p w:rsidR="00EA6AC0" w:rsidRDefault="00E80433">
            <w:pPr>
              <w:widowControl/>
              <w:jc w:val="center"/>
              <w:textAlignment w:val="bottom"/>
              <w:rPr>
                <w:color w:val="000000"/>
              </w:rPr>
            </w:pPr>
            <w:r>
              <w:rPr>
                <w:rFonts w:ascii="宋体" w:hAnsi="宋体" w:cs="宋体" w:hint="eastAsia"/>
                <w:color w:val="000000"/>
                <w:kern w:val="0"/>
                <w:sz w:val="24"/>
                <w:szCs w:val="24"/>
              </w:rPr>
              <w:t>占产品总资产的比例（</w:t>
            </w:r>
            <w:r>
              <w:rPr>
                <w:rFonts w:ascii="宋体" w:hAnsi="宋体" w:cs="宋体" w:hint="eastAsia"/>
                <w:color w:val="000000"/>
                <w:kern w:val="0"/>
                <w:sz w:val="24"/>
                <w:szCs w:val="24"/>
              </w:rPr>
              <w:t>%</w:t>
            </w:r>
            <w:r>
              <w:rPr>
                <w:rFonts w:ascii="宋体" w:hAnsi="宋体" w:cs="宋体" w:hint="eastAsia"/>
                <w:color w:val="000000"/>
                <w:kern w:val="0"/>
                <w:sz w:val="24"/>
                <w:szCs w:val="24"/>
              </w:rPr>
              <w:t>）</w:t>
            </w:r>
          </w:p>
        </w:tc>
      </w:tr>
      <w:tr w:rsidR="00EA6AC0">
        <w:tc>
          <w:tcPr>
            <w:tcW w:w="891"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EA6AC0" w:rsidRDefault="00E80433">
            <w:pPr>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EA6AC0" w:rsidRDefault="00E80433">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EA6AC0" w:rsidRDefault="00E80433">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EA6AC0">
        <w:tc>
          <w:tcPr>
            <w:tcW w:w="891"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12,536,985.46</w:t>
            </w:r>
          </w:p>
        </w:tc>
        <w:tc>
          <w:tcPr>
            <w:tcW w:w="2395"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9.76</w:t>
            </w:r>
          </w:p>
        </w:tc>
      </w:tr>
      <w:tr w:rsidR="00EA6AC0">
        <w:tc>
          <w:tcPr>
            <w:tcW w:w="891"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30,324,090.00</w:t>
            </w:r>
          </w:p>
        </w:tc>
        <w:tc>
          <w:tcPr>
            <w:tcW w:w="2395"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23.60</w:t>
            </w:r>
          </w:p>
        </w:tc>
      </w:tr>
      <w:tr w:rsidR="00EA6AC0">
        <w:tc>
          <w:tcPr>
            <w:tcW w:w="891"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EA6AC0">
        <w:tc>
          <w:tcPr>
            <w:tcW w:w="891"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lastRenderedPageBreak/>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60,000,000.00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46.69</w:t>
            </w:r>
          </w:p>
        </w:tc>
      </w:tr>
      <w:tr w:rsidR="00EA6AC0">
        <w:tc>
          <w:tcPr>
            <w:tcW w:w="891"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left"/>
              <w:textAlignment w:val="bottom"/>
              <w:rPr>
                <w:rFonts w:ascii="宋体" w:hAnsi="宋体" w:cs="宋体"/>
                <w:color w:val="000000"/>
                <w:kern w:val="0"/>
                <w:sz w:val="24"/>
                <w:szCs w:val="24"/>
              </w:rPr>
            </w:pPr>
            <w:r>
              <w:rPr>
                <w:rFonts w:ascii="宋体" w:hAnsi="宋体" w:cs="宋体"/>
                <w:color w:val="000000"/>
                <w:kern w:val="0"/>
                <w:sz w:val="24"/>
                <w:szCs w:val="24"/>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22,527,627.24</w:t>
            </w:r>
          </w:p>
        </w:tc>
        <w:tc>
          <w:tcPr>
            <w:tcW w:w="2395"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17.53</w:t>
            </w:r>
          </w:p>
        </w:tc>
      </w:tr>
      <w:tr w:rsidR="00EA6AC0">
        <w:tc>
          <w:tcPr>
            <w:tcW w:w="891"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EA6AC0">
        <w:tc>
          <w:tcPr>
            <w:tcW w:w="891"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EA6AC0">
        <w:tc>
          <w:tcPr>
            <w:tcW w:w="891"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1,280,448.46</w:t>
            </w:r>
          </w:p>
        </w:tc>
        <w:tc>
          <w:tcPr>
            <w:tcW w:w="2395"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1.00</w:t>
            </w:r>
          </w:p>
        </w:tc>
      </w:tr>
      <w:tr w:rsidR="00EA6AC0">
        <w:tc>
          <w:tcPr>
            <w:tcW w:w="891"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26.41</w:t>
            </w:r>
          </w:p>
        </w:tc>
        <w:tc>
          <w:tcPr>
            <w:tcW w:w="2395"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EA6AC0">
        <w:tc>
          <w:tcPr>
            <w:tcW w:w="891"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1,826,093.60</w:t>
            </w:r>
          </w:p>
        </w:tc>
        <w:tc>
          <w:tcPr>
            <w:tcW w:w="2395"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1.42</w:t>
            </w:r>
          </w:p>
        </w:tc>
      </w:tr>
      <w:tr w:rsidR="00EA6AC0">
        <w:tc>
          <w:tcPr>
            <w:tcW w:w="891"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EA6AC0">
        <w:tc>
          <w:tcPr>
            <w:tcW w:w="891"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EA6AC0">
        <w:tc>
          <w:tcPr>
            <w:tcW w:w="891"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EA6AC0" w:rsidRDefault="00E8043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EA6AC0">
        <w:tc>
          <w:tcPr>
            <w:tcW w:w="891" w:type="dxa"/>
            <w:tcBorders>
              <w:top w:val="single" w:sz="8" w:space="0" w:color="000000"/>
              <w:left w:val="single" w:sz="8" w:space="0" w:color="000000"/>
              <w:bottom w:val="single" w:sz="8" w:space="0" w:color="000000"/>
              <w:right w:val="single" w:sz="8" w:space="0" w:color="000000"/>
            </w:tcBorders>
            <w:vAlign w:val="center"/>
          </w:tcPr>
          <w:p w:rsidR="00EA6AC0" w:rsidRDefault="00E80433">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EA6AC0" w:rsidRDefault="00E80433">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EA6AC0" w:rsidRDefault="00E8043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EA6AC0" w:rsidRDefault="00E8043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EA6AC0">
        <w:tc>
          <w:tcPr>
            <w:tcW w:w="891" w:type="dxa"/>
            <w:tcBorders>
              <w:top w:val="single" w:sz="8" w:space="0" w:color="000000"/>
              <w:left w:val="single" w:sz="8" w:space="0" w:color="000000"/>
              <w:bottom w:val="single" w:sz="8" w:space="0" w:color="000000"/>
              <w:right w:val="single" w:sz="8" w:space="0" w:color="000000"/>
            </w:tcBorders>
            <w:vAlign w:val="center"/>
          </w:tcPr>
          <w:p w:rsidR="00EA6AC0" w:rsidRDefault="00E80433">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EA6AC0" w:rsidRDefault="00E80433">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EA6AC0" w:rsidRDefault="00E8043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128,495,271.17</w:t>
            </w:r>
          </w:p>
        </w:tc>
        <w:tc>
          <w:tcPr>
            <w:tcW w:w="2395" w:type="dxa"/>
            <w:tcBorders>
              <w:top w:val="single" w:sz="8" w:space="0" w:color="000000"/>
              <w:left w:val="single" w:sz="8" w:space="0" w:color="000000"/>
              <w:bottom w:val="single" w:sz="8" w:space="0" w:color="000000"/>
              <w:right w:val="single" w:sz="8" w:space="0" w:color="000000"/>
            </w:tcBorders>
            <w:vAlign w:val="center"/>
          </w:tcPr>
          <w:p w:rsidR="00EA6AC0" w:rsidRDefault="00E8043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100.00</w:t>
            </w:r>
          </w:p>
        </w:tc>
      </w:tr>
    </w:tbl>
    <w:p w:rsidR="00EA6AC0" w:rsidRDefault="00EA6AC0">
      <w:pPr>
        <w:widowControl/>
        <w:jc w:val="left"/>
        <w:rPr>
          <w:rFonts w:ascii="宋体" w:hAnsi="宋体" w:cs="宋体"/>
          <w:color w:val="000000"/>
          <w:kern w:val="0"/>
          <w:sz w:val="24"/>
          <w:szCs w:val="24"/>
        </w:rPr>
      </w:pPr>
    </w:p>
    <w:p w:rsidR="00EA6AC0" w:rsidRDefault="00E80433">
      <w:pPr>
        <w:pStyle w:val="zhangjiep"/>
        <w:rPr>
          <w:b/>
          <w:bCs/>
          <w:color w:val="000000"/>
        </w:rPr>
      </w:pPr>
      <w:r>
        <w:rPr>
          <w:rFonts w:hint="eastAsia"/>
          <w:b/>
          <w:bCs/>
          <w:color w:val="000000"/>
        </w:rPr>
        <w:t xml:space="preserve">6.2 </w:t>
      </w:r>
      <w:r>
        <w:rPr>
          <w:rFonts w:hint="eastAsia"/>
          <w:b/>
          <w:bCs/>
          <w:color w:val="000000"/>
        </w:rPr>
        <w:t>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EA6AC0">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EA6AC0" w:rsidRDefault="00E80433">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EA6AC0" w:rsidRDefault="00E80433">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EA6AC0" w:rsidRDefault="00E80433">
            <w:pPr>
              <w:pStyle w:val="biaogecenter"/>
              <w:wordWrap w:val="0"/>
              <w:rPr>
                <w:color w:val="000000"/>
              </w:rPr>
            </w:pPr>
            <w:r>
              <w:rPr>
                <w:rFonts w:hint="eastAsia"/>
                <w:color w:val="000000"/>
              </w:rPr>
              <w:t>公允价值</w:t>
            </w:r>
            <w:r>
              <w:rPr>
                <w:rFonts w:hint="eastAsia"/>
                <w:color w:val="000000"/>
              </w:rPr>
              <w:t>(</w:t>
            </w:r>
            <w:r>
              <w:rPr>
                <w:rFonts w:hint="eastAsia"/>
                <w:color w:val="000000"/>
              </w:rPr>
              <w:t>元</w:t>
            </w:r>
            <w:r>
              <w:rPr>
                <w:rFonts w:hint="eastAsia"/>
                <w:color w:val="000000"/>
              </w:rPr>
              <w:t>)</w:t>
            </w:r>
          </w:p>
        </w:tc>
        <w:tc>
          <w:tcPr>
            <w:tcW w:w="1765" w:type="dxa"/>
            <w:tcBorders>
              <w:top w:val="single" w:sz="8" w:space="0" w:color="000000"/>
              <w:left w:val="nil"/>
              <w:bottom w:val="single" w:sz="8" w:space="0" w:color="000000"/>
              <w:right w:val="single" w:sz="8" w:space="0" w:color="000000"/>
            </w:tcBorders>
            <w:vAlign w:val="center"/>
          </w:tcPr>
          <w:p w:rsidR="00EA6AC0" w:rsidRDefault="00E80433">
            <w:pPr>
              <w:pStyle w:val="biaogecenter"/>
              <w:wordWrap w:val="0"/>
              <w:rPr>
                <w:color w:val="000000"/>
              </w:rPr>
            </w:pPr>
            <w:r>
              <w:rPr>
                <w:rFonts w:hint="eastAsia"/>
                <w:color w:val="000000"/>
              </w:rPr>
              <w:t>占产品资产净值比例（％）</w:t>
            </w:r>
          </w:p>
        </w:tc>
      </w:tr>
      <w:tr w:rsidR="00EA6AC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EA6AC0" w:rsidRDefault="00E80433">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EA6AC0" w:rsidRDefault="00E80433">
            <w:pPr>
              <w:rPr>
                <w:rFonts w:ascii="宋体" w:hAnsi="宋体" w:cs="宋体"/>
                <w:color w:val="000000"/>
                <w:kern w:val="0"/>
                <w:sz w:val="24"/>
                <w:szCs w:val="24"/>
              </w:rPr>
            </w:pPr>
            <w:r>
              <w:rPr>
                <w:rFonts w:ascii="宋体" w:hAnsi="宋体" w:cs="宋体" w:hint="eastAsia"/>
                <w:color w:val="000000"/>
                <w:kern w:val="0"/>
                <w:sz w:val="24"/>
                <w:szCs w:val="24"/>
              </w:rPr>
              <w:t>QTBZZ202009250001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EA6AC0" w:rsidRDefault="00E80433">
            <w:pPr>
              <w:rPr>
                <w:rFonts w:ascii="宋体" w:hAnsi="宋体" w:cs="宋体"/>
                <w:color w:val="000000"/>
                <w:kern w:val="0"/>
                <w:sz w:val="24"/>
                <w:szCs w:val="24"/>
              </w:rPr>
            </w:pPr>
            <w:r>
              <w:rPr>
                <w:rFonts w:ascii="宋体" w:hAnsi="宋体" w:cs="宋体" w:hint="eastAsia"/>
                <w:color w:val="000000"/>
                <w:kern w:val="0"/>
                <w:sz w:val="24"/>
                <w:szCs w:val="24"/>
              </w:rPr>
              <w:t>17</w:t>
            </w:r>
            <w:r>
              <w:rPr>
                <w:rFonts w:ascii="宋体" w:hAnsi="宋体" w:cs="宋体" w:hint="eastAsia"/>
                <w:color w:val="000000"/>
                <w:kern w:val="0"/>
                <w:sz w:val="24"/>
                <w:szCs w:val="24"/>
              </w:rPr>
              <w:t>苏常州城建</w:t>
            </w:r>
            <w:r>
              <w:rPr>
                <w:rFonts w:ascii="宋体" w:hAnsi="宋体" w:cs="宋体" w:hint="eastAsia"/>
                <w:color w:val="000000"/>
                <w:kern w:val="0"/>
                <w:sz w:val="24"/>
                <w:szCs w:val="24"/>
              </w:rPr>
              <w:t>ZR002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EA6AC0" w:rsidRDefault="00E80433">
            <w:pPr>
              <w:jc w:val="right"/>
              <w:rPr>
                <w:rFonts w:ascii="宋体" w:hAnsi="宋体" w:cs="宋体"/>
                <w:color w:val="000000"/>
                <w:kern w:val="0"/>
                <w:sz w:val="24"/>
                <w:szCs w:val="24"/>
              </w:rPr>
            </w:pPr>
            <w:r>
              <w:rPr>
                <w:rFonts w:ascii="宋体" w:hAnsi="宋体" w:cs="宋体" w:hint="eastAsia"/>
                <w:color w:val="000000"/>
                <w:kern w:val="0"/>
                <w:sz w:val="24"/>
                <w:szCs w:val="24"/>
              </w:rPr>
              <w:t>60,000,000.00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EA6AC0" w:rsidRDefault="00E80433">
            <w:pPr>
              <w:jc w:val="right"/>
              <w:rPr>
                <w:rFonts w:ascii="宋体" w:hAnsi="宋体" w:cs="宋体"/>
                <w:color w:val="000000"/>
                <w:kern w:val="0"/>
                <w:sz w:val="24"/>
                <w:szCs w:val="24"/>
              </w:rPr>
            </w:pPr>
            <w:r>
              <w:rPr>
                <w:rFonts w:ascii="宋体" w:hAnsi="宋体" w:cs="宋体" w:hint="eastAsia"/>
                <w:color w:val="000000"/>
                <w:kern w:val="0"/>
                <w:sz w:val="24"/>
                <w:szCs w:val="24"/>
              </w:rPr>
              <w:t>46.83%</w:t>
            </w:r>
          </w:p>
        </w:tc>
      </w:tr>
      <w:tr w:rsidR="00EA6AC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EA6AC0" w:rsidRDefault="00E80433">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EA6AC0" w:rsidRDefault="00E80433">
            <w:pPr>
              <w:rPr>
                <w:rFonts w:ascii="宋体" w:hAnsi="宋体" w:cs="宋体"/>
                <w:color w:val="000000"/>
                <w:kern w:val="0"/>
                <w:sz w:val="24"/>
                <w:szCs w:val="24"/>
              </w:rPr>
            </w:pPr>
            <w:r>
              <w:rPr>
                <w:rFonts w:ascii="宋体" w:hAnsi="宋体" w:cs="宋体" w:hint="eastAsia"/>
                <w:color w:val="000000"/>
                <w:kern w:val="0"/>
                <w:sz w:val="24"/>
                <w:szCs w:val="24"/>
              </w:rPr>
              <w:t>HZGJD202009280001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EA6AC0" w:rsidRDefault="00E80433">
            <w:pPr>
              <w:rPr>
                <w:rFonts w:ascii="宋体" w:hAnsi="宋体" w:cs="宋体"/>
                <w:color w:val="000000"/>
                <w:kern w:val="0"/>
                <w:sz w:val="24"/>
                <w:szCs w:val="24"/>
              </w:rPr>
            </w:pPr>
            <w:r>
              <w:rPr>
                <w:rFonts w:ascii="宋体" w:hAnsi="宋体" w:cs="宋体" w:hint="eastAsia"/>
                <w:color w:val="000000"/>
                <w:kern w:val="0"/>
                <w:sz w:val="24"/>
                <w:szCs w:val="24"/>
              </w:rPr>
              <w:t>鹏华基金宁新</w:t>
            </w:r>
            <w:r>
              <w:rPr>
                <w:rFonts w:ascii="宋体" w:hAnsi="宋体" w:cs="宋体" w:hint="eastAsia"/>
                <w:color w:val="000000"/>
                <w:kern w:val="0"/>
                <w:sz w:val="24"/>
                <w:szCs w:val="24"/>
              </w:rPr>
              <w:t>1</w:t>
            </w:r>
            <w:r>
              <w:rPr>
                <w:rFonts w:ascii="宋体" w:hAnsi="宋体" w:cs="宋体" w:hint="eastAsia"/>
                <w:color w:val="000000"/>
                <w:kern w:val="0"/>
                <w:sz w:val="24"/>
                <w:szCs w:val="24"/>
              </w:rPr>
              <w:t>号集合资产管理计划</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EA6AC0" w:rsidRDefault="00E80433">
            <w:pPr>
              <w:jc w:val="right"/>
              <w:rPr>
                <w:rFonts w:ascii="宋体" w:hAnsi="宋体" w:cs="宋体"/>
                <w:color w:val="000000"/>
                <w:kern w:val="0"/>
                <w:sz w:val="24"/>
                <w:szCs w:val="24"/>
              </w:rPr>
            </w:pPr>
            <w:r>
              <w:rPr>
                <w:rFonts w:ascii="宋体" w:hAnsi="宋体" w:cs="宋体" w:hint="eastAsia"/>
                <w:color w:val="000000"/>
                <w:kern w:val="0"/>
                <w:sz w:val="24"/>
                <w:szCs w:val="24"/>
              </w:rPr>
              <w:t>11,952,000.00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EA6AC0" w:rsidRDefault="00E80433">
            <w:pPr>
              <w:jc w:val="right"/>
              <w:rPr>
                <w:rFonts w:ascii="宋体" w:hAnsi="宋体" w:cs="宋体"/>
                <w:color w:val="000000"/>
                <w:kern w:val="0"/>
                <w:sz w:val="24"/>
                <w:szCs w:val="24"/>
              </w:rPr>
            </w:pPr>
            <w:r>
              <w:rPr>
                <w:rFonts w:ascii="宋体" w:hAnsi="宋体" w:cs="宋体" w:hint="eastAsia"/>
                <w:color w:val="000000"/>
                <w:kern w:val="0"/>
                <w:sz w:val="24"/>
                <w:szCs w:val="24"/>
              </w:rPr>
              <w:t>9.33%</w:t>
            </w:r>
          </w:p>
        </w:tc>
      </w:tr>
      <w:tr w:rsidR="00EA6AC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EA6AC0" w:rsidRDefault="00E80433">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EA6AC0" w:rsidRDefault="00E80433">
            <w:pPr>
              <w:rPr>
                <w:rFonts w:ascii="宋体" w:hAnsi="宋体" w:cs="宋体"/>
                <w:color w:val="000000"/>
                <w:kern w:val="0"/>
                <w:sz w:val="24"/>
                <w:szCs w:val="24"/>
              </w:rPr>
            </w:pPr>
            <w:r>
              <w:rPr>
                <w:rFonts w:ascii="宋体" w:hAnsi="宋体" w:cs="宋体" w:hint="eastAsia"/>
                <w:color w:val="000000"/>
                <w:kern w:val="0"/>
                <w:sz w:val="24"/>
                <w:szCs w:val="24"/>
              </w:rPr>
              <w:t>145845</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EA6AC0" w:rsidRDefault="00E80433">
            <w:pPr>
              <w:rPr>
                <w:rFonts w:ascii="宋体" w:hAnsi="宋体" w:cs="宋体"/>
                <w:color w:val="000000"/>
                <w:kern w:val="0"/>
                <w:sz w:val="24"/>
                <w:szCs w:val="24"/>
              </w:rPr>
            </w:pPr>
            <w:r>
              <w:rPr>
                <w:rFonts w:ascii="宋体" w:hAnsi="宋体" w:cs="宋体" w:hint="eastAsia"/>
                <w:color w:val="000000"/>
                <w:kern w:val="0"/>
                <w:sz w:val="24"/>
                <w:szCs w:val="24"/>
              </w:rPr>
              <w:t>17</w:t>
            </w:r>
            <w:r>
              <w:rPr>
                <w:rFonts w:ascii="宋体" w:hAnsi="宋体" w:cs="宋体" w:hint="eastAsia"/>
                <w:color w:val="000000"/>
                <w:kern w:val="0"/>
                <w:sz w:val="24"/>
                <w:szCs w:val="24"/>
              </w:rPr>
              <w:t>港闸</w:t>
            </w:r>
            <w:r>
              <w:rPr>
                <w:rFonts w:ascii="宋体" w:hAnsi="宋体" w:cs="宋体" w:hint="eastAsia"/>
                <w:color w:val="000000"/>
                <w:kern w:val="0"/>
                <w:sz w:val="24"/>
                <w:szCs w:val="24"/>
              </w:rPr>
              <w:t>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EA6AC0" w:rsidRDefault="00E80433">
            <w:pPr>
              <w:jc w:val="right"/>
              <w:rPr>
                <w:rFonts w:ascii="宋体" w:hAnsi="宋体" w:cs="宋体"/>
                <w:color w:val="000000"/>
                <w:kern w:val="0"/>
                <w:sz w:val="24"/>
                <w:szCs w:val="24"/>
              </w:rPr>
            </w:pPr>
            <w:r>
              <w:rPr>
                <w:rFonts w:ascii="宋体" w:hAnsi="宋体" w:cs="宋体" w:hint="eastAsia"/>
                <w:color w:val="000000"/>
                <w:kern w:val="0"/>
                <w:sz w:val="24"/>
                <w:szCs w:val="24"/>
              </w:rPr>
              <w:t>10,209,570.00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EA6AC0" w:rsidRDefault="00E80433">
            <w:pPr>
              <w:jc w:val="right"/>
              <w:rPr>
                <w:rFonts w:ascii="宋体" w:hAnsi="宋体" w:cs="宋体"/>
                <w:color w:val="000000"/>
                <w:kern w:val="0"/>
                <w:sz w:val="24"/>
                <w:szCs w:val="24"/>
              </w:rPr>
            </w:pPr>
            <w:r>
              <w:rPr>
                <w:rFonts w:ascii="宋体" w:hAnsi="宋体" w:cs="宋体" w:hint="eastAsia"/>
                <w:color w:val="000000"/>
                <w:kern w:val="0"/>
                <w:sz w:val="24"/>
                <w:szCs w:val="24"/>
              </w:rPr>
              <w:t>7.97%</w:t>
            </w:r>
          </w:p>
        </w:tc>
      </w:tr>
      <w:tr w:rsidR="00EA6AC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EA6AC0" w:rsidRDefault="00E80433">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EA6AC0" w:rsidRDefault="00E80433">
            <w:pPr>
              <w:rPr>
                <w:rFonts w:ascii="宋体" w:hAnsi="宋体" w:cs="宋体"/>
                <w:color w:val="000000"/>
                <w:kern w:val="0"/>
                <w:sz w:val="24"/>
                <w:szCs w:val="24"/>
              </w:rPr>
            </w:pPr>
            <w:r>
              <w:rPr>
                <w:rFonts w:ascii="宋体" w:hAnsi="宋体" w:cs="宋体" w:hint="eastAsia"/>
                <w:color w:val="000000"/>
                <w:kern w:val="0"/>
                <w:sz w:val="24"/>
                <w:szCs w:val="24"/>
              </w:rPr>
              <w:t>145713</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EA6AC0" w:rsidRDefault="00E80433">
            <w:pPr>
              <w:rPr>
                <w:rFonts w:ascii="宋体" w:hAnsi="宋体" w:cs="宋体"/>
                <w:color w:val="000000"/>
                <w:kern w:val="0"/>
                <w:sz w:val="24"/>
                <w:szCs w:val="24"/>
              </w:rPr>
            </w:pPr>
            <w:r>
              <w:rPr>
                <w:rFonts w:ascii="宋体" w:hAnsi="宋体" w:cs="宋体" w:hint="eastAsia"/>
                <w:color w:val="000000"/>
                <w:kern w:val="0"/>
                <w:sz w:val="24"/>
                <w:szCs w:val="24"/>
              </w:rPr>
              <w:t>17</w:t>
            </w:r>
            <w:r>
              <w:rPr>
                <w:rFonts w:ascii="宋体" w:hAnsi="宋体" w:cs="宋体" w:hint="eastAsia"/>
                <w:color w:val="000000"/>
                <w:kern w:val="0"/>
                <w:sz w:val="24"/>
                <w:szCs w:val="24"/>
              </w:rPr>
              <w:t>玄武债</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EA6AC0" w:rsidRDefault="00E80433">
            <w:pPr>
              <w:jc w:val="right"/>
              <w:rPr>
                <w:rFonts w:ascii="宋体" w:hAnsi="宋体" w:cs="宋体"/>
                <w:color w:val="000000"/>
                <w:kern w:val="0"/>
                <w:sz w:val="24"/>
                <w:szCs w:val="24"/>
              </w:rPr>
            </w:pPr>
            <w:r>
              <w:rPr>
                <w:rFonts w:ascii="宋体" w:hAnsi="宋体" w:cs="宋体" w:hint="eastAsia"/>
                <w:color w:val="000000"/>
                <w:kern w:val="0"/>
                <w:sz w:val="24"/>
                <w:szCs w:val="24"/>
              </w:rPr>
              <w:t>10,187,890.00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EA6AC0" w:rsidRDefault="00E80433">
            <w:pPr>
              <w:jc w:val="right"/>
              <w:rPr>
                <w:rFonts w:ascii="宋体" w:hAnsi="宋体" w:cs="宋体"/>
                <w:color w:val="000000"/>
                <w:kern w:val="0"/>
                <w:sz w:val="24"/>
                <w:szCs w:val="24"/>
              </w:rPr>
            </w:pPr>
            <w:r>
              <w:rPr>
                <w:rFonts w:ascii="宋体" w:hAnsi="宋体" w:cs="宋体" w:hint="eastAsia"/>
                <w:color w:val="000000"/>
                <w:kern w:val="0"/>
                <w:sz w:val="24"/>
                <w:szCs w:val="24"/>
              </w:rPr>
              <w:t>7.95%</w:t>
            </w:r>
          </w:p>
        </w:tc>
      </w:tr>
      <w:tr w:rsidR="00EA6AC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EA6AC0" w:rsidRDefault="00E80433">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EA6AC0" w:rsidRDefault="00E80433">
            <w:pPr>
              <w:rPr>
                <w:rFonts w:ascii="宋体" w:hAnsi="宋体" w:cs="宋体"/>
                <w:color w:val="000000"/>
                <w:kern w:val="0"/>
                <w:sz w:val="24"/>
                <w:szCs w:val="24"/>
              </w:rPr>
            </w:pPr>
            <w:r>
              <w:rPr>
                <w:rFonts w:ascii="宋体" w:hAnsi="宋体" w:cs="宋体" w:hint="eastAsia"/>
                <w:color w:val="000000"/>
                <w:kern w:val="0"/>
                <w:sz w:val="24"/>
                <w:szCs w:val="24"/>
              </w:rPr>
              <w:t>166381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EA6AC0" w:rsidRDefault="00E80433">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常高</w:t>
            </w:r>
            <w:r>
              <w:rPr>
                <w:rFonts w:ascii="宋体" w:hAnsi="宋体" w:cs="宋体" w:hint="eastAsia"/>
                <w:color w:val="000000"/>
                <w:kern w:val="0"/>
                <w:sz w:val="24"/>
                <w:szCs w:val="24"/>
              </w:rPr>
              <w:t>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EA6AC0" w:rsidRDefault="00E80433">
            <w:pPr>
              <w:jc w:val="right"/>
              <w:rPr>
                <w:rFonts w:ascii="宋体" w:hAnsi="宋体" w:cs="宋体"/>
                <w:color w:val="000000"/>
                <w:kern w:val="0"/>
                <w:sz w:val="24"/>
                <w:szCs w:val="24"/>
              </w:rPr>
            </w:pPr>
            <w:r>
              <w:rPr>
                <w:rFonts w:ascii="宋体" w:hAnsi="宋体" w:cs="宋体" w:hint="eastAsia"/>
                <w:color w:val="000000"/>
                <w:kern w:val="0"/>
                <w:sz w:val="24"/>
                <w:szCs w:val="24"/>
              </w:rPr>
              <w:t>9,926,630.00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EA6AC0" w:rsidRDefault="00E80433">
            <w:pPr>
              <w:jc w:val="right"/>
              <w:rPr>
                <w:rFonts w:ascii="宋体" w:hAnsi="宋体" w:cs="宋体"/>
                <w:color w:val="000000"/>
                <w:kern w:val="0"/>
                <w:sz w:val="24"/>
                <w:szCs w:val="24"/>
              </w:rPr>
            </w:pPr>
            <w:r>
              <w:rPr>
                <w:rFonts w:ascii="宋体" w:hAnsi="宋体" w:cs="宋体" w:hint="eastAsia"/>
                <w:color w:val="000000"/>
                <w:kern w:val="0"/>
                <w:sz w:val="24"/>
                <w:szCs w:val="24"/>
              </w:rPr>
              <w:t>7.75%</w:t>
            </w:r>
          </w:p>
        </w:tc>
      </w:tr>
      <w:tr w:rsidR="00EA6AC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EA6AC0" w:rsidRDefault="00E80433">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EA6AC0" w:rsidRDefault="00E80433">
            <w:pPr>
              <w:rPr>
                <w:rFonts w:ascii="宋体" w:hAnsi="宋体" w:cs="宋体"/>
                <w:color w:val="000000"/>
                <w:kern w:val="0"/>
                <w:sz w:val="24"/>
                <w:szCs w:val="24"/>
              </w:rPr>
            </w:pPr>
            <w:r>
              <w:rPr>
                <w:rFonts w:ascii="宋体" w:hAnsi="宋体" w:cs="宋体" w:hint="eastAsia"/>
                <w:color w:val="000000"/>
                <w:kern w:val="0"/>
                <w:sz w:val="24"/>
                <w:szCs w:val="24"/>
              </w:rPr>
              <w:t>001173</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EA6AC0" w:rsidRDefault="00E80433">
            <w:pPr>
              <w:rPr>
                <w:rFonts w:ascii="宋体" w:hAnsi="宋体" w:cs="宋体"/>
                <w:color w:val="000000"/>
                <w:kern w:val="0"/>
                <w:sz w:val="24"/>
                <w:szCs w:val="24"/>
              </w:rPr>
            </w:pPr>
            <w:r>
              <w:rPr>
                <w:rFonts w:ascii="宋体" w:hAnsi="宋体" w:cs="宋体" w:hint="eastAsia"/>
                <w:color w:val="000000"/>
                <w:kern w:val="0"/>
                <w:sz w:val="24"/>
                <w:szCs w:val="24"/>
              </w:rPr>
              <w:t>中欧瑾和灵活配置混合</w:t>
            </w:r>
            <w:r>
              <w:rPr>
                <w:rFonts w:ascii="宋体" w:hAnsi="宋体" w:cs="宋体" w:hint="eastAsia"/>
                <w:color w:val="000000"/>
                <w:kern w:val="0"/>
                <w:sz w:val="24"/>
                <w:szCs w:val="24"/>
              </w:rPr>
              <w:t>A</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EA6AC0" w:rsidRDefault="00E80433">
            <w:pPr>
              <w:jc w:val="right"/>
              <w:rPr>
                <w:rFonts w:ascii="宋体" w:hAnsi="宋体" w:cs="宋体"/>
                <w:color w:val="000000"/>
                <w:kern w:val="0"/>
                <w:sz w:val="24"/>
                <w:szCs w:val="24"/>
              </w:rPr>
            </w:pPr>
            <w:r>
              <w:rPr>
                <w:rFonts w:ascii="宋体" w:hAnsi="宋体" w:cs="宋体" w:hint="eastAsia"/>
                <w:color w:val="000000"/>
                <w:kern w:val="0"/>
                <w:sz w:val="24"/>
                <w:szCs w:val="24"/>
              </w:rPr>
              <w:t>6,384,202.47</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EA6AC0" w:rsidRDefault="00E80433">
            <w:pPr>
              <w:jc w:val="right"/>
              <w:rPr>
                <w:rFonts w:ascii="宋体" w:hAnsi="宋体" w:cs="宋体"/>
                <w:color w:val="000000"/>
                <w:kern w:val="0"/>
                <w:sz w:val="24"/>
                <w:szCs w:val="24"/>
              </w:rPr>
            </w:pPr>
            <w:r>
              <w:rPr>
                <w:rFonts w:ascii="宋体" w:hAnsi="宋体" w:cs="宋体" w:hint="eastAsia"/>
                <w:color w:val="000000"/>
                <w:kern w:val="0"/>
                <w:sz w:val="24"/>
                <w:szCs w:val="24"/>
              </w:rPr>
              <w:t>4.98%</w:t>
            </w:r>
          </w:p>
        </w:tc>
      </w:tr>
      <w:tr w:rsidR="00EA6AC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EA6AC0" w:rsidRDefault="00E80433">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EA6AC0" w:rsidRDefault="00E80433">
            <w:pPr>
              <w:rPr>
                <w:rFonts w:ascii="宋体" w:hAnsi="宋体" w:cs="宋体"/>
                <w:color w:val="000000"/>
                <w:kern w:val="0"/>
                <w:sz w:val="24"/>
                <w:szCs w:val="24"/>
              </w:rPr>
            </w:pPr>
            <w:r>
              <w:rPr>
                <w:rFonts w:ascii="宋体" w:hAnsi="宋体" w:cs="宋体" w:hint="eastAsia"/>
                <w:color w:val="000000"/>
                <w:kern w:val="0"/>
                <w:sz w:val="24"/>
                <w:szCs w:val="24"/>
              </w:rPr>
              <w:t>HZGJD202009160001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EA6AC0" w:rsidRDefault="00E80433">
            <w:pPr>
              <w:rPr>
                <w:rFonts w:ascii="宋体" w:hAnsi="宋体" w:cs="宋体"/>
                <w:color w:val="000000"/>
                <w:kern w:val="0"/>
                <w:sz w:val="24"/>
                <w:szCs w:val="24"/>
              </w:rPr>
            </w:pPr>
            <w:r>
              <w:rPr>
                <w:rFonts w:ascii="宋体" w:hAnsi="宋体" w:cs="宋体" w:hint="eastAsia"/>
                <w:color w:val="000000"/>
                <w:kern w:val="0"/>
                <w:sz w:val="24"/>
                <w:szCs w:val="24"/>
              </w:rPr>
              <w:t>兴全宁远</w:t>
            </w:r>
            <w:r>
              <w:rPr>
                <w:rFonts w:ascii="宋体" w:hAnsi="宋体" w:cs="宋体" w:hint="eastAsia"/>
                <w:color w:val="000000"/>
                <w:kern w:val="0"/>
                <w:sz w:val="24"/>
                <w:szCs w:val="24"/>
              </w:rPr>
              <w:t>1</w:t>
            </w:r>
            <w:r>
              <w:rPr>
                <w:rFonts w:ascii="宋体" w:hAnsi="宋体" w:cs="宋体" w:hint="eastAsia"/>
                <w:color w:val="000000"/>
                <w:kern w:val="0"/>
                <w:sz w:val="24"/>
                <w:szCs w:val="24"/>
              </w:rPr>
              <w:t>号集合资产管理计划</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EA6AC0" w:rsidRDefault="00E80433">
            <w:pPr>
              <w:jc w:val="right"/>
              <w:rPr>
                <w:rFonts w:ascii="宋体" w:hAnsi="宋体" w:cs="宋体"/>
                <w:color w:val="000000"/>
                <w:kern w:val="0"/>
                <w:sz w:val="24"/>
                <w:szCs w:val="24"/>
              </w:rPr>
            </w:pPr>
            <w:r>
              <w:rPr>
                <w:rFonts w:ascii="宋体" w:hAnsi="宋体" w:cs="宋体" w:hint="eastAsia"/>
                <w:color w:val="000000"/>
                <w:kern w:val="0"/>
                <w:sz w:val="24"/>
                <w:szCs w:val="24"/>
              </w:rPr>
              <w:t>4,178,853.66</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EA6AC0" w:rsidRDefault="00E80433">
            <w:pPr>
              <w:jc w:val="right"/>
              <w:rPr>
                <w:rFonts w:ascii="宋体" w:hAnsi="宋体" w:cs="宋体"/>
                <w:color w:val="000000"/>
                <w:kern w:val="0"/>
                <w:sz w:val="24"/>
                <w:szCs w:val="24"/>
              </w:rPr>
            </w:pPr>
            <w:r>
              <w:rPr>
                <w:rFonts w:ascii="宋体" w:hAnsi="宋体" w:cs="宋体" w:hint="eastAsia"/>
                <w:color w:val="000000"/>
                <w:kern w:val="0"/>
                <w:sz w:val="24"/>
                <w:szCs w:val="24"/>
              </w:rPr>
              <w:t>3.26%</w:t>
            </w:r>
          </w:p>
        </w:tc>
      </w:tr>
      <w:tr w:rsidR="00EA6AC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EA6AC0" w:rsidRDefault="00E80433">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EA6AC0" w:rsidRDefault="00E80433">
            <w:pPr>
              <w:rPr>
                <w:rFonts w:ascii="宋体" w:hAnsi="宋体" w:cs="宋体"/>
                <w:color w:val="000000"/>
                <w:kern w:val="0"/>
                <w:sz w:val="24"/>
                <w:szCs w:val="24"/>
              </w:rPr>
            </w:pPr>
            <w:r>
              <w:rPr>
                <w:rFonts w:ascii="宋体" w:hAnsi="宋体" w:cs="宋体" w:hint="eastAsia"/>
                <w:color w:val="000000"/>
                <w:kern w:val="0"/>
                <w:sz w:val="24"/>
                <w:szCs w:val="24"/>
              </w:rPr>
              <w:t>GSMJD201804100001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EA6AC0" w:rsidRDefault="00E80433">
            <w:pPr>
              <w:rPr>
                <w:rFonts w:ascii="宋体" w:hAnsi="宋体" w:cs="宋体"/>
                <w:color w:val="000000"/>
                <w:kern w:val="0"/>
                <w:sz w:val="24"/>
                <w:szCs w:val="24"/>
              </w:rPr>
            </w:pPr>
            <w:r>
              <w:rPr>
                <w:rFonts w:ascii="宋体" w:hAnsi="宋体" w:cs="宋体" w:hint="eastAsia"/>
                <w:color w:val="000000"/>
                <w:kern w:val="0"/>
                <w:sz w:val="24"/>
                <w:szCs w:val="24"/>
              </w:rPr>
              <w:t>朱雀金陵</w:t>
            </w:r>
            <w:r>
              <w:rPr>
                <w:rFonts w:ascii="宋体" w:hAnsi="宋体" w:cs="宋体" w:hint="eastAsia"/>
                <w:color w:val="000000"/>
                <w:kern w:val="0"/>
                <w:sz w:val="24"/>
                <w:szCs w:val="24"/>
              </w:rPr>
              <w:t>1</w:t>
            </w:r>
            <w:r>
              <w:rPr>
                <w:rFonts w:ascii="宋体" w:hAnsi="宋体" w:cs="宋体" w:hint="eastAsia"/>
                <w:color w:val="000000"/>
                <w:kern w:val="0"/>
                <w:sz w:val="24"/>
                <w:szCs w:val="24"/>
              </w:rPr>
              <w:t>号权益多头产品</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EA6AC0" w:rsidRDefault="00E80433">
            <w:pPr>
              <w:jc w:val="right"/>
              <w:rPr>
                <w:rFonts w:ascii="宋体" w:hAnsi="宋体" w:cs="宋体"/>
                <w:color w:val="000000"/>
                <w:kern w:val="0"/>
                <w:sz w:val="24"/>
                <w:szCs w:val="24"/>
              </w:rPr>
            </w:pPr>
            <w:r>
              <w:rPr>
                <w:rFonts w:ascii="宋体" w:hAnsi="宋体" w:cs="宋体" w:hint="eastAsia"/>
                <w:color w:val="000000"/>
                <w:kern w:val="0"/>
                <w:sz w:val="24"/>
                <w:szCs w:val="24"/>
              </w:rPr>
              <w:t>3,390,472.95</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EA6AC0" w:rsidRDefault="00E80433">
            <w:pPr>
              <w:jc w:val="right"/>
              <w:rPr>
                <w:rFonts w:ascii="宋体" w:hAnsi="宋体" w:cs="宋体"/>
                <w:color w:val="000000"/>
                <w:kern w:val="0"/>
                <w:sz w:val="24"/>
                <w:szCs w:val="24"/>
              </w:rPr>
            </w:pPr>
            <w:r>
              <w:rPr>
                <w:rFonts w:ascii="宋体" w:hAnsi="宋体" w:cs="宋体" w:hint="eastAsia"/>
                <w:color w:val="000000"/>
                <w:kern w:val="0"/>
                <w:sz w:val="24"/>
                <w:szCs w:val="24"/>
              </w:rPr>
              <w:t>2.65%</w:t>
            </w:r>
          </w:p>
        </w:tc>
      </w:tr>
      <w:tr w:rsidR="00EA6AC0">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EA6AC0" w:rsidRDefault="00E80433">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EA6AC0" w:rsidRDefault="00E80433">
            <w:pPr>
              <w:rPr>
                <w:rFonts w:ascii="宋体" w:hAnsi="宋体" w:cs="宋体"/>
                <w:color w:val="000000"/>
                <w:kern w:val="0"/>
                <w:sz w:val="24"/>
                <w:szCs w:val="24"/>
              </w:rPr>
            </w:pPr>
            <w:r>
              <w:rPr>
                <w:rFonts w:ascii="宋体" w:hAnsi="宋体" w:cs="宋体" w:hint="eastAsia"/>
                <w:color w:val="000000"/>
                <w:kern w:val="0"/>
                <w:sz w:val="24"/>
                <w:szCs w:val="24"/>
              </w:rPr>
              <w:t>001536</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EA6AC0" w:rsidRDefault="00E80433">
            <w:pPr>
              <w:rPr>
                <w:rFonts w:ascii="宋体" w:hAnsi="宋体" w:cs="宋体"/>
                <w:color w:val="000000"/>
                <w:kern w:val="0"/>
                <w:sz w:val="24"/>
                <w:szCs w:val="24"/>
              </w:rPr>
            </w:pPr>
            <w:r>
              <w:rPr>
                <w:rFonts w:ascii="宋体" w:hAnsi="宋体" w:cs="宋体" w:hint="eastAsia"/>
                <w:color w:val="000000"/>
                <w:kern w:val="0"/>
                <w:sz w:val="24"/>
                <w:szCs w:val="24"/>
              </w:rPr>
              <w:t>南方君选混合</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EA6AC0" w:rsidRDefault="00E80433">
            <w:pPr>
              <w:jc w:val="right"/>
              <w:rPr>
                <w:rFonts w:ascii="宋体" w:hAnsi="宋体" w:cs="宋体"/>
                <w:color w:val="000000"/>
                <w:kern w:val="0"/>
                <w:sz w:val="24"/>
                <w:szCs w:val="24"/>
              </w:rPr>
            </w:pPr>
            <w:r>
              <w:rPr>
                <w:rFonts w:ascii="宋体" w:hAnsi="宋体" w:cs="宋体" w:hint="eastAsia"/>
                <w:color w:val="000000"/>
                <w:kern w:val="0"/>
                <w:sz w:val="24"/>
                <w:szCs w:val="24"/>
              </w:rPr>
              <w:t>3,178,633.88</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EA6AC0" w:rsidRDefault="00E80433">
            <w:pPr>
              <w:jc w:val="right"/>
              <w:rPr>
                <w:rFonts w:ascii="宋体" w:hAnsi="宋体" w:cs="宋体"/>
                <w:color w:val="000000"/>
                <w:kern w:val="0"/>
                <w:sz w:val="24"/>
                <w:szCs w:val="24"/>
              </w:rPr>
            </w:pPr>
            <w:r>
              <w:rPr>
                <w:rFonts w:ascii="宋体" w:hAnsi="宋体" w:cs="宋体" w:hint="eastAsia"/>
                <w:color w:val="000000"/>
                <w:kern w:val="0"/>
                <w:sz w:val="24"/>
                <w:szCs w:val="24"/>
              </w:rPr>
              <w:t>2.48%</w:t>
            </w:r>
          </w:p>
        </w:tc>
      </w:tr>
      <w:tr w:rsidR="00EA6AC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EA6AC0" w:rsidRDefault="00E80433">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EA6AC0" w:rsidRDefault="00E80433">
            <w:pPr>
              <w:rPr>
                <w:rFonts w:ascii="宋体" w:hAnsi="宋体" w:cs="宋体"/>
                <w:color w:val="000000"/>
                <w:kern w:val="0"/>
                <w:sz w:val="24"/>
                <w:szCs w:val="24"/>
              </w:rPr>
            </w:pPr>
            <w:r>
              <w:rPr>
                <w:rFonts w:ascii="宋体" w:hAnsi="宋体" w:cs="宋体" w:hint="eastAsia"/>
                <w:color w:val="000000"/>
                <w:kern w:val="0"/>
                <w:sz w:val="24"/>
                <w:szCs w:val="24"/>
              </w:rPr>
              <w:t>HZGJD202012210001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EA6AC0" w:rsidRDefault="00E80433">
            <w:pPr>
              <w:rPr>
                <w:rFonts w:ascii="宋体" w:hAnsi="宋体" w:cs="宋体"/>
                <w:color w:val="000000"/>
                <w:kern w:val="0"/>
                <w:sz w:val="24"/>
                <w:szCs w:val="24"/>
              </w:rPr>
            </w:pPr>
            <w:r>
              <w:rPr>
                <w:rFonts w:ascii="宋体" w:hAnsi="宋体" w:cs="宋体" w:hint="eastAsia"/>
                <w:color w:val="000000"/>
                <w:kern w:val="0"/>
                <w:sz w:val="24"/>
                <w:szCs w:val="24"/>
              </w:rPr>
              <w:t>广发基金南盈</w:t>
            </w:r>
            <w:r>
              <w:rPr>
                <w:rFonts w:ascii="宋体" w:hAnsi="宋体" w:cs="宋体" w:hint="eastAsia"/>
                <w:color w:val="000000"/>
                <w:kern w:val="0"/>
                <w:sz w:val="24"/>
                <w:szCs w:val="24"/>
              </w:rPr>
              <w:t>1</w:t>
            </w:r>
            <w:r>
              <w:rPr>
                <w:rFonts w:ascii="宋体" w:hAnsi="宋体" w:cs="宋体" w:hint="eastAsia"/>
                <w:color w:val="000000"/>
                <w:kern w:val="0"/>
                <w:sz w:val="24"/>
                <w:szCs w:val="24"/>
              </w:rPr>
              <w:t>号集合资产管理计划</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EA6AC0" w:rsidRDefault="00E80433">
            <w:pPr>
              <w:jc w:val="right"/>
              <w:rPr>
                <w:rFonts w:ascii="宋体" w:hAnsi="宋体" w:cs="宋体"/>
                <w:color w:val="000000"/>
                <w:kern w:val="0"/>
                <w:sz w:val="24"/>
                <w:szCs w:val="24"/>
              </w:rPr>
            </w:pPr>
            <w:r>
              <w:rPr>
                <w:rFonts w:ascii="宋体" w:hAnsi="宋体" w:cs="宋体" w:hint="eastAsia"/>
                <w:color w:val="000000"/>
                <w:kern w:val="0"/>
                <w:sz w:val="24"/>
                <w:szCs w:val="24"/>
              </w:rPr>
              <w:t>3,006,300.63</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EA6AC0" w:rsidRDefault="00E80433">
            <w:pPr>
              <w:jc w:val="right"/>
              <w:rPr>
                <w:rFonts w:ascii="宋体" w:hAnsi="宋体" w:cs="宋体"/>
                <w:color w:val="000000"/>
                <w:kern w:val="0"/>
                <w:sz w:val="24"/>
                <w:szCs w:val="24"/>
              </w:rPr>
            </w:pPr>
            <w:r>
              <w:rPr>
                <w:rFonts w:ascii="宋体" w:hAnsi="宋体" w:cs="宋体" w:hint="eastAsia"/>
                <w:color w:val="000000"/>
                <w:kern w:val="0"/>
                <w:sz w:val="24"/>
                <w:szCs w:val="24"/>
              </w:rPr>
              <w:t>2.35%</w:t>
            </w:r>
          </w:p>
        </w:tc>
      </w:tr>
    </w:tbl>
    <w:p w:rsidR="00EA6AC0" w:rsidRDefault="00EA6AC0">
      <w:pPr>
        <w:widowControl/>
        <w:jc w:val="left"/>
        <w:rPr>
          <w:rFonts w:ascii="宋体" w:hAnsi="宋体" w:cs="宋体"/>
          <w:b/>
          <w:sz w:val="24"/>
          <w:szCs w:val="24"/>
          <w:shd w:val="clear" w:color="auto" w:fill="FFFFFF"/>
        </w:rPr>
      </w:pPr>
    </w:p>
    <w:p w:rsidR="00EA6AC0" w:rsidRDefault="00E80433">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w:t>
      </w:r>
      <w:r>
        <w:rPr>
          <w:rFonts w:ascii="宋体" w:hAnsi="宋体" w:cs="宋体" w:hint="eastAsia"/>
          <w:b/>
          <w:sz w:val="24"/>
          <w:szCs w:val="24"/>
          <w:shd w:val="clear" w:color="auto" w:fill="FFFFFF"/>
        </w:rPr>
        <w:t>报告期末非标准化债权类资产明细</w:t>
      </w:r>
    </w:p>
    <w:p w:rsidR="00EA6AC0" w:rsidRDefault="00EA6AC0">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EA6AC0">
        <w:tc>
          <w:tcPr>
            <w:tcW w:w="709" w:type="dxa"/>
            <w:tcBorders>
              <w:top w:val="single" w:sz="8" w:space="0" w:color="000000"/>
              <w:left w:val="single" w:sz="8" w:space="0" w:color="000000"/>
              <w:bottom w:val="single" w:sz="6" w:space="0" w:color="000000"/>
              <w:right w:val="single" w:sz="8" w:space="0" w:color="000000"/>
            </w:tcBorders>
            <w:vAlign w:val="center"/>
          </w:tcPr>
          <w:p w:rsidR="00EA6AC0" w:rsidRDefault="00E80433">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EA6AC0" w:rsidRDefault="00E80433">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EA6AC0" w:rsidRDefault="00E80433">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EA6AC0" w:rsidRDefault="00E80433">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EA6AC0" w:rsidRDefault="00E80433">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EA6AC0" w:rsidRDefault="00E80433">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EA6AC0" w:rsidRDefault="00E80433">
            <w:pPr>
              <w:pStyle w:val="biaogecenter"/>
              <w:wordWrap w:val="0"/>
              <w:rPr>
                <w:shd w:val="clear" w:color="auto" w:fill="FFFFFF"/>
              </w:rPr>
            </w:pPr>
            <w:r>
              <w:rPr>
                <w:rFonts w:hint="eastAsia"/>
                <w:shd w:val="clear" w:color="auto" w:fill="FFFFFF"/>
              </w:rPr>
              <w:t>风险状况</w:t>
            </w:r>
          </w:p>
        </w:tc>
      </w:tr>
      <w:tr w:rsidR="00EA6AC0">
        <w:tc>
          <w:tcPr>
            <w:tcW w:w="709"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center"/>
              <w:wordWrap w:val="0"/>
              <w:rPr>
                <w:shd w:val="clear" w:color="auto" w:fill="FFFFFF"/>
              </w:rPr>
            </w:pPr>
            <w:r>
              <w:rPr>
                <w:rFonts w:hint="eastAsia"/>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center"/>
              <w:wordWrap w:val="0"/>
              <w:rPr>
                <w:shd w:val="clear" w:color="auto" w:fill="FFFFFF"/>
              </w:rPr>
            </w:pPr>
            <w:r>
              <w:rPr>
                <w:rFonts w:hint="eastAsia"/>
                <w:shd w:val="clear" w:color="auto" w:fill="FFFFFF"/>
              </w:rPr>
              <w:br/>
            </w:r>
            <w:r>
              <w:rPr>
                <w:rFonts w:hint="eastAsia"/>
                <w:shd w:val="clear" w:color="auto" w:fill="FFFFFF"/>
              </w:rPr>
              <w:t>常州市城</w:t>
            </w:r>
            <w:r>
              <w:rPr>
                <w:rFonts w:hint="eastAsia"/>
                <w:shd w:val="clear" w:color="auto" w:fill="FFFFFF"/>
              </w:rPr>
              <w:lastRenderedPageBreak/>
              <w:t>市建设（集团）有限公司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center"/>
              <w:wordWrap w:val="0"/>
              <w:rPr>
                <w:shd w:val="clear" w:color="auto" w:fill="FFFFFF"/>
              </w:rPr>
            </w:pPr>
            <w:r>
              <w:rPr>
                <w:rFonts w:hint="eastAsia"/>
                <w:shd w:val="clear" w:color="auto" w:fill="FFFFFF"/>
              </w:rPr>
              <w:lastRenderedPageBreak/>
              <w:t>17</w:t>
            </w:r>
            <w:r>
              <w:rPr>
                <w:rFonts w:hint="eastAsia"/>
                <w:shd w:val="clear" w:color="auto" w:fill="FFFFFF"/>
              </w:rPr>
              <w:t>苏常州城建</w:t>
            </w:r>
            <w:r>
              <w:rPr>
                <w:rFonts w:hint="eastAsia"/>
                <w:shd w:val="clear" w:color="auto" w:fill="FFFFFF"/>
              </w:rPr>
              <w:t>ZR002</w:t>
            </w:r>
          </w:p>
        </w:tc>
        <w:tc>
          <w:tcPr>
            <w:tcW w:w="1417"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center"/>
              <w:wordWrap w:val="0"/>
              <w:rPr>
                <w:shd w:val="clear" w:color="auto" w:fill="FFFFFF"/>
              </w:rPr>
            </w:pPr>
            <w:r>
              <w:rPr>
                <w:rFonts w:hint="eastAsia"/>
                <w:shd w:val="clear" w:color="auto" w:fill="FFFFFF"/>
              </w:rPr>
              <w:t>622</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center"/>
              <w:wordWrap w:val="0"/>
              <w:rPr>
                <w:shd w:val="clear" w:color="auto" w:fill="FFFFFF"/>
              </w:rPr>
            </w:pPr>
            <w:r>
              <w:rPr>
                <w:rFonts w:hint="eastAsia"/>
                <w:shd w:val="clear" w:color="auto" w:fill="FFFFFF"/>
              </w:rPr>
              <w:t>债权融资工具</w:t>
            </w:r>
            <w:r>
              <w:rPr>
                <w:rFonts w:hint="eastAsia"/>
                <w:shd w:val="clear" w:color="auto" w:fill="FFFFFF"/>
              </w:rPr>
              <w:t>-</w:t>
            </w:r>
            <w:r>
              <w:rPr>
                <w:rFonts w:hint="eastAsia"/>
                <w:shd w:val="clear" w:color="auto" w:fill="FFFFFF"/>
              </w:rPr>
              <w:t>直</w:t>
            </w:r>
            <w:r>
              <w:rPr>
                <w:rFonts w:hint="eastAsia"/>
                <w:shd w:val="clear" w:color="auto" w:fill="FFFFFF"/>
              </w:rPr>
              <w:lastRenderedPageBreak/>
              <w:t>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EA6AC0" w:rsidRDefault="00E80433">
            <w:pPr>
              <w:pStyle w:val="biaogecenter"/>
              <w:wordWrap w:val="0"/>
              <w:rPr>
                <w:shd w:val="clear" w:color="auto" w:fill="FFFFFF"/>
              </w:rPr>
            </w:pPr>
            <w:r>
              <w:rPr>
                <w:rFonts w:hint="eastAsia"/>
                <w:shd w:val="clear" w:color="auto" w:fill="FFFFFF"/>
              </w:rPr>
              <w:lastRenderedPageBreak/>
              <w:t>-</w:t>
            </w:r>
          </w:p>
        </w:tc>
      </w:tr>
    </w:tbl>
    <w:p w:rsidR="00EA6AC0" w:rsidRDefault="00E80433">
      <w:pPr>
        <w:pStyle w:val="dazhangjie"/>
        <w:rPr>
          <w:color w:val="000000"/>
        </w:rPr>
      </w:pPr>
      <w:r>
        <w:rPr>
          <w:rFonts w:hint="eastAsia"/>
          <w:b/>
          <w:bCs/>
          <w:color w:val="000000"/>
        </w:rPr>
        <w:lastRenderedPageBreak/>
        <w:t>§</w:t>
      </w:r>
      <w:r>
        <w:rPr>
          <w:rFonts w:hint="eastAsia"/>
          <w:b/>
          <w:bCs/>
          <w:color w:val="000000"/>
        </w:rPr>
        <w:t xml:space="preserve">7 </w:t>
      </w:r>
      <w:r>
        <w:rPr>
          <w:rFonts w:hint="eastAsia"/>
          <w:b/>
          <w:bCs/>
          <w:color w:val="000000"/>
        </w:rPr>
        <w:t>关联交易情况</w:t>
      </w:r>
    </w:p>
    <w:p w:rsidR="00EA6AC0" w:rsidRDefault="00E80433">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报告期末，产品投资于本行或托管机构，主要股东、控股股东、实际控制人、一致行动人、最终受益人，其控股的机构或者与其有重大利害关系的公司发行的证券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EA6AC0" w:rsidRDefault="00E80433">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产品投资于本行或托管机构，主要股东、控股股东、实际控制人、一致行动人、最终受益人，其控股的机构或者与其有重大利害关系的公司承销的证券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EA6AC0" w:rsidRDefault="00E80433">
      <w:pPr>
        <w:pStyle w:val="biaogeright"/>
        <w:rPr>
          <w:b/>
        </w:rPr>
      </w:pPr>
      <w:r>
        <w:rPr>
          <w:rFonts w:hint="eastAsia"/>
          <w:b/>
        </w:rPr>
        <w:t>南京银行股份有限公司</w:t>
      </w:r>
    </w:p>
    <w:p w:rsidR="00EA6AC0" w:rsidRDefault="00E80433">
      <w:pPr>
        <w:pStyle w:val="biaogeright"/>
        <w:rPr>
          <w:b/>
        </w:rPr>
      </w:pPr>
      <w:r>
        <w:rPr>
          <w:rFonts w:hAnsi="Calibri" w:hint="eastAsia"/>
          <w:b/>
          <w:color w:val="000000"/>
        </w:rPr>
        <w:t>2020</w:t>
      </w:r>
      <w:r>
        <w:rPr>
          <w:rFonts w:hAnsi="Calibri" w:hint="eastAsia"/>
          <w:b/>
          <w:color w:val="000000"/>
        </w:rPr>
        <w:t>年</w:t>
      </w:r>
      <w:r>
        <w:rPr>
          <w:rFonts w:hAnsi="Calibri" w:hint="eastAsia"/>
          <w:b/>
          <w:color w:val="000000"/>
        </w:rPr>
        <w:t>12</w:t>
      </w:r>
      <w:r>
        <w:rPr>
          <w:rFonts w:hAnsi="Calibri" w:hint="eastAsia"/>
          <w:b/>
          <w:color w:val="000000"/>
        </w:rPr>
        <w:t>月</w:t>
      </w:r>
      <w:r>
        <w:rPr>
          <w:rFonts w:hAnsi="Calibri" w:hint="eastAsia"/>
          <w:b/>
          <w:color w:val="000000"/>
        </w:rPr>
        <w:t>31</w:t>
      </w:r>
      <w:r>
        <w:rPr>
          <w:rFonts w:hAnsi="Calibri" w:hint="eastAsia"/>
          <w:b/>
          <w:color w:val="000000"/>
        </w:rPr>
        <w:t>日</w:t>
      </w:r>
    </w:p>
    <w:sectPr w:rsidR="00EA6AC0" w:rsidSect="00EA6AC0">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0433" w:rsidRDefault="00E80433" w:rsidP="00EA6AC0">
      <w:r>
        <w:separator/>
      </w:r>
    </w:p>
  </w:endnote>
  <w:endnote w:type="continuationSeparator" w:id="1">
    <w:p w:rsidR="00E80433" w:rsidRDefault="00E80433" w:rsidP="00EA6A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6AC0" w:rsidRDefault="00EA6AC0">
    <w:pPr>
      <w:pStyle w:val="a5"/>
      <w:framePr w:wrap="around" w:vAnchor="text" w:hAnchor="margin" w:xAlign="center" w:y="1"/>
      <w:rPr>
        <w:rStyle w:val="aa"/>
      </w:rPr>
    </w:pPr>
    <w:r>
      <w:fldChar w:fldCharType="begin"/>
    </w:r>
    <w:r w:rsidR="00E80433">
      <w:rPr>
        <w:rStyle w:val="aa"/>
      </w:rPr>
      <w:instrText xml:space="preserve">PAGE  </w:instrText>
    </w:r>
    <w:r>
      <w:fldChar w:fldCharType="end"/>
    </w:r>
  </w:p>
  <w:p w:rsidR="00EA6AC0" w:rsidRDefault="00EA6AC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6AC0" w:rsidRDefault="00EA6AC0">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251" w:rsidRDefault="00617251">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6AC0" w:rsidRDefault="00EA6AC0">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6AC0" w:rsidRDefault="00EA6AC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0433" w:rsidRDefault="00E80433" w:rsidP="00EA6AC0">
      <w:r>
        <w:separator/>
      </w:r>
    </w:p>
  </w:footnote>
  <w:footnote w:type="continuationSeparator" w:id="1">
    <w:p w:rsidR="00E80433" w:rsidRDefault="00E80433" w:rsidP="00EA6A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251" w:rsidRDefault="00617251">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251" w:rsidRDefault="00617251">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251" w:rsidRDefault="00617251">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34FF6"/>
    <w:rsid w:val="00044BFF"/>
    <w:rsid w:val="0005474A"/>
    <w:rsid w:val="00061725"/>
    <w:rsid w:val="00072777"/>
    <w:rsid w:val="000A3711"/>
    <w:rsid w:val="000A5854"/>
    <w:rsid w:val="000D5066"/>
    <w:rsid w:val="000F6191"/>
    <w:rsid w:val="00107701"/>
    <w:rsid w:val="00130CE8"/>
    <w:rsid w:val="00152201"/>
    <w:rsid w:val="00172A27"/>
    <w:rsid w:val="00176636"/>
    <w:rsid w:val="00183C84"/>
    <w:rsid w:val="001A2697"/>
    <w:rsid w:val="001A7AF5"/>
    <w:rsid w:val="001C05F9"/>
    <w:rsid w:val="001C5395"/>
    <w:rsid w:val="00211F26"/>
    <w:rsid w:val="002263FC"/>
    <w:rsid w:val="002A3AE9"/>
    <w:rsid w:val="002C196E"/>
    <w:rsid w:val="002D296F"/>
    <w:rsid w:val="002D75D0"/>
    <w:rsid w:val="002E795C"/>
    <w:rsid w:val="00305714"/>
    <w:rsid w:val="00306825"/>
    <w:rsid w:val="00313E71"/>
    <w:rsid w:val="00321CB7"/>
    <w:rsid w:val="00336C9F"/>
    <w:rsid w:val="003379A9"/>
    <w:rsid w:val="003411F6"/>
    <w:rsid w:val="00350ADF"/>
    <w:rsid w:val="0035465C"/>
    <w:rsid w:val="00355623"/>
    <w:rsid w:val="00363742"/>
    <w:rsid w:val="003A0419"/>
    <w:rsid w:val="003C4D3B"/>
    <w:rsid w:val="003E09EA"/>
    <w:rsid w:val="003F0AC3"/>
    <w:rsid w:val="00402440"/>
    <w:rsid w:val="00456251"/>
    <w:rsid w:val="004C1607"/>
    <w:rsid w:val="004C1BE1"/>
    <w:rsid w:val="005069D8"/>
    <w:rsid w:val="0056162E"/>
    <w:rsid w:val="00563B93"/>
    <w:rsid w:val="00567DB3"/>
    <w:rsid w:val="00575BEA"/>
    <w:rsid w:val="0057601B"/>
    <w:rsid w:val="00584816"/>
    <w:rsid w:val="00597672"/>
    <w:rsid w:val="005B3434"/>
    <w:rsid w:val="005B5539"/>
    <w:rsid w:val="005E2884"/>
    <w:rsid w:val="005E5050"/>
    <w:rsid w:val="005F2C7B"/>
    <w:rsid w:val="005F4D04"/>
    <w:rsid w:val="005F7DA9"/>
    <w:rsid w:val="006054F8"/>
    <w:rsid w:val="00617251"/>
    <w:rsid w:val="006415FD"/>
    <w:rsid w:val="0065419A"/>
    <w:rsid w:val="00654220"/>
    <w:rsid w:val="00663B94"/>
    <w:rsid w:val="00677F66"/>
    <w:rsid w:val="006A438B"/>
    <w:rsid w:val="006C7F31"/>
    <w:rsid w:val="006E4E94"/>
    <w:rsid w:val="00730BEE"/>
    <w:rsid w:val="0073101E"/>
    <w:rsid w:val="00735153"/>
    <w:rsid w:val="00745421"/>
    <w:rsid w:val="007A4219"/>
    <w:rsid w:val="007D7228"/>
    <w:rsid w:val="0080200C"/>
    <w:rsid w:val="00814110"/>
    <w:rsid w:val="0082561A"/>
    <w:rsid w:val="00846B2E"/>
    <w:rsid w:val="00853290"/>
    <w:rsid w:val="0085663C"/>
    <w:rsid w:val="008768AB"/>
    <w:rsid w:val="008926F7"/>
    <w:rsid w:val="008A45BC"/>
    <w:rsid w:val="008A7510"/>
    <w:rsid w:val="008C7264"/>
    <w:rsid w:val="008C78BD"/>
    <w:rsid w:val="008F0FA3"/>
    <w:rsid w:val="009004DD"/>
    <w:rsid w:val="00900D90"/>
    <w:rsid w:val="00902342"/>
    <w:rsid w:val="00926A82"/>
    <w:rsid w:val="009354D6"/>
    <w:rsid w:val="00954287"/>
    <w:rsid w:val="00970A98"/>
    <w:rsid w:val="009C781F"/>
    <w:rsid w:val="009D5296"/>
    <w:rsid w:val="009E6170"/>
    <w:rsid w:val="00A247C9"/>
    <w:rsid w:val="00A37451"/>
    <w:rsid w:val="00A4484F"/>
    <w:rsid w:val="00A76D4B"/>
    <w:rsid w:val="00A77C47"/>
    <w:rsid w:val="00A9119C"/>
    <w:rsid w:val="00AA4549"/>
    <w:rsid w:val="00AC5144"/>
    <w:rsid w:val="00B0624C"/>
    <w:rsid w:val="00B13014"/>
    <w:rsid w:val="00B17559"/>
    <w:rsid w:val="00B33B19"/>
    <w:rsid w:val="00B404E6"/>
    <w:rsid w:val="00B4360D"/>
    <w:rsid w:val="00B61EA9"/>
    <w:rsid w:val="00B670D1"/>
    <w:rsid w:val="00B74DCA"/>
    <w:rsid w:val="00B92B4E"/>
    <w:rsid w:val="00BC02E0"/>
    <w:rsid w:val="00BC3903"/>
    <w:rsid w:val="00BE47E0"/>
    <w:rsid w:val="00BF75C8"/>
    <w:rsid w:val="00C1762E"/>
    <w:rsid w:val="00C22DF9"/>
    <w:rsid w:val="00C24EE3"/>
    <w:rsid w:val="00C25123"/>
    <w:rsid w:val="00C30A48"/>
    <w:rsid w:val="00C375A7"/>
    <w:rsid w:val="00C44231"/>
    <w:rsid w:val="00C62DF8"/>
    <w:rsid w:val="00C640FB"/>
    <w:rsid w:val="00C87C6A"/>
    <w:rsid w:val="00CA1D39"/>
    <w:rsid w:val="00CB054E"/>
    <w:rsid w:val="00CC52D7"/>
    <w:rsid w:val="00CD4657"/>
    <w:rsid w:val="00D144B6"/>
    <w:rsid w:val="00D23AB6"/>
    <w:rsid w:val="00D42895"/>
    <w:rsid w:val="00D50309"/>
    <w:rsid w:val="00D51AA9"/>
    <w:rsid w:val="00D66325"/>
    <w:rsid w:val="00D7264A"/>
    <w:rsid w:val="00D84E43"/>
    <w:rsid w:val="00D870DF"/>
    <w:rsid w:val="00D97208"/>
    <w:rsid w:val="00DB0C2F"/>
    <w:rsid w:val="00DB3BF6"/>
    <w:rsid w:val="00DC31CC"/>
    <w:rsid w:val="00DC5141"/>
    <w:rsid w:val="00DC728A"/>
    <w:rsid w:val="00DD2F3C"/>
    <w:rsid w:val="00E1059D"/>
    <w:rsid w:val="00E155DF"/>
    <w:rsid w:val="00E246E1"/>
    <w:rsid w:val="00E560F1"/>
    <w:rsid w:val="00E5666D"/>
    <w:rsid w:val="00E80433"/>
    <w:rsid w:val="00E944FA"/>
    <w:rsid w:val="00E9797A"/>
    <w:rsid w:val="00EA6AC0"/>
    <w:rsid w:val="00EA7ABC"/>
    <w:rsid w:val="00EB2746"/>
    <w:rsid w:val="00EE0436"/>
    <w:rsid w:val="00EE0D1D"/>
    <w:rsid w:val="00F1465C"/>
    <w:rsid w:val="00F312A6"/>
    <w:rsid w:val="00F41324"/>
    <w:rsid w:val="00F57C12"/>
    <w:rsid w:val="00F609FD"/>
    <w:rsid w:val="00F72713"/>
    <w:rsid w:val="00F729D5"/>
    <w:rsid w:val="00F859AB"/>
    <w:rsid w:val="00F950D0"/>
    <w:rsid w:val="00F959EB"/>
    <w:rsid w:val="00FA2C26"/>
    <w:rsid w:val="030F2BA7"/>
    <w:rsid w:val="04240CEE"/>
    <w:rsid w:val="065551D3"/>
    <w:rsid w:val="06C37561"/>
    <w:rsid w:val="0A236A5A"/>
    <w:rsid w:val="0BA075C8"/>
    <w:rsid w:val="0CAB045E"/>
    <w:rsid w:val="10C60AB9"/>
    <w:rsid w:val="111D4539"/>
    <w:rsid w:val="13297F9C"/>
    <w:rsid w:val="134727C6"/>
    <w:rsid w:val="141A5102"/>
    <w:rsid w:val="15FE575C"/>
    <w:rsid w:val="177920C8"/>
    <w:rsid w:val="18EC47C1"/>
    <w:rsid w:val="1AB73E2C"/>
    <w:rsid w:val="1ADC05C7"/>
    <w:rsid w:val="1E911FB2"/>
    <w:rsid w:val="1F274305"/>
    <w:rsid w:val="20F325AF"/>
    <w:rsid w:val="216F6F5C"/>
    <w:rsid w:val="22E23E75"/>
    <w:rsid w:val="24914F4C"/>
    <w:rsid w:val="2555668E"/>
    <w:rsid w:val="25AF3A81"/>
    <w:rsid w:val="25B229C2"/>
    <w:rsid w:val="26FD4196"/>
    <w:rsid w:val="28CD1EA7"/>
    <w:rsid w:val="2945121F"/>
    <w:rsid w:val="2986009C"/>
    <w:rsid w:val="29F7636C"/>
    <w:rsid w:val="32955A2A"/>
    <w:rsid w:val="350229F7"/>
    <w:rsid w:val="36341C31"/>
    <w:rsid w:val="368076E6"/>
    <w:rsid w:val="378F5AE0"/>
    <w:rsid w:val="37F709A6"/>
    <w:rsid w:val="39E872E9"/>
    <w:rsid w:val="39FF2E40"/>
    <w:rsid w:val="3ABE1FB8"/>
    <w:rsid w:val="3C753CC7"/>
    <w:rsid w:val="3F2C3B54"/>
    <w:rsid w:val="40990310"/>
    <w:rsid w:val="42B8695E"/>
    <w:rsid w:val="44F30C78"/>
    <w:rsid w:val="459870AF"/>
    <w:rsid w:val="45ED49CE"/>
    <w:rsid w:val="46F0109E"/>
    <w:rsid w:val="47475A63"/>
    <w:rsid w:val="4BCA232B"/>
    <w:rsid w:val="4E276A76"/>
    <w:rsid w:val="506954C1"/>
    <w:rsid w:val="507A66E1"/>
    <w:rsid w:val="509017BA"/>
    <w:rsid w:val="51482FC3"/>
    <w:rsid w:val="52830253"/>
    <w:rsid w:val="541C469D"/>
    <w:rsid w:val="55F73C55"/>
    <w:rsid w:val="5617604A"/>
    <w:rsid w:val="5B112151"/>
    <w:rsid w:val="5BE61B5E"/>
    <w:rsid w:val="5CA05A23"/>
    <w:rsid w:val="5EC71EB3"/>
    <w:rsid w:val="602D020F"/>
    <w:rsid w:val="60EA4BD2"/>
    <w:rsid w:val="62BD595C"/>
    <w:rsid w:val="66F47EBC"/>
    <w:rsid w:val="681903E9"/>
    <w:rsid w:val="68823415"/>
    <w:rsid w:val="6898111C"/>
    <w:rsid w:val="68A21F24"/>
    <w:rsid w:val="6A485270"/>
    <w:rsid w:val="6A970E7E"/>
    <w:rsid w:val="6D05415D"/>
    <w:rsid w:val="6E4E4B43"/>
    <w:rsid w:val="6F66394D"/>
    <w:rsid w:val="73193673"/>
    <w:rsid w:val="742938C1"/>
    <w:rsid w:val="74543F24"/>
    <w:rsid w:val="74BE328D"/>
    <w:rsid w:val="77B45190"/>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6AC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EA6AC0"/>
    <w:pPr>
      <w:jc w:val="left"/>
    </w:pPr>
  </w:style>
  <w:style w:type="paragraph" w:styleId="a4">
    <w:name w:val="Balloon Text"/>
    <w:basedOn w:val="a"/>
    <w:link w:val="Char0"/>
    <w:uiPriority w:val="99"/>
    <w:unhideWhenUsed/>
    <w:qFormat/>
    <w:rsid w:val="00EA6AC0"/>
    <w:rPr>
      <w:sz w:val="18"/>
      <w:szCs w:val="18"/>
    </w:rPr>
  </w:style>
  <w:style w:type="paragraph" w:styleId="a5">
    <w:name w:val="footer"/>
    <w:basedOn w:val="a"/>
    <w:link w:val="Char1"/>
    <w:uiPriority w:val="99"/>
    <w:unhideWhenUsed/>
    <w:qFormat/>
    <w:rsid w:val="00EA6AC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EA6AC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EA6AC0"/>
    <w:pPr>
      <w:snapToGrid w:val="0"/>
      <w:jc w:val="left"/>
    </w:pPr>
    <w:rPr>
      <w:sz w:val="18"/>
    </w:rPr>
  </w:style>
  <w:style w:type="paragraph" w:styleId="a8">
    <w:name w:val="Normal (Web)"/>
    <w:basedOn w:val="a"/>
    <w:qFormat/>
    <w:rsid w:val="00EA6AC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EA6AC0"/>
    <w:rPr>
      <w:b/>
      <w:bCs/>
    </w:rPr>
  </w:style>
  <w:style w:type="character" w:styleId="aa">
    <w:name w:val="page number"/>
    <w:basedOn w:val="a0"/>
    <w:uiPriority w:val="99"/>
    <w:unhideWhenUsed/>
    <w:qFormat/>
    <w:rsid w:val="00EA6AC0"/>
  </w:style>
  <w:style w:type="character" w:styleId="ab">
    <w:name w:val="Hyperlink"/>
    <w:basedOn w:val="a0"/>
    <w:uiPriority w:val="99"/>
    <w:unhideWhenUsed/>
    <w:qFormat/>
    <w:rsid w:val="00EA6AC0"/>
    <w:rPr>
      <w:color w:val="0000FF"/>
      <w:u w:val="single"/>
    </w:rPr>
  </w:style>
  <w:style w:type="character" w:styleId="ac">
    <w:name w:val="annotation reference"/>
    <w:uiPriority w:val="99"/>
    <w:unhideWhenUsed/>
    <w:qFormat/>
    <w:rsid w:val="00EA6AC0"/>
    <w:rPr>
      <w:sz w:val="21"/>
      <w:szCs w:val="21"/>
    </w:rPr>
  </w:style>
  <w:style w:type="character" w:styleId="ad">
    <w:name w:val="footnote reference"/>
    <w:uiPriority w:val="99"/>
    <w:unhideWhenUsed/>
    <w:qFormat/>
    <w:rsid w:val="00EA6AC0"/>
    <w:rPr>
      <w:vertAlign w:val="superscript"/>
    </w:rPr>
  </w:style>
  <w:style w:type="character" w:customStyle="1" w:styleId="Char0">
    <w:name w:val="批注框文本 Char"/>
    <w:link w:val="a4"/>
    <w:uiPriority w:val="99"/>
    <w:semiHidden/>
    <w:qFormat/>
    <w:rsid w:val="00EA6AC0"/>
    <w:rPr>
      <w:kern w:val="2"/>
      <w:sz w:val="18"/>
      <w:szCs w:val="18"/>
    </w:rPr>
  </w:style>
  <w:style w:type="character" w:customStyle="1" w:styleId="Char2">
    <w:name w:val="页眉 Char"/>
    <w:link w:val="a6"/>
    <w:uiPriority w:val="99"/>
    <w:semiHidden/>
    <w:qFormat/>
    <w:locked/>
    <w:rsid w:val="00EA6AC0"/>
    <w:rPr>
      <w:rFonts w:ascii="Times New Roman" w:hAnsi="Times New Roman" w:cs="Times New Roman" w:hint="default"/>
      <w:sz w:val="18"/>
      <w:szCs w:val="18"/>
    </w:rPr>
  </w:style>
  <w:style w:type="character" w:customStyle="1" w:styleId="Char3">
    <w:name w:val="批注主题 Char"/>
    <w:link w:val="a9"/>
    <w:uiPriority w:val="99"/>
    <w:semiHidden/>
    <w:qFormat/>
    <w:rsid w:val="00EA6AC0"/>
    <w:rPr>
      <w:b/>
      <w:bCs/>
      <w:kern w:val="2"/>
      <w:sz w:val="21"/>
      <w:szCs w:val="22"/>
    </w:rPr>
  </w:style>
  <w:style w:type="character" w:customStyle="1" w:styleId="Char1">
    <w:name w:val="页脚 Char"/>
    <w:link w:val="a5"/>
    <w:uiPriority w:val="99"/>
    <w:semiHidden/>
    <w:qFormat/>
    <w:locked/>
    <w:rsid w:val="00EA6AC0"/>
    <w:rPr>
      <w:rFonts w:ascii="Times New Roman" w:hAnsi="Times New Roman" w:cs="Times New Roman" w:hint="default"/>
      <w:sz w:val="18"/>
      <w:szCs w:val="18"/>
    </w:rPr>
  </w:style>
  <w:style w:type="character" w:customStyle="1" w:styleId="Char">
    <w:name w:val="批注文字 Char"/>
    <w:link w:val="a3"/>
    <w:uiPriority w:val="99"/>
    <w:qFormat/>
    <w:rsid w:val="00EA6AC0"/>
    <w:rPr>
      <w:kern w:val="2"/>
      <w:sz w:val="21"/>
      <w:szCs w:val="22"/>
    </w:rPr>
  </w:style>
  <w:style w:type="paragraph" w:customStyle="1" w:styleId="zhongyaotishi">
    <w:name w:val="zhongyaotishi"/>
    <w:basedOn w:val="a"/>
    <w:qFormat/>
    <w:rsid w:val="00EA6AC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EA6AC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EA6AC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EA6AC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EA6AC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EA6AC0"/>
    <w:pPr>
      <w:widowControl w:val="0"/>
      <w:jc w:val="center"/>
    </w:pPr>
    <w:rPr>
      <w:kern w:val="2"/>
      <w:sz w:val="33"/>
      <w:szCs w:val="22"/>
    </w:rPr>
  </w:style>
  <w:style w:type="paragraph" w:customStyle="1" w:styleId="biaogeleft">
    <w:name w:val="biaoge_left"/>
    <w:basedOn w:val="a"/>
    <w:qFormat/>
    <w:rsid w:val="00EA6AC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EA6AC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EA6AC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EA6AC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EA6AC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EA6AC0"/>
    <w:pPr>
      <w:widowControl w:val="0"/>
    </w:pPr>
    <w:rPr>
      <w:kern w:val="2"/>
      <w:sz w:val="21"/>
      <w:szCs w:val="22"/>
    </w:rPr>
  </w:style>
  <w:style w:type="paragraph" w:customStyle="1" w:styleId="neirong">
    <w:name w:val="neirong"/>
    <w:basedOn w:val="a"/>
    <w:qFormat/>
    <w:rsid w:val="00EA6AC0"/>
    <w:pPr>
      <w:widowControl/>
      <w:autoSpaceDE w:val="0"/>
      <w:autoSpaceDN w:val="0"/>
      <w:adjustRightInd w:val="0"/>
      <w:spacing w:before="29" w:line="288" w:lineRule="auto"/>
      <w:ind w:left="15"/>
      <w:jc w:val="left"/>
    </w:pPr>
    <w:rPr>
      <w:rFonts w:ascii="宋体" w:hAnsi="宋体" w:cs="宋体"/>
      <w:kern w:val="0"/>
      <w:sz w:val="24"/>
      <w:szCs w:val="24"/>
    </w:rPr>
  </w:style>
  <w:style w:type="character" w:customStyle="1" w:styleId="show1">
    <w:name w:val="show1"/>
    <w:basedOn w:val="a0"/>
    <w:rsid w:val="00EA6AC0"/>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846</Words>
  <Characters>4824</Characters>
  <Application>Microsoft Office Word</Application>
  <DocSecurity>0</DocSecurity>
  <Lines>40</Lines>
  <Paragraphs>11</Paragraphs>
  <ScaleCrop>false</ScaleCrop>
  <Company>微软中国</Company>
  <LinksUpToDate>false</LinksUpToDate>
  <CharactersWithSpaces>5659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34</cp:revision>
  <cp:lastPrinted>2019-09-11T00:56:00Z</cp:lastPrinted>
  <dcterms:created xsi:type="dcterms:W3CDTF">2020-12-16T03:30:00Z</dcterms:created>
  <dcterms:modified xsi:type="dcterms:W3CDTF">2021-03-30T02:22:00Z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E3D4F0D1985C418F8CC836BA4F897671</vt:lpwstr>
  </property>
</Properties>
</file>