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A79" w:rsidRDefault="00077A79">
      <w:pPr>
        <w:pStyle w:val="dazhangjie"/>
        <w:rPr>
          <w:b/>
          <w:bCs/>
          <w:color w:val="000000"/>
        </w:rPr>
      </w:pPr>
    </w:p>
    <w:p w:rsidR="00077A79" w:rsidRDefault="00077A79">
      <w:pPr>
        <w:pStyle w:val="dazhangjie"/>
        <w:rPr>
          <w:b/>
          <w:bCs/>
          <w:color w:val="000000"/>
        </w:rPr>
      </w:pPr>
    </w:p>
    <w:p w:rsidR="00077A79" w:rsidRDefault="00077A79">
      <w:pPr>
        <w:pStyle w:val="dazhangjie"/>
        <w:rPr>
          <w:b/>
          <w:bCs/>
          <w:color w:val="000000"/>
        </w:rPr>
      </w:pPr>
    </w:p>
    <w:p w:rsidR="00077A79" w:rsidRDefault="00DC6EE7">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25W763D</w:t>
      </w:r>
      <w:r>
        <w:rPr>
          <w:rFonts w:ascii="黑体" w:eastAsia="黑体" w:hAnsi="黑体"/>
          <w:b/>
          <w:bCs/>
          <w:sz w:val="36"/>
        </w:rPr>
        <w:t>封闭式公募人民币理财产品</w:t>
      </w:r>
    </w:p>
    <w:p w:rsidR="00077A79" w:rsidRDefault="00DC6EE7">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077A79" w:rsidRDefault="00077A79">
      <w:pPr>
        <w:pStyle w:val="dazhangjie"/>
        <w:spacing w:before="240" w:after="120"/>
        <w:rPr>
          <w:rFonts w:ascii="黑体" w:eastAsia="黑体" w:hAnsi="黑体"/>
          <w:b/>
          <w:bCs/>
          <w:color w:val="000000"/>
          <w:sz w:val="36"/>
        </w:rPr>
      </w:pPr>
    </w:p>
    <w:p w:rsidR="00077A79" w:rsidRDefault="00077A79">
      <w:pPr>
        <w:pStyle w:val="dazhangjie"/>
        <w:spacing w:before="240" w:after="120"/>
        <w:rPr>
          <w:rFonts w:ascii="黑体" w:eastAsia="黑体" w:hAnsi="黑体"/>
          <w:b/>
          <w:bCs/>
          <w:color w:val="000000"/>
          <w:sz w:val="36"/>
        </w:rPr>
      </w:pPr>
    </w:p>
    <w:p w:rsidR="00077A79" w:rsidRDefault="00077A79">
      <w:pPr>
        <w:pStyle w:val="dazhangjie"/>
        <w:spacing w:before="240" w:after="120"/>
        <w:rPr>
          <w:rFonts w:ascii="黑体" w:eastAsia="黑体" w:hAnsi="黑体"/>
          <w:b/>
          <w:bCs/>
          <w:color w:val="000000"/>
          <w:sz w:val="36"/>
        </w:rPr>
      </w:pPr>
    </w:p>
    <w:p w:rsidR="00077A79" w:rsidRDefault="00077A79">
      <w:pPr>
        <w:pStyle w:val="dazhangjie"/>
        <w:spacing w:before="240" w:after="120"/>
        <w:rPr>
          <w:rFonts w:ascii="黑体" w:eastAsia="黑体" w:hAnsi="黑体"/>
          <w:b/>
          <w:bCs/>
          <w:color w:val="000000"/>
          <w:sz w:val="36"/>
        </w:rPr>
      </w:pPr>
    </w:p>
    <w:p w:rsidR="00077A79" w:rsidRDefault="00077A79">
      <w:pPr>
        <w:pStyle w:val="dazhangjie"/>
        <w:spacing w:before="240" w:after="120"/>
        <w:rPr>
          <w:rFonts w:ascii="黑体" w:eastAsia="黑体" w:hAnsi="黑体"/>
          <w:b/>
          <w:bCs/>
          <w:color w:val="000000"/>
          <w:sz w:val="36"/>
        </w:rPr>
      </w:pPr>
    </w:p>
    <w:p w:rsidR="00077A79" w:rsidRDefault="00077A79">
      <w:pPr>
        <w:pStyle w:val="dazhangjie"/>
        <w:spacing w:before="240" w:after="120"/>
        <w:rPr>
          <w:rFonts w:ascii="黑体" w:eastAsia="黑体" w:hAnsi="黑体"/>
          <w:b/>
          <w:bCs/>
          <w:color w:val="000000"/>
          <w:sz w:val="36"/>
        </w:rPr>
      </w:pPr>
    </w:p>
    <w:p w:rsidR="00077A79" w:rsidRDefault="00077A79">
      <w:pPr>
        <w:pStyle w:val="dazhangjie"/>
        <w:spacing w:before="240" w:after="120"/>
        <w:rPr>
          <w:rFonts w:ascii="黑体" w:eastAsia="黑体" w:hAnsi="黑体"/>
          <w:b/>
          <w:bCs/>
          <w:color w:val="000000"/>
          <w:sz w:val="36"/>
        </w:rPr>
      </w:pPr>
    </w:p>
    <w:p w:rsidR="00077A79" w:rsidRDefault="00077A79">
      <w:pPr>
        <w:pStyle w:val="dazhangjie"/>
        <w:spacing w:before="240" w:after="120"/>
        <w:rPr>
          <w:rFonts w:ascii="黑体" w:eastAsia="黑体" w:hAnsi="黑体"/>
          <w:b/>
          <w:bCs/>
          <w:color w:val="000000"/>
          <w:sz w:val="36"/>
        </w:rPr>
      </w:pPr>
    </w:p>
    <w:p w:rsidR="00077A79" w:rsidRDefault="00077A79">
      <w:pPr>
        <w:pStyle w:val="dazhangjie"/>
        <w:spacing w:before="240" w:after="120"/>
        <w:ind w:left="0"/>
        <w:jc w:val="both"/>
        <w:rPr>
          <w:rFonts w:ascii="黑体" w:eastAsia="黑体" w:hAnsi="黑体"/>
          <w:b/>
          <w:bCs/>
          <w:color w:val="000000"/>
          <w:sz w:val="36"/>
        </w:rPr>
      </w:pPr>
    </w:p>
    <w:p w:rsidR="00077A79" w:rsidRDefault="00DC6EE7">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t>南京银行股份有限公司</w:t>
      </w:r>
    </w:p>
    <w:p w:rsidR="00077A79" w:rsidRDefault="00DC6EE7">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077A79" w:rsidRDefault="00077A79">
      <w:pPr>
        <w:widowControl/>
        <w:jc w:val="left"/>
        <w:rPr>
          <w:rFonts w:ascii="宋体" w:hAnsi="宋体" w:cs="宋体"/>
          <w:color w:val="000000"/>
          <w:kern w:val="0"/>
          <w:sz w:val="24"/>
          <w:szCs w:val="24"/>
        </w:rPr>
        <w:sectPr w:rsidR="00077A79">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077A79" w:rsidRDefault="00077A79">
      <w:pPr>
        <w:widowControl/>
        <w:jc w:val="left"/>
        <w:rPr>
          <w:rFonts w:ascii="宋体" w:hAnsi="宋体" w:cs="宋体"/>
          <w:color w:val="000000"/>
          <w:kern w:val="0"/>
          <w:sz w:val="24"/>
          <w:szCs w:val="24"/>
        </w:rPr>
      </w:pPr>
    </w:p>
    <w:p w:rsidR="00077A79" w:rsidRDefault="00DC6EE7">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077A79" w:rsidRDefault="00077A79">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rPr>
              <w:t>南京银行珠联璧合逸稳</w:t>
            </w:r>
            <w:r>
              <w:rPr>
                <w:rFonts w:hint="eastAsia"/>
              </w:rPr>
              <w:t>25W763D</w:t>
            </w:r>
            <w:r>
              <w:rPr>
                <w:rFonts w:hint="eastAsia"/>
              </w:rPr>
              <w:t>封闭式公募人民币理财产品</w:t>
            </w:r>
          </w:p>
        </w:tc>
      </w:tr>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pPr>
            <w:r>
              <w:t>C1086920000032</w:t>
            </w:r>
            <w:r>
              <w:rPr>
                <w:rFonts w:hint="eastAsia"/>
              </w:rPr>
              <w:t>（投资者可依据该编码在中国理财网</w:t>
            </w:r>
            <w:r>
              <w:rPr>
                <w:rFonts w:hint="eastAsia"/>
              </w:rPr>
              <w:t>www.chinawealth.com.cn</w:t>
            </w:r>
            <w:r>
              <w:rPr>
                <w:rFonts w:hint="eastAsia"/>
              </w:rPr>
              <w:t>查询理财产品相关信息）</w:t>
            </w:r>
          </w:p>
        </w:tc>
      </w:tr>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rPr>
              <w:t>开放式</w:t>
            </w:r>
            <w:r>
              <w:rPr>
                <w:rFonts w:hint="eastAsia"/>
              </w:rPr>
              <w:t>净值型</w:t>
            </w:r>
          </w:p>
        </w:tc>
      </w:tr>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76544C">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16</w:t>
            </w:r>
            <w:r>
              <w:rPr>
                <w:rFonts w:hint="eastAsia"/>
              </w:rPr>
              <w:t>日</w:t>
            </w:r>
          </w:p>
        </w:tc>
      </w:tr>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highlight w:val="yellow"/>
              </w:rPr>
            </w:pPr>
            <w:r>
              <w:rPr>
                <w:rFonts w:hint="eastAsia"/>
              </w:rPr>
              <w:t>221,847,000.00</w:t>
            </w:r>
            <w:r>
              <w:rPr>
                <w:rFonts w:hint="eastAsia"/>
              </w:rPr>
              <w:t>份</w:t>
            </w:r>
          </w:p>
        </w:tc>
      </w:tr>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100.16%</w:t>
            </w:r>
          </w:p>
        </w:tc>
      </w:tr>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鑫元基金管理有限公司</w:t>
            </w:r>
          </w:p>
        </w:tc>
      </w:tr>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t>南京银行股份有限公司</w:t>
            </w:r>
          </w:p>
        </w:tc>
      </w:tr>
      <w:tr w:rsidR="00077A79">
        <w:tc>
          <w:tcPr>
            <w:tcW w:w="281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left"/>
              <w:wordWrap w:val="0"/>
              <w:rPr>
                <w:color w:val="000000"/>
              </w:rPr>
            </w:pPr>
            <w:r>
              <w:rPr>
                <w:rFonts w:hint="eastAsia"/>
              </w:rPr>
              <w:t>南京银行股份有限公司</w:t>
            </w:r>
          </w:p>
        </w:tc>
      </w:tr>
    </w:tbl>
    <w:p w:rsidR="00077A79" w:rsidRDefault="00077A79">
      <w:pPr>
        <w:widowControl/>
        <w:jc w:val="left"/>
        <w:rPr>
          <w:rFonts w:ascii="宋体" w:hAnsi="宋体" w:cs="宋体"/>
          <w:color w:val="000000"/>
          <w:kern w:val="0"/>
          <w:sz w:val="24"/>
          <w:szCs w:val="24"/>
        </w:rPr>
      </w:pPr>
    </w:p>
    <w:p w:rsidR="00077A79" w:rsidRDefault="00077A79">
      <w:pPr>
        <w:pStyle w:val="dazhangjie"/>
        <w:rPr>
          <w:rFonts w:hAnsi="Calibri"/>
          <w:b/>
          <w:color w:val="000000"/>
        </w:rPr>
      </w:pPr>
    </w:p>
    <w:p w:rsidR="00077A79" w:rsidRDefault="00DC6EE7">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077A79" w:rsidRDefault="00077A79">
      <w:pPr>
        <w:widowControl/>
        <w:jc w:val="left"/>
        <w:rPr>
          <w:rFonts w:ascii="宋体" w:hAnsi="宋体" w:cs="宋体"/>
          <w:color w:val="000000"/>
          <w:kern w:val="0"/>
          <w:sz w:val="24"/>
          <w:szCs w:val="24"/>
        </w:rPr>
      </w:pPr>
    </w:p>
    <w:p w:rsidR="00077A79" w:rsidRDefault="00DC6EE7">
      <w:pPr>
        <w:pStyle w:val="zhangjiep"/>
        <w:rPr>
          <w:color w:val="000000"/>
        </w:rPr>
      </w:pPr>
      <w:r>
        <w:rPr>
          <w:rFonts w:hint="eastAsia"/>
          <w:b/>
          <w:bCs/>
          <w:color w:val="000000"/>
        </w:rPr>
        <w:t xml:space="preserve">2.1 </w:t>
      </w:r>
      <w:r>
        <w:rPr>
          <w:rFonts w:hint="eastAsia"/>
          <w:b/>
          <w:bCs/>
          <w:color w:val="000000"/>
        </w:rPr>
        <w:t>主要财务指标</w:t>
      </w:r>
    </w:p>
    <w:p w:rsidR="00077A79" w:rsidRDefault="00DC6EE7">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077A79">
        <w:tc>
          <w:tcPr>
            <w:tcW w:w="5220"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dazhangjie"/>
              <w:spacing w:before="240" w:after="120"/>
              <w:rPr>
                <w:color w:val="000000"/>
              </w:rPr>
            </w:pPr>
            <w:r>
              <w:t>报告期（</w:t>
            </w:r>
            <w:r>
              <w:rPr>
                <w:rFonts w:hint="eastAsia"/>
              </w:rPr>
              <w:t>2020</w:t>
            </w:r>
            <w:r>
              <w:rPr>
                <w:rFonts w:hint="eastAsia"/>
              </w:rPr>
              <w:t>年</w:t>
            </w:r>
            <w:r>
              <w:rPr>
                <w:rFonts w:hint="eastAsia"/>
              </w:rPr>
              <w:t>09</w:t>
            </w:r>
            <w:r>
              <w:rPr>
                <w:rFonts w:hint="eastAsia"/>
              </w:rPr>
              <w:t>月</w:t>
            </w:r>
            <w:r>
              <w:rPr>
                <w:rFonts w:hint="eastAsia"/>
              </w:rPr>
              <w:t>16</w:t>
            </w:r>
            <w:r>
              <w:rPr>
                <w:rFonts w:hint="eastAsia"/>
              </w:rPr>
              <w:t>日</w:t>
            </w:r>
            <w:r>
              <w:t xml:space="preserve">- </w:t>
            </w:r>
            <w:r>
              <w:t>2020</w:t>
            </w:r>
            <w:r>
              <w:t>年</w:t>
            </w:r>
            <w:r>
              <w:t>12</w:t>
            </w:r>
            <w:r>
              <w:t>月</w:t>
            </w:r>
            <w:r>
              <w:t>31</w:t>
            </w:r>
            <w:r>
              <w:t>日）</w:t>
            </w:r>
          </w:p>
        </w:tc>
      </w:tr>
      <w:tr w:rsidR="00077A79">
        <w:tc>
          <w:tcPr>
            <w:tcW w:w="5220"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right"/>
              <w:jc w:val="center"/>
              <w:rPr>
                <w:color w:val="000000"/>
                <w:highlight w:val="yellow"/>
              </w:rPr>
            </w:pPr>
            <w:r>
              <w:rPr>
                <w:rFonts w:hint="eastAsia"/>
              </w:rPr>
              <w:t>224,912,354.35</w:t>
            </w:r>
          </w:p>
        </w:tc>
      </w:tr>
      <w:tr w:rsidR="00077A79">
        <w:tc>
          <w:tcPr>
            <w:tcW w:w="5220"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right"/>
              <w:jc w:val="center"/>
              <w:rPr>
                <w:color w:val="000000"/>
                <w:highlight w:val="yellow"/>
              </w:rPr>
            </w:pPr>
            <w:r>
              <w:rPr>
                <w:rFonts w:hint="eastAsia"/>
              </w:rPr>
              <w:t>1.0138</w:t>
            </w:r>
          </w:p>
        </w:tc>
      </w:tr>
      <w:tr w:rsidR="00077A79">
        <w:tc>
          <w:tcPr>
            <w:tcW w:w="5220"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right"/>
              <w:jc w:val="center"/>
              <w:rPr>
                <w:color w:val="000000"/>
                <w:highlight w:val="yellow"/>
              </w:rPr>
            </w:pPr>
            <w:r>
              <w:rPr>
                <w:rFonts w:hint="eastAsia"/>
              </w:rPr>
              <w:t>1.0138</w:t>
            </w:r>
          </w:p>
        </w:tc>
      </w:tr>
      <w:tr w:rsidR="00077A79">
        <w:tc>
          <w:tcPr>
            <w:tcW w:w="5220" w:type="dxa"/>
            <w:vAlign w:val="center"/>
          </w:tcPr>
          <w:p w:rsidR="00077A79" w:rsidRDefault="00077A79">
            <w:pPr>
              <w:widowControl/>
              <w:jc w:val="left"/>
              <w:rPr>
                <w:rFonts w:ascii="宋体" w:hAnsi="宋体" w:cs="宋体"/>
                <w:color w:val="000000"/>
                <w:kern w:val="0"/>
                <w:sz w:val="24"/>
                <w:szCs w:val="24"/>
              </w:rPr>
            </w:pPr>
          </w:p>
        </w:tc>
        <w:tc>
          <w:tcPr>
            <w:tcW w:w="3825" w:type="dxa"/>
            <w:vAlign w:val="center"/>
          </w:tcPr>
          <w:p w:rsidR="00077A79" w:rsidRDefault="00077A79">
            <w:pPr>
              <w:widowControl/>
              <w:jc w:val="left"/>
              <w:rPr>
                <w:color w:val="000000"/>
                <w:kern w:val="0"/>
                <w:sz w:val="20"/>
                <w:szCs w:val="20"/>
              </w:rPr>
            </w:pPr>
          </w:p>
        </w:tc>
      </w:tr>
    </w:tbl>
    <w:p w:rsidR="00077A79" w:rsidRDefault="00077A79">
      <w:pPr>
        <w:pStyle w:val="biaogeleft"/>
        <w:ind w:left="0"/>
        <w:rPr>
          <w:color w:val="000000"/>
        </w:rPr>
      </w:pPr>
    </w:p>
    <w:p w:rsidR="00077A79" w:rsidRDefault="00077A79">
      <w:pPr>
        <w:widowControl/>
        <w:jc w:val="left"/>
        <w:rPr>
          <w:rFonts w:ascii="宋体" w:hAnsi="宋体" w:cs="宋体"/>
          <w:color w:val="000000"/>
          <w:kern w:val="0"/>
          <w:sz w:val="24"/>
          <w:szCs w:val="24"/>
        </w:rPr>
      </w:pPr>
    </w:p>
    <w:p w:rsidR="00077A79" w:rsidRDefault="00DC6EE7">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077A79" w:rsidRDefault="00DC6EE7">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077A79" w:rsidRDefault="00DC6EE7">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077A79" w:rsidRDefault="00DC6EE7">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077A79" w:rsidRDefault="00DC6EE7">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077A79" w:rsidRDefault="00DC6EE7">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077A79" w:rsidRDefault="00DC6EE7">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077A79" w:rsidRDefault="00DC6EE7">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077A79" w:rsidRDefault="00DC6EE7">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077A79" w:rsidRDefault="00DC6EE7">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1.0138</w:t>
      </w:r>
      <w:r>
        <w:rPr>
          <w:rFonts w:hint="eastAsia"/>
          <w:color w:val="000000"/>
        </w:rPr>
        <w:t>元。</w:t>
      </w:r>
    </w:p>
    <w:p w:rsidR="00077A79" w:rsidRDefault="00077A79">
      <w:pPr>
        <w:widowControl/>
        <w:jc w:val="left"/>
        <w:rPr>
          <w:rFonts w:ascii="宋体" w:hAnsi="宋体" w:cs="宋体"/>
          <w:color w:val="000000"/>
          <w:kern w:val="0"/>
          <w:sz w:val="24"/>
          <w:szCs w:val="24"/>
        </w:rPr>
      </w:pPr>
    </w:p>
    <w:p w:rsidR="00077A79" w:rsidRDefault="00DC6EE7">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077A79" w:rsidRDefault="00077A79">
      <w:pPr>
        <w:pStyle w:val="dazhangjie"/>
        <w:rPr>
          <w:rFonts w:hAnsi="Calibri"/>
          <w:b/>
          <w:color w:val="000000"/>
        </w:rPr>
      </w:pPr>
    </w:p>
    <w:p w:rsidR="00077A79" w:rsidRDefault="00DC6EE7">
      <w:pPr>
        <w:pStyle w:val="a8"/>
        <w:rPr>
          <w:b/>
          <w:color w:val="000000"/>
        </w:rPr>
      </w:pPr>
      <w:r>
        <w:rPr>
          <w:rFonts w:hint="eastAsia"/>
          <w:b/>
          <w:color w:val="000000"/>
        </w:rPr>
        <w:t>4.1</w:t>
      </w:r>
      <w:r>
        <w:rPr>
          <w:rFonts w:hint="eastAsia"/>
          <w:b/>
          <w:color w:val="000000"/>
        </w:rPr>
        <w:t>报告期内托管人遵规守信情况声明</w:t>
      </w:r>
    </w:p>
    <w:p w:rsidR="00077A79" w:rsidRDefault="00DC6EE7">
      <w:pPr>
        <w:pStyle w:val="biaogeleft"/>
        <w:spacing w:line="360" w:lineRule="auto"/>
        <w:ind w:firstLineChars="200" w:firstLine="480"/>
        <w:rPr>
          <w:rFonts w:cs="Times New Roman"/>
          <w:b/>
          <w:color w:val="000000"/>
        </w:rPr>
      </w:pPr>
      <w:bookmarkStart w:id="2"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9</w:t>
      </w:r>
      <w:r>
        <w:rPr>
          <w:rFonts w:hint="eastAsia"/>
        </w:rPr>
        <w:t>月</w:t>
      </w:r>
      <w:r>
        <w:rPr>
          <w:rFonts w:hint="eastAsia"/>
        </w:rPr>
        <w:t>16</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rsidR="00077A79" w:rsidRDefault="00DC6EE7">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077A79" w:rsidRDefault="00DC6EE7">
      <w:pPr>
        <w:pStyle w:val="biaogeleft"/>
        <w:spacing w:line="360" w:lineRule="auto"/>
        <w:ind w:firstLine="480"/>
        <w:rPr>
          <w:color w:val="000000"/>
        </w:rPr>
      </w:pPr>
      <w:bookmarkStart w:id="3" w:name="_Hlk65778120"/>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077A79" w:rsidRDefault="00DC6EE7">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4" w:name="_GoBack"/>
      <w:bookmarkEnd w:id="4"/>
      <w:r>
        <w:rPr>
          <w:rFonts w:cs="Times New Roman" w:hint="eastAsia"/>
          <w:b/>
          <w:color w:val="000000"/>
        </w:rPr>
        <w:t>年度报告中财务信息等内容的真实、准确和完整发表意见</w:t>
      </w:r>
    </w:p>
    <w:p w:rsidR="00077A79" w:rsidRDefault="00DC6EE7">
      <w:pPr>
        <w:pStyle w:val="biaogeleft"/>
        <w:spacing w:line="360" w:lineRule="auto"/>
        <w:ind w:firstLine="480"/>
        <w:rPr>
          <w:color w:val="000000"/>
        </w:rPr>
      </w:pPr>
      <w:r>
        <w:rPr>
          <w:rFonts w:hint="eastAsia"/>
          <w:color w:val="000000"/>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p>
    <w:p w:rsidR="00077A79" w:rsidRDefault="00077A79">
      <w:pPr>
        <w:pStyle w:val="biaogeleft"/>
        <w:spacing w:line="360" w:lineRule="auto"/>
        <w:ind w:firstLine="480"/>
        <w:rPr>
          <w:color w:val="000000"/>
        </w:rPr>
      </w:pPr>
    </w:p>
    <w:p w:rsidR="00077A79" w:rsidRDefault="00DC6EE7">
      <w:pPr>
        <w:pStyle w:val="dazhangjie"/>
      </w:pPr>
      <w:bookmarkStart w:id="5"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5"/>
    </w:p>
    <w:p w:rsidR="00077A79" w:rsidRDefault="00077A79">
      <w:pPr>
        <w:widowControl/>
        <w:jc w:val="left"/>
        <w:rPr>
          <w:rFonts w:ascii="宋体" w:hAnsi="宋体" w:cs="宋体"/>
          <w:kern w:val="0"/>
          <w:sz w:val="24"/>
          <w:szCs w:val="24"/>
        </w:rPr>
      </w:pPr>
    </w:p>
    <w:p w:rsidR="00077A79" w:rsidRDefault="00DC6EE7">
      <w:pPr>
        <w:pStyle w:val="zhangjiep"/>
      </w:pPr>
      <w:bookmarkStart w:id="6" w:name="_Toc61271615"/>
      <w:r>
        <w:rPr>
          <w:rFonts w:hint="eastAsia"/>
          <w:b/>
          <w:bCs/>
        </w:rPr>
        <w:t xml:space="preserve">5.1 </w:t>
      </w:r>
      <w:r>
        <w:rPr>
          <w:rFonts w:hint="eastAsia"/>
          <w:b/>
          <w:bCs/>
        </w:rPr>
        <w:t>资产负债表</w:t>
      </w:r>
      <w:bookmarkEnd w:id="6"/>
    </w:p>
    <w:p w:rsidR="00077A79" w:rsidRDefault="00DC6EE7">
      <w:pPr>
        <w:pStyle w:val="biaogeleft"/>
      </w:pPr>
      <w:r>
        <w:rPr>
          <w:rFonts w:hint="eastAsia"/>
        </w:rPr>
        <w:t>会计主体：南京银行珠联璧合逸稳</w:t>
      </w:r>
      <w:r>
        <w:rPr>
          <w:rFonts w:hint="eastAsia"/>
        </w:rPr>
        <w:t>25W763D</w:t>
      </w:r>
      <w:r>
        <w:rPr>
          <w:rFonts w:hint="eastAsia"/>
        </w:rPr>
        <w:t>封闭式公募人民币理财产品</w:t>
      </w:r>
    </w:p>
    <w:p w:rsidR="00077A79" w:rsidRDefault="00DC6EE7">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077A79" w:rsidRDefault="00DC6EE7">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Ansi="Calibri" w:hint="eastAsia"/>
                <w:color w:val="000000"/>
              </w:rPr>
              <w:t>本期末</w:t>
            </w:r>
            <w:r>
              <w:rPr>
                <w:rFonts w:hAnsi="Calibri" w:hint="eastAsia"/>
                <w:color w:val="000000"/>
              </w:rPr>
              <w:t> </w:t>
            </w:r>
          </w:p>
          <w:p w:rsidR="00077A79" w:rsidRDefault="00DC6EE7">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rPr>
              <w:t> </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733,434.70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2,038,229.12</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105,000,000.00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117,504,885.60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225,276,549.42</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rPr>
              <w:t>本期末</w:t>
            </w:r>
            <w:r>
              <w:rPr>
                <w:rFonts w:hint="eastAsia"/>
              </w:rPr>
              <w:t> </w:t>
            </w:r>
          </w:p>
          <w:p w:rsidR="00077A79" w:rsidRDefault="00DC6EE7">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rPr>
              <w:t> </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185,478.84</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12,365.46</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123,652.56</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42,698.21</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364,195.07</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rPr>
              <w:t> </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221,847,000.00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0.00</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3,065,354.35</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224,912,354.35</w:t>
            </w:r>
          </w:p>
        </w:tc>
      </w:tr>
      <w:tr w:rsidR="00077A79">
        <w:tc>
          <w:tcPr>
            <w:tcW w:w="3660"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cs="Arial" w:hint="eastAsia"/>
                <w:color w:val="000000"/>
              </w:rPr>
              <w:t>225,276,549.42</w:t>
            </w:r>
          </w:p>
        </w:tc>
      </w:tr>
    </w:tbl>
    <w:p w:rsidR="00077A79" w:rsidRDefault="00077A79">
      <w:pPr>
        <w:widowControl/>
        <w:jc w:val="left"/>
        <w:rPr>
          <w:rFonts w:ascii="宋体" w:hAnsi="宋体" w:cs="宋体"/>
          <w:kern w:val="0"/>
          <w:sz w:val="24"/>
          <w:szCs w:val="24"/>
        </w:rPr>
      </w:pPr>
    </w:p>
    <w:p w:rsidR="00077A79" w:rsidRDefault="00DC6EE7">
      <w:pPr>
        <w:pStyle w:val="zhangjiep"/>
      </w:pPr>
      <w:bookmarkStart w:id="7" w:name="_Toc61427696"/>
      <w:r>
        <w:rPr>
          <w:rFonts w:hint="eastAsia"/>
          <w:b/>
          <w:bCs/>
        </w:rPr>
        <w:t xml:space="preserve">5.2 </w:t>
      </w:r>
      <w:r>
        <w:rPr>
          <w:rFonts w:hint="eastAsia"/>
          <w:b/>
          <w:bCs/>
        </w:rPr>
        <w:t>利润表</w:t>
      </w:r>
      <w:bookmarkEnd w:id="7"/>
    </w:p>
    <w:p w:rsidR="00077A79" w:rsidRDefault="00DC6EE7">
      <w:pPr>
        <w:pStyle w:val="biaogeleft"/>
      </w:pPr>
      <w:r>
        <w:rPr>
          <w:rFonts w:hint="eastAsia"/>
        </w:rPr>
        <w:t>会计主体：南京银行珠联璧合逸稳</w:t>
      </w:r>
      <w:r>
        <w:rPr>
          <w:rFonts w:hint="eastAsia"/>
        </w:rPr>
        <w:t>25W763D</w:t>
      </w:r>
      <w:r>
        <w:rPr>
          <w:rFonts w:hint="eastAsia"/>
        </w:rPr>
        <w:t>封闭式公募人民币理财产品</w:t>
      </w:r>
    </w:p>
    <w:p w:rsidR="00077A79" w:rsidRDefault="00DC6EE7">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077A79" w:rsidRDefault="00DC6EE7">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077A79">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09</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077A79">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077A79" w:rsidRDefault="00077A79">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077A79" w:rsidRDefault="00077A79">
            <w:pPr>
              <w:widowControl/>
              <w:jc w:val="left"/>
              <w:rPr>
                <w:rFonts w:asciiTheme="minorEastAsia" w:eastAsiaTheme="minorEastAsia" w:hAnsiTheme="minorEastAsia" w:cs="宋体"/>
                <w:kern w:val="0"/>
                <w:sz w:val="24"/>
                <w:szCs w:val="24"/>
              </w:rPr>
            </w:pP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b/>
                <w:bCs/>
                <w:color w:val="000000"/>
              </w:rPr>
              <w:t>3,407,185.67</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1,274,300.07</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3,519.36</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1,270,780.71</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ascii="Arial" w:hAnsi="Arial" w:cs="Arial"/>
                <w:color w:val="000000"/>
              </w:rPr>
              <w:t xml:space="preserve">　</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1,592,043.20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 xml:space="preserve">　</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540,842.40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b/>
                <w:bCs/>
                <w:color w:val="000000"/>
              </w:rPr>
              <w:t>341,831.32</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194,570.94</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12,971.61</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129,713.96</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4,574.81</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color w:val="000000"/>
              </w:rPr>
              <w:t>0.00</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b/>
                <w:bCs/>
                <w:color w:val="000000"/>
              </w:rPr>
              <w:t>3,065,354.35</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ascii="Arial" w:hAnsi="Arial" w:cs="Arial"/>
                <w:color w:val="000000"/>
              </w:rPr>
              <w:t xml:space="preserve">　</w:t>
            </w:r>
          </w:p>
        </w:tc>
      </w:tr>
      <w:tr w:rsidR="00077A79">
        <w:tc>
          <w:tcPr>
            <w:tcW w:w="2969"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rPr>
                <w:rFonts w:asciiTheme="minorEastAsia" w:eastAsiaTheme="minorEastAsia" w:hAnsiTheme="minorEastAsia"/>
              </w:rPr>
            </w:pPr>
            <w:r>
              <w:rPr>
                <w:rFonts w:cs="Arial" w:hint="eastAsia"/>
                <w:b/>
                <w:bCs/>
                <w:color w:val="000000"/>
              </w:rPr>
              <w:t>3,065,354.35</w:t>
            </w:r>
          </w:p>
        </w:tc>
      </w:tr>
    </w:tbl>
    <w:p w:rsidR="00077A79" w:rsidRDefault="00077A79">
      <w:pPr>
        <w:widowControl/>
        <w:jc w:val="left"/>
        <w:rPr>
          <w:rFonts w:ascii="宋体" w:hAnsi="宋体" w:cs="宋体"/>
          <w:kern w:val="0"/>
          <w:sz w:val="24"/>
          <w:szCs w:val="24"/>
        </w:rPr>
      </w:pPr>
    </w:p>
    <w:p w:rsidR="00077A79" w:rsidRDefault="00DC6EE7">
      <w:pPr>
        <w:pStyle w:val="zhangjiep"/>
      </w:pPr>
      <w:bookmarkStart w:id="8" w:name="_Toc61427697"/>
      <w:r>
        <w:rPr>
          <w:rFonts w:hint="eastAsia"/>
          <w:b/>
          <w:bCs/>
        </w:rPr>
        <w:t xml:space="preserve">5.3 </w:t>
      </w:r>
      <w:r>
        <w:rPr>
          <w:rFonts w:hint="eastAsia"/>
          <w:b/>
          <w:bCs/>
        </w:rPr>
        <w:t>所有者权益（基金净值）变动表</w:t>
      </w:r>
      <w:bookmarkEnd w:id="8"/>
    </w:p>
    <w:p w:rsidR="00077A79" w:rsidRDefault="00DC6EE7">
      <w:pPr>
        <w:pStyle w:val="biaogeleft"/>
      </w:pPr>
      <w:r>
        <w:rPr>
          <w:rFonts w:hint="eastAsia"/>
        </w:rPr>
        <w:t>会计主体：南京银行珠联璧合逸稳</w:t>
      </w:r>
      <w:r>
        <w:rPr>
          <w:rFonts w:hint="eastAsia"/>
        </w:rPr>
        <w:t>25W763D</w:t>
      </w:r>
      <w:r>
        <w:rPr>
          <w:rFonts w:hint="eastAsia"/>
        </w:rPr>
        <w:t>封闭式公募人民币理财产品</w:t>
      </w:r>
    </w:p>
    <w:p w:rsidR="00077A79" w:rsidRDefault="00DC6EE7">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077A79" w:rsidRDefault="00DC6EE7">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077A79">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rPr>
              <w:t>本期</w:t>
            </w:r>
            <w:r>
              <w:rPr>
                <w:rFonts w:hint="eastAsia"/>
              </w:rPr>
              <w:t> </w:t>
            </w:r>
          </w:p>
          <w:p w:rsidR="00077A79" w:rsidRDefault="00DC6EE7">
            <w:pPr>
              <w:pStyle w:val="biaogecenter"/>
              <w:wordWrap w:val="0"/>
            </w:pPr>
            <w:r>
              <w:rPr>
                <w:rFonts w:hint="eastAsia"/>
              </w:rPr>
              <w:t>2020</w:t>
            </w:r>
            <w:r>
              <w:rPr>
                <w:rFonts w:hint="eastAsia"/>
              </w:rPr>
              <w:t>年</w:t>
            </w:r>
            <w:r>
              <w:rPr>
                <w:rFonts w:hint="eastAsia"/>
              </w:rPr>
              <w:t>09</w:t>
            </w:r>
            <w:r>
              <w:rPr>
                <w:rFonts w:hint="eastAsia"/>
              </w:rPr>
              <w:t>月</w:t>
            </w:r>
            <w:r>
              <w:rPr>
                <w:rFonts w:hint="eastAsia"/>
              </w:rPr>
              <w:t>16</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077A79">
        <w:tc>
          <w:tcPr>
            <w:tcW w:w="2116" w:type="dxa"/>
            <w:vMerge/>
            <w:tcBorders>
              <w:top w:val="single" w:sz="8" w:space="0" w:color="000000"/>
              <w:left w:val="single" w:sz="8" w:space="0" w:color="000000"/>
              <w:bottom w:val="single" w:sz="8" w:space="0" w:color="000000"/>
              <w:right w:val="single" w:sz="8" w:space="0" w:color="000000"/>
            </w:tcBorders>
            <w:vAlign w:val="center"/>
          </w:tcPr>
          <w:p w:rsidR="00077A79" w:rsidRDefault="00077A79">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pPr>
            <w:r>
              <w:rPr>
                <w:rFonts w:hint="eastAsia"/>
              </w:rPr>
              <w:t>所有者权益合计</w:t>
            </w:r>
            <w:r>
              <w:rPr>
                <w:rFonts w:hint="eastAsia"/>
              </w:rPr>
              <w:t> </w:t>
            </w:r>
          </w:p>
        </w:tc>
      </w:tr>
      <w:tr w:rsidR="00077A79">
        <w:tc>
          <w:tcPr>
            <w:tcW w:w="211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lastRenderedPageBreak/>
              <w:t>221,847,000.00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221,847,000.00</w:t>
            </w:r>
          </w:p>
        </w:tc>
      </w:tr>
      <w:tr w:rsidR="00077A79">
        <w:tc>
          <w:tcPr>
            <w:tcW w:w="211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3,065,354.35</w:t>
            </w:r>
          </w:p>
        </w:tc>
        <w:tc>
          <w:tcPr>
            <w:tcW w:w="2484"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3,065,354.35</w:t>
            </w:r>
          </w:p>
        </w:tc>
      </w:tr>
      <w:tr w:rsidR="00077A79">
        <w:tc>
          <w:tcPr>
            <w:tcW w:w="211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r>
      <w:tr w:rsidR="00077A79">
        <w:tc>
          <w:tcPr>
            <w:tcW w:w="211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r>
      <w:tr w:rsidR="00077A79">
        <w:tc>
          <w:tcPr>
            <w:tcW w:w="211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r>
      <w:tr w:rsidR="00077A79">
        <w:tc>
          <w:tcPr>
            <w:tcW w:w="211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w:t>
            </w:r>
          </w:p>
        </w:tc>
      </w:tr>
      <w:tr w:rsidR="00077A79">
        <w:tc>
          <w:tcPr>
            <w:tcW w:w="211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221,847,000.00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3,065,354.35</w:t>
            </w:r>
          </w:p>
        </w:tc>
        <w:tc>
          <w:tcPr>
            <w:tcW w:w="2484"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right"/>
              <w:wordWrap w:val="0"/>
            </w:pPr>
            <w:r>
              <w:rPr>
                <w:rFonts w:hint="eastAsia"/>
              </w:rPr>
              <w:t>224,912,354.35</w:t>
            </w:r>
          </w:p>
        </w:tc>
      </w:tr>
    </w:tbl>
    <w:p w:rsidR="00077A79" w:rsidRDefault="00077A79">
      <w:pPr>
        <w:widowControl/>
        <w:autoSpaceDE w:val="0"/>
        <w:autoSpaceDN w:val="0"/>
        <w:adjustRightInd w:val="0"/>
        <w:spacing w:line="288" w:lineRule="auto"/>
        <w:jc w:val="right"/>
        <w:rPr>
          <w:rFonts w:ascii="宋体" w:hAnsi="宋体" w:cs="宋体"/>
          <w:kern w:val="0"/>
          <w:sz w:val="24"/>
          <w:szCs w:val="24"/>
        </w:rPr>
      </w:pPr>
    </w:p>
    <w:p w:rsidR="00077A79" w:rsidRDefault="00077A79">
      <w:pPr>
        <w:pStyle w:val="biaogeleft"/>
        <w:spacing w:line="360" w:lineRule="auto"/>
        <w:ind w:firstLine="480"/>
        <w:rPr>
          <w:color w:val="000000"/>
        </w:rPr>
      </w:pPr>
    </w:p>
    <w:p w:rsidR="00077A79" w:rsidRDefault="00DC6EE7">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077A79" w:rsidRDefault="00077A79">
      <w:pPr>
        <w:widowControl/>
        <w:jc w:val="left"/>
        <w:rPr>
          <w:rFonts w:ascii="宋体" w:hAnsi="宋体" w:cs="宋体"/>
          <w:color w:val="000000"/>
          <w:kern w:val="0"/>
          <w:sz w:val="24"/>
          <w:szCs w:val="24"/>
        </w:rPr>
      </w:pPr>
    </w:p>
    <w:p w:rsidR="00077A79" w:rsidRDefault="00DC6EE7">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077A79">
        <w:tc>
          <w:tcPr>
            <w:tcW w:w="891" w:type="dxa"/>
            <w:tcBorders>
              <w:top w:val="single" w:sz="8" w:space="0" w:color="000000"/>
              <w:left w:val="single" w:sz="8" w:space="0" w:color="000000"/>
              <w:bottom w:val="single" w:sz="6" w:space="0" w:color="000000"/>
              <w:right w:val="single" w:sz="8" w:space="0" w:color="000000"/>
            </w:tcBorders>
            <w:vAlign w:val="bottom"/>
          </w:tcPr>
          <w:p w:rsidR="00077A79" w:rsidRDefault="00DC6EE7">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077A79" w:rsidRDefault="00DC6EE7">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077A79" w:rsidRDefault="00DC6EE7">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077A79" w:rsidRDefault="00DC6EE7">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105,000,000.00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46.61</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117,504,885.60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52.16</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733,434.70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0.33</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2,038,229.12</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0.90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77A79">
        <w:tc>
          <w:tcPr>
            <w:tcW w:w="891"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225,276,549.42</w:t>
            </w:r>
          </w:p>
        </w:tc>
        <w:tc>
          <w:tcPr>
            <w:tcW w:w="2395" w:type="dxa"/>
            <w:tcBorders>
              <w:top w:val="single" w:sz="8" w:space="0" w:color="000000"/>
              <w:left w:val="single" w:sz="8" w:space="0" w:color="000000"/>
              <w:bottom w:val="single" w:sz="8" w:space="0" w:color="000000"/>
              <w:right w:val="single" w:sz="8" w:space="0" w:color="000000"/>
            </w:tcBorders>
            <w:vAlign w:val="center"/>
          </w:tcPr>
          <w:p w:rsidR="00077A79" w:rsidRDefault="00DC6EE7">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077A79" w:rsidRDefault="00077A79">
      <w:pPr>
        <w:widowControl/>
        <w:jc w:val="left"/>
        <w:rPr>
          <w:rFonts w:ascii="宋体" w:hAnsi="宋体" w:cs="宋体"/>
          <w:color w:val="000000"/>
          <w:kern w:val="0"/>
          <w:sz w:val="24"/>
          <w:szCs w:val="24"/>
        </w:rPr>
      </w:pPr>
    </w:p>
    <w:p w:rsidR="00077A79" w:rsidRDefault="00DC6EE7">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077A79">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077A79" w:rsidRDefault="00DC6EE7">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077A79" w:rsidRDefault="00DC6EE7">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077A79" w:rsidRDefault="00DC6EE7">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077A79" w:rsidRDefault="00DC6EE7">
            <w:pPr>
              <w:pStyle w:val="biaogecenter"/>
              <w:wordWrap w:val="0"/>
              <w:rPr>
                <w:color w:val="000000"/>
              </w:rPr>
            </w:pPr>
            <w:r>
              <w:rPr>
                <w:rFonts w:hint="eastAsia"/>
                <w:color w:val="000000"/>
              </w:rPr>
              <w:t>占产品资产净值比例（％）</w:t>
            </w:r>
          </w:p>
        </w:tc>
      </w:tr>
      <w:tr w:rsidR="00077A7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77A79" w:rsidRDefault="00DC6EE7">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77A79" w:rsidRDefault="00DC6EE7">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77A79" w:rsidRDefault="00DC6EE7">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77A79" w:rsidRDefault="00DC6EE7">
            <w:pPr>
              <w:jc w:val="right"/>
              <w:rPr>
                <w:rFonts w:ascii="宋体" w:hAnsi="宋体" w:cs="宋体"/>
                <w:color w:val="000000"/>
                <w:kern w:val="0"/>
                <w:sz w:val="24"/>
                <w:szCs w:val="24"/>
              </w:rPr>
            </w:pPr>
            <w:r>
              <w:rPr>
                <w:rFonts w:ascii="宋体" w:hAnsi="宋体" w:cs="宋体" w:hint="eastAsia"/>
                <w:color w:val="000000"/>
                <w:kern w:val="0"/>
                <w:sz w:val="24"/>
                <w:szCs w:val="24"/>
              </w:rPr>
              <w:t>117,504,885.60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77A79" w:rsidRDefault="00DC6EE7">
            <w:pPr>
              <w:jc w:val="right"/>
              <w:rPr>
                <w:rFonts w:ascii="宋体" w:hAnsi="宋体" w:cs="宋体"/>
                <w:color w:val="000000"/>
                <w:kern w:val="0"/>
                <w:sz w:val="24"/>
                <w:szCs w:val="24"/>
              </w:rPr>
            </w:pPr>
            <w:r>
              <w:rPr>
                <w:rFonts w:ascii="宋体" w:hAnsi="宋体" w:cs="宋体" w:hint="eastAsia"/>
                <w:color w:val="000000"/>
                <w:kern w:val="0"/>
                <w:sz w:val="24"/>
                <w:szCs w:val="24"/>
              </w:rPr>
              <w:t>52.24%</w:t>
            </w:r>
          </w:p>
        </w:tc>
      </w:tr>
      <w:tr w:rsidR="00077A7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77A79" w:rsidRDefault="00DC6EE7">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77A79" w:rsidRDefault="00DC6EE7">
            <w:pPr>
              <w:rPr>
                <w:rFonts w:ascii="宋体" w:hAnsi="宋体" w:cs="宋体"/>
                <w:color w:val="000000"/>
                <w:kern w:val="0"/>
                <w:sz w:val="24"/>
                <w:szCs w:val="24"/>
              </w:rPr>
            </w:pPr>
            <w:r>
              <w:rPr>
                <w:rFonts w:ascii="宋体" w:hAnsi="宋体" w:cs="宋体" w:hint="eastAsia"/>
                <w:color w:val="000000"/>
                <w:kern w:val="0"/>
                <w:sz w:val="24"/>
                <w:szCs w:val="24"/>
              </w:rPr>
              <w:t>QTBZZ202010220001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77A79" w:rsidRDefault="00DC6EE7">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苏常州城建</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77A79" w:rsidRDefault="00DC6EE7">
            <w:pPr>
              <w:jc w:val="right"/>
              <w:rPr>
                <w:rFonts w:ascii="宋体" w:hAnsi="宋体" w:cs="宋体"/>
                <w:color w:val="000000"/>
                <w:kern w:val="0"/>
                <w:sz w:val="24"/>
                <w:szCs w:val="24"/>
              </w:rPr>
            </w:pPr>
            <w:r>
              <w:rPr>
                <w:rFonts w:ascii="宋体" w:hAnsi="宋体" w:cs="宋体" w:hint="eastAsia"/>
                <w:color w:val="000000"/>
                <w:kern w:val="0"/>
                <w:sz w:val="24"/>
                <w:szCs w:val="24"/>
              </w:rPr>
              <w:t>105,000,000.00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77A79" w:rsidRDefault="00DC6EE7">
            <w:pPr>
              <w:jc w:val="right"/>
              <w:rPr>
                <w:rFonts w:ascii="宋体" w:hAnsi="宋体" w:cs="宋体"/>
                <w:color w:val="000000"/>
                <w:kern w:val="0"/>
                <w:sz w:val="24"/>
                <w:szCs w:val="24"/>
              </w:rPr>
            </w:pPr>
            <w:r>
              <w:rPr>
                <w:rFonts w:ascii="宋体" w:hAnsi="宋体" w:cs="宋体" w:hint="eastAsia"/>
                <w:color w:val="000000"/>
                <w:kern w:val="0"/>
                <w:sz w:val="24"/>
                <w:szCs w:val="24"/>
              </w:rPr>
              <w:t>46.68%</w:t>
            </w:r>
          </w:p>
        </w:tc>
      </w:tr>
    </w:tbl>
    <w:p w:rsidR="00077A79" w:rsidRDefault="00077A79">
      <w:pPr>
        <w:widowControl/>
        <w:jc w:val="left"/>
        <w:rPr>
          <w:rFonts w:ascii="宋体" w:hAnsi="宋体" w:cs="宋体"/>
          <w:b/>
          <w:sz w:val="24"/>
          <w:szCs w:val="24"/>
          <w:shd w:val="clear" w:color="auto" w:fill="FFFFFF"/>
        </w:rPr>
      </w:pPr>
    </w:p>
    <w:p w:rsidR="00077A79" w:rsidRDefault="00DC6EE7">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077A79" w:rsidRDefault="00077A79">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077A79">
        <w:tc>
          <w:tcPr>
            <w:tcW w:w="709"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风险状况</w:t>
            </w:r>
          </w:p>
        </w:tc>
      </w:tr>
      <w:tr w:rsidR="00077A79">
        <w:tc>
          <w:tcPr>
            <w:tcW w:w="709"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br/>
            </w:r>
            <w:r>
              <w:rPr>
                <w:rFonts w:hint="eastAsia"/>
                <w:shd w:val="clear" w:color="auto" w:fill="FFFFFF"/>
              </w:rPr>
              <w:t>常州市城市建设（集团）有限公司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17</w:t>
            </w:r>
            <w:r>
              <w:rPr>
                <w:rFonts w:hint="eastAsia"/>
                <w:shd w:val="clear" w:color="auto" w:fill="FFFFFF"/>
              </w:rPr>
              <w:t>苏常州城建</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622</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077A79" w:rsidRDefault="00DC6EE7">
            <w:pPr>
              <w:pStyle w:val="biaogecenter"/>
              <w:wordWrap w:val="0"/>
              <w:rPr>
                <w:shd w:val="clear" w:color="auto" w:fill="FFFFFF"/>
              </w:rPr>
            </w:pPr>
            <w:r>
              <w:rPr>
                <w:rFonts w:hint="eastAsia"/>
                <w:shd w:val="clear" w:color="auto" w:fill="FFFFFF"/>
              </w:rPr>
              <w:t>-</w:t>
            </w:r>
          </w:p>
        </w:tc>
      </w:tr>
    </w:tbl>
    <w:p w:rsidR="00077A79" w:rsidRDefault="00077A79">
      <w:pPr>
        <w:widowControl/>
        <w:jc w:val="left"/>
        <w:rPr>
          <w:rFonts w:ascii="宋体" w:hAnsi="宋体" w:cs="宋体"/>
          <w:color w:val="000000"/>
          <w:kern w:val="0"/>
          <w:sz w:val="24"/>
          <w:szCs w:val="24"/>
        </w:rPr>
      </w:pPr>
    </w:p>
    <w:p w:rsidR="00077A79" w:rsidRDefault="00077A79">
      <w:pPr>
        <w:widowControl/>
        <w:jc w:val="left"/>
        <w:rPr>
          <w:rFonts w:ascii="宋体" w:hAnsi="宋体" w:cs="宋体"/>
          <w:color w:val="000000"/>
          <w:kern w:val="0"/>
          <w:sz w:val="24"/>
          <w:szCs w:val="24"/>
        </w:rPr>
      </w:pPr>
    </w:p>
    <w:p w:rsidR="00077A79" w:rsidRDefault="00DC6EE7">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077A79" w:rsidRDefault="00DC6EE7">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077A79" w:rsidRDefault="00DC6EE7">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077A79" w:rsidRDefault="00DC6EE7">
      <w:pPr>
        <w:pStyle w:val="biaogeright"/>
        <w:rPr>
          <w:b/>
        </w:rPr>
      </w:pPr>
      <w:r>
        <w:rPr>
          <w:b/>
        </w:rPr>
        <w:t>南京银行股份有限公司</w:t>
      </w:r>
    </w:p>
    <w:p w:rsidR="00077A79" w:rsidRDefault="00DC6EE7">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077A79" w:rsidRDefault="00077A79">
      <w:pPr>
        <w:pStyle w:val="biaogeright"/>
        <w:rPr>
          <w:color w:val="000000"/>
        </w:rPr>
      </w:pPr>
    </w:p>
    <w:sectPr w:rsidR="00077A79" w:rsidSect="00077A79">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EE7" w:rsidRDefault="00DC6EE7" w:rsidP="00077A79">
      <w:r>
        <w:separator/>
      </w:r>
    </w:p>
  </w:endnote>
  <w:endnote w:type="continuationSeparator" w:id="1">
    <w:p w:rsidR="00DC6EE7" w:rsidRDefault="00DC6EE7" w:rsidP="00077A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79" w:rsidRDefault="00077A79">
    <w:pPr>
      <w:pStyle w:val="a5"/>
      <w:framePr w:wrap="around" w:vAnchor="text" w:hAnchor="margin" w:xAlign="center" w:y="1"/>
      <w:rPr>
        <w:rStyle w:val="aa"/>
      </w:rPr>
    </w:pPr>
    <w:r>
      <w:fldChar w:fldCharType="begin"/>
    </w:r>
    <w:r w:rsidR="00DC6EE7">
      <w:rPr>
        <w:rStyle w:val="aa"/>
      </w:rPr>
      <w:instrText xml:space="preserve">PAGE  </w:instrText>
    </w:r>
    <w:r>
      <w:fldChar w:fldCharType="end"/>
    </w:r>
  </w:p>
  <w:p w:rsidR="00077A79" w:rsidRDefault="00077A7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79" w:rsidRDefault="00077A79">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4C" w:rsidRDefault="0076544C">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79" w:rsidRDefault="00077A79">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79" w:rsidRDefault="00077A7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EE7" w:rsidRDefault="00DC6EE7" w:rsidP="00077A79">
      <w:r>
        <w:separator/>
      </w:r>
    </w:p>
  </w:footnote>
  <w:footnote w:type="continuationSeparator" w:id="1">
    <w:p w:rsidR="00DC6EE7" w:rsidRDefault="00DC6EE7" w:rsidP="00077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79" w:rsidRDefault="00077A7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4C" w:rsidRDefault="0076544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4C" w:rsidRDefault="0076544C">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29B3"/>
    <w:rsid w:val="000234FF"/>
    <w:rsid w:val="00034FF6"/>
    <w:rsid w:val="00044BFF"/>
    <w:rsid w:val="0005474A"/>
    <w:rsid w:val="00061725"/>
    <w:rsid w:val="00072777"/>
    <w:rsid w:val="00077A79"/>
    <w:rsid w:val="000A13DE"/>
    <w:rsid w:val="000A3711"/>
    <w:rsid w:val="000D5066"/>
    <w:rsid w:val="000F6191"/>
    <w:rsid w:val="001019CD"/>
    <w:rsid w:val="00130CE8"/>
    <w:rsid w:val="00152201"/>
    <w:rsid w:val="00172A27"/>
    <w:rsid w:val="00176636"/>
    <w:rsid w:val="00183C84"/>
    <w:rsid w:val="001C05F9"/>
    <w:rsid w:val="001C5395"/>
    <w:rsid w:val="00211F26"/>
    <w:rsid w:val="002263FC"/>
    <w:rsid w:val="00292999"/>
    <w:rsid w:val="002A3AE9"/>
    <w:rsid w:val="002C196E"/>
    <w:rsid w:val="002D296F"/>
    <w:rsid w:val="002D75D0"/>
    <w:rsid w:val="002E795C"/>
    <w:rsid w:val="002F4C55"/>
    <w:rsid w:val="002F706F"/>
    <w:rsid w:val="00305714"/>
    <w:rsid w:val="00307C1E"/>
    <w:rsid w:val="00313E71"/>
    <w:rsid w:val="00321CB7"/>
    <w:rsid w:val="003379A9"/>
    <w:rsid w:val="00350ADF"/>
    <w:rsid w:val="00355623"/>
    <w:rsid w:val="0038519D"/>
    <w:rsid w:val="003A0419"/>
    <w:rsid w:val="003A7B06"/>
    <w:rsid w:val="003C4D3B"/>
    <w:rsid w:val="003E09EA"/>
    <w:rsid w:val="003F0AC3"/>
    <w:rsid w:val="004217E1"/>
    <w:rsid w:val="00437595"/>
    <w:rsid w:val="00456251"/>
    <w:rsid w:val="004649E2"/>
    <w:rsid w:val="004C1607"/>
    <w:rsid w:val="004C1BE1"/>
    <w:rsid w:val="005069D8"/>
    <w:rsid w:val="0056162E"/>
    <w:rsid w:val="00563B93"/>
    <w:rsid w:val="005660EE"/>
    <w:rsid w:val="00567DB3"/>
    <w:rsid w:val="00575BEA"/>
    <w:rsid w:val="005B3434"/>
    <w:rsid w:val="005C0340"/>
    <w:rsid w:val="005E2884"/>
    <w:rsid w:val="005E5050"/>
    <w:rsid w:val="005F2C7B"/>
    <w:rsid w:val="005F4D04"/>
    <w:rsid w:val="005F7DA9"/>
    <w:rsid w:val="006054F8"/>
    <w:rsid w:val="0064383B"/>
    <w:rsid w:val="0065419A"/>
    <w:rsid w:val="00654220"/>
    <w:rsid w:val="00663B94"/>
    <w:rsid w:val="00677F66"/>
    <w:rsid w:val="006A1AE3"/>
    <w:rsid w:val="006C7F31"/>
    <w:rsid w:val="006D302E"/>
    <w:rsid w:val="006E4E94"/>
    <w:rsid w:val="00710988"/>
    <w:rsid w:val="00730BEE"/>
    <w:rsid w:val="0073101E"/>
    <w:rsid w:val="00735153"/>
    <w:rsid w:val="00745421"/>
    <w:rsid w:val="0076544C"/>
    <w:rsid w:val="00776A39"/>
    <w:rsid w:val="007A4219"/>
    <w:rsid w:val="0080200C"/>
    <w:rsid w:val="00814110"/>
    <w:rsid w:val="0081686A"/>
    <w:rsid w:val="0082561A"/>
    <w:rsid w:val="00826893"/>
    <w:rsid w:val="00846B2E"/>
    <w:rsid w:val="00853290"/>
    <w:rsid w:val="0085663C"/>
    <w:rsid w:val="008768AB"/>
    <w:rsid w:val="008926F7"/>
    <w:rsid w:val="008A7510"/>
    <w:rsid w:val="008B3B73"/>
    <w:rsid w:val="008C78BD"/>
    <w:rsid w:val="008F0FA3"/>
    <w:rsid w:val="00900D90"/>
    <w:rsid w:val="00930C98"/>
    <w:rsid w:val="009354D6"/>
    <w:rsid w:val="00967459"/>
    <w:rsid w:val="00970A98"/>
    <w:rsid w:val="009732D6"/>
    <w:rsid w:val="009A4346"/>
    <w:rsid w:val="009C781F"/>
    <w:rsid w:val="009D5296"/>
    <w:rsid w:val="009E6170"/>
    <w:rsid w:val="00A152CA"/>
    <w:rsid w:val="00A32B1A"/>
    <w:rsid w:val="00A335DD"/>
    <w:rsid w:val="00A37451"/>
    <w:rsid w:val="00A4484F"/>
    <w:rsid w:val="00A76D4B"/>
    <w:rsid w:val="00A77C47"/>
    <w:rsid w:val="00A9119C"/>
    <w:rsid w:val="00AA4549"/>
    <w:rsid w:val="00AC5144"/>
    <w:rsid w:val="00B039B0"/>
    <w:rsid w:val="00B03C76"/>
    <w:rsid w:val="00B13014"/>
    <w:rsid w:val="00B17559"/>
    <w:rsid w:val="00B33B19"/>
    <w:rsid w:val="00B404E6"/>
    <w:rsid w:val="00B4360D"/>
    <w:rsid w:val="00B61EA9"/>
    <w:rsid w:val="00B66CDE"/>
    <w:rsid w:val="00B670D1"/>
    <w:rsid w:val="00B74DCA"/>
    <w:rsid w:val="00BB74D9"/>
    <w:rsid w:val="00BC02E0"/>
    <w:rsid w:val="00BC3903"/>
    <w:rsid w:val="00BE47E0"/>
    <w:rsid w:val="00BF75C8"/>
    <w:rsid w:val="00C1762E"/>
    <w:rsid w:val="00C22DF9"/>
    <w:rsid w:val="00C25123"/>
    <w:rsid w:val="00C30A48"/>
    <w:rsid w:val="00C335C8"/>
    <w:rsid w:val="00C375A7"/>
    <w:rsid w:val="00C37CBB"/>
    <w:rsid w:val="00C62DF8"/>
    <w:rsid w:val="00C640FB"/>
    <w:rsid w:val="00CB054E"/>
    <w:rsid w:val="00CB74DC"/>
    <w:rsid w:val="00CC52D7"/>
    <w:rsid w:val="00CD69B4"/>
    <w:rsid w:val="00CE2E2C"/>
    <w:rsid w:val="00D23AB6"/>
    <w:rsid w:val="00D42895"/>
    <w:rsid w:val="00D50309"/>
    <w:rsid w:val="00D51AA9"/>
    <w:rsid w:val="00D7264A"/>
    <w:rsid w:val="00D84E43"/>
    <w:rsid w:val="00D870DF"/>
    <w:rsid w:val="00DB0C2F"/>
    <w:rsid w:val="00DB3BF6"/>
    <w:rsid w:val="00DC31CC"/>
    <w:rsid w:val="00DC6EE7"/>
    <w:rsid w:val="00DC728A"/>
    <w:rsid w:val="00DD2F3C"/>
    <w:rsid w:val="00DF12E2"/>
    <w:rsid w:val="00E0634A"/>
    <w:rsid w:val="00E1059D"/>
    <w:rsid w:val="00E155DF"/>
    <w:rsid w:val="00E246E1"/>
    <w:rsid w:val="00E560F1"/>
    <w:rsid w:val="00E944FA"/>
    <w:rsid w:val="00E9797A"/>
    <w:rsid w:val="00EA7ABC"/>
    <w:rsid w:val="00EB2746"/>
    <w:rsid w:val="00EE0436"/>
    <w:rsid w:val="00EF132A"/>
    <w:rsid w:val="00F1465C"/>
    <w:rsid w:val="00F21F01"/>
    <w:rsid w:val="00F40481"/>
    <w:rsid w:val="00F41324"/>
    <w:rsid w:val="00F44F7A"/>
    <w:rsid w:val="00F57C12"/>
    <w:rsid w:val="00F609FD"/>
    <w:rsid w:val="00F859AB"/>
    <w:rsid w:val="00F93290"/>
    <w:rsid w:val="00F950D0"/>
    <w:rsid w:val="00FA2C26"/>
    <w:rsid w:val="00FB1679"/>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670AB2"/>
    <w:rsid w:val="28CD1EA7"/>
    <w:rsid w:val="2945121F"/>
    <w:rsid w:val="2986009C"/>
    <w:rsid w:val="29F7636C"/>
    <w:rsid w:val="2B702994"/>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69E54CC"/>
    <w:rsid w:val="5BE61B5E"/>
    <w:rsid w:val="5CA05A23"/>
    <w:rsid w:val="5EC71EB3"/>
    <w:rsid w:val="602D020F"/>
    <w:rsid w:val="60EA4BD2"/>
    <w:rsid w:val="62BD595C"/>
    <w:rsid w:val="66F47EBC"/>
    <w:rsid w:val="681903E9"/>
    <w:rsid w:val="683808E5"/>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A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77A79"/>
    <w:pPr>
      <w:jc w:val="left"/>
    </w:pPr>
  </w:style>
  <w:style w:type="paragraph" w:styleId="a4">
    <w:name w:val="Balloon Text"/>
    <w:basedOn w:val="a"/>
    <w:link w:val="Char0"/>
    <w:uiPriority w:val="99"/>
    <w:unhideWhenUsed/>
    <w:qFormat/>
    <w:rsid w:val="00077A79"/>
    <w:rPr>
      <w:sz w:val="18"/>
      <w:szCs w:val="18"/>
    </w:rPr>
  </w:style>
  <w:style w:type="paragraph" w:styleId="a5">
    <w:name w:val="footer"/>
    <w:basedOn w:val="a"/>
    <w:link w:val="Char1"/>
    <w:uiPriority w:val="99"/>
    <w:unhideWhenUsed/>
    <w:qFormat/>
    <w:rsid w:val="00077A79"/>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77A79"/>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077A79"/>
    <w:pPr>
      <w:snapToGrid w:val="0"/>
      <w:jc w:val="left"/>
    </w:pPr>
    <w:rPr>
      <w:sz w:val="18"/>
    </w:rPr>
  </w:style>
  <w:style w:type="paragraph" w:styleId="a8">
    <w:name w:val="Normal (Web)"/>
    <w:basedOn w:val="a"/>
    <w:qFormat/>
    <w:rsid w:val="00077A79"/>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077A79"/>
    <w:rPr>
      <w:b/>
      <w:bCs/>
    </w:rPr>
  </w:style>
  <w:style w:type="character" w:styleId="aa">
    <w:name w:val="page number"/>
    <w:basedOn w:val="a0"/>
    <w:uiPriority w:val="99"/>
    <w:unhideWhenUsed/>
    <w:qFormat/>
    <w:rsid w:val="00077A79"/>
  </w:style>
  <w:style w:type="character" w:styleId="ab">
    <w:name w:val="annotation reference"/>
    <w:uiPriority w:val="99"/>
    <w:unhideWhenUsed/>
    <w:qFormat/>
    <w:rsid w:val="00077A79"/>
    <w:rPr>
      <w:sz w:val="21"/>
      <w:szCs w:val="21"/>
    </w:rPr>
  </w:style>
  <w:style w:type="character" w:styleId="ac">
    <w:name w:val="footnote reference"/>
    <w:uiPriority w:val="99"/>
    <w:unhideWhenUsed/>
    <w:qFormat/>
    <w:rsid w:val="00077A79"/>
    <w:rPr>
      <w:vertAlign w:val="superscript"/>
    </w:rPr>
  </w:style>
  <w:style w:type="character" w:customStyle="1" w:styleId="Char0">
    <w:name w:val="批注框文本 Char"/>
    <w:link w:val="a4"/>
    <w:uiPriority w:val="99"/>
    <w:semiHidden/>
    <w:qFormat/>
    <w:rsid w:val="00077A79"/>
    <w:rPr>
      <w:kern w:val="2"/>
      <w:sz w:val="18"/>
      <w:szCs w:val="18"/>
    </w:rPr>
  </w:style>
  <w:style w:type="character" w:customStyle="1" w:styleId="Char2">
    <w:name w:val="页眉 Char"/>
    <w:link w:val="a6"/>
    <w:uiPriority w:val="99"/>
    <w:semiHidden/>
    <w:qFormat/>
    <w:locked/>
    <w:rsid w:val="00077A79"/>
    <w:rPr>
      <w:rFonts w:ascii="Times New Roman" w:hAnsi="Times New Roman" w:cs="Times New Roman" w:hint="default"/>
      <w:sz w:val="18"/>
      <w:szCs w:val="18"/>
    </w:rPr>
  </w:style>
  <w:style w:type="character" w:customStyle="1" w:styleId="Char3">
    <w:name w:val="批注主题 Char"/>
    <w:link w:val="a9"/>
    <w:uiPriority w:val="99"/>
    <w:semiHidden/>
    <w:qFormat/>
    <w:rsid w:val="00077A79"/>
    <w:rPr>
      <w:b/>
      <w:bCs/>
      <w:kern w:val="2"/>
      <w:sz w:val="21"/>
      <w:szCs w:val="22"/>
    </w:rPr>
  </w:style>
  <w:style w:type="character" w:customStyle="1" w:styleId="Char1">
    <w:name w:val="页脚 Char"/>
    <w:link w:val="a5"/>
    <w:uiPriority w:val="99"/>
    <w:semiHidden/>
    <w:qFormat/>
    <w:locked/>
    <w:rsid w:val="00077A79"/>
    <w:rPr>
      <w:rFonts w:ascii="Times New Roman" w:hAnsi="Times New Roman" w:cs="Times New Roman" w:hint="default"/>
      <w:sz w:val="18"/>
      <w:szCs w:val="18"/>
    </w:rPr>
  </w:style>
  <w:style w:type="character" w:customStyle="1" w:styleId="Char">
    <w:name w:val="批注文字 Char"/>
    <w:link w:val="a3"/>
    <w:uiPriority w:val="99"/>
    <w:qFormat/>
    <w:rsid w:val="00077A79"/>
    <w:rPr>
      <w:kern w:val="2"/>
      <w:sz w:val="21"/>
      <w:szCs w:val="22"/>
    </w:rPr>
  </w:style>
  <w:style w:type="paragraph" w:customStyle="1" w:styleId="zhongyaotishi">
    <w:name w:val="zhongyaotishi"/>
    <w:basedOn w:val="a"/>
    <w:qFormat/>
    <w:rsid w:val="00077A79"/>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077A79"/>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077A7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077A7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077A79"/>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077A79"/>
    <w:pPr>
      <w:widowControl w:val="0"/>
      <w:jc w:val="center"/>
    </w:pPr>
    <w:rPr>
      <w:kern w:val="2"/>
      <w:sz w:val="33"/>
      <w:szCs w:val="22"/>
    </w:rPr>
  </w:style>
  <w:style w:type="paragraph" w:customStyle="1" w:styleId="biaogeleft">
    <w:name w:val="biaoge_left"/>
    <w:basedOn w:val="a"/>
    <w:qFormat/>
    <w:rsid w:val="00077A79"/>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077A79"/>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077A79"/>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077A79"/>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077A79"/>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077A79"/>
    <w:pPr>
      <w:widowControl w:val="0"/>
    </w:pPr>
    <w:rPr>
      <w:kern w:val="2"/>
      <w:sz w:val="21"/>
      <w:szCs w:val="22"/>
    </w:rPr>
  </w:style>
  <w:style w:type="paragraph" w:customStyle="1" w:styleId="neirong">
    <w:name w:val="neirong"/>
    <w:basedOn w:val="a"/>
    <w:qFormat/>
    <w:rsid w:val="00077A79"/>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077A7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765</Words>
  <Characters>4363</Characters>
  <Application>Microsoft Office Word</Application>
  <DocSecurity>0</DocSecurity>
  <Lines>36</Lines>
  <Paragraphs>10</Paragraphs>
  <ScaleCrop>false</ScaleCrop>
  <Company>微软中国</Company>
  <LinksUpToDate>false</LinksUpToDate>
  <CharactersWithSpaces>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39</cp:revision>
  <cp:lastPrinted>2019-09-11T00:56:00Z</cp:lastPrinted>
  <dcterms:created xsi:type="dcterms:W3CDTF">2020-12-16T03:30:00Z</dcterms:created>
  <dcterms:modified xsi:type="dcterms:W3CDTF">2021-03-30T02:21:00Z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C2B8EE0BC09D4A04854B85313951B49D</vt:lpwstr>
  </property>
</Properties>
</file>