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68C" w:rsidRDefault="00B9568C">
      <w:pPr>
        <w:pStyle w:val="dazhangjie"/>
        <w:rPr>
          <w:b/>
          <w:bCs/>
          <w:color w:val="000000"/>
        </w:rPr>
      </w:pPr>
    </w:p>
    <w:p w:rsidR="00B9568C" w:rsidRDefault="00B9568C">
      <w:pPr>
        <w:pStyle w:val="dazhangjie"/>
        <w:rPr>
          <w:b/>
          <w:bCs/>
          <w:color w:val="000000"/>
        </w:rPr>
      </w:pPr>
    </w:p>
    <w:p w:rsidR="00B9568C" w:rsidRDefault="00B9568C">
      <w:pPr>
        <w:pStyle w:val="dazhangjie"/>
        <w:rPr>
          <w:b/>
          <w:bCs/>
          <w:color w:val="000000"/>
        </w:rPr>
      </w:pPr>
    </w:p>
    <w:p w:rsidR="00B9568C" w:rsidRDefault="0040476F">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hint="eastAsia"/>
          <w:b/>
          <w:bCs/>
          <w:sz w:val="36"/>
        </w:rPr>
        <w:t>23W763D</w:t>
      </w:r>
      <w:r>
        <w:rPr>
          <w:rFonts w:ascii="黑体" w:eastAsia="黑体" w:hAnsi="黑体" w:hint="eastAsia"/>
          <w:b/>
          <w:bCs/>
          <w:sz w:val="36"/>
        </w:rPr>
        <w:t>封闭式公募人民币理财产品</w:t>
      </w:r>
    </w:p>
    <w:p w:rsidR="00B9568C" w:rsidRDefault="0040476F">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B9568C" w:rsidRDefault="00B9568C">
      <w:pPr>
        <w:pStyle w:val="dazhangjie"/>
        <w:spacing w:before="240" w:after="120"/>
        <w:rPr>
          <w:rFonts w:ascii="黑体" w:eastAsia="黑体" w:hAnsi="黑体"/>
          <w:b/>
          <w:bCs/>
          <w:color w:val="000000"/>
          <w:sz w:val="36"/>
        </w:rPr>
      </w:pPr>
    </w:p>
    <w:p w:rsidR="00B9568C" w:rsidRDefault="00B9568C">
      <w:pPr>
        <w:pStyle w:val="dazhangjie"/>
        <w:spacing w:before="240" w:after="120"/>
        <w:rPr>
          <w:rFonts w:ascii="黑体" w:eastAsia="黑体" w:hAnsi="黑体"/>
          <w:b/>
          <w:bCs/>
          <w:color w:val="000000"/>
          <w:sz w:val="36"/>
        </w:rPr>
      </w:pPr>
    </w:p>
    <w:p w:rsidR="00B9568C" w:rsidRDefault="00B9568C">
      <w:pPr>
        <w:pStyle w:val="dazhangjie"/>
        <w:spacing w:before="240" w:after="120"/>
        <w:rPr>
          <w:rFonts w:ascii="黑体" w:eastAsia="黑体" w:hAnsi="黑体"/>
          <w:b/>
          <w:bCs/>
          <w:color w:val="000000"/>
          <w:sz w:val="36"/>
        </w:rPr>
      </w:pPr>
    </w:p>
    <w:p w:rsidR="00B9568C" w:rsidRDefault="00B9568C">
      <w:pPr>
        <w:pStyle w:val="dazhangjie"/>
        <w:spacing w:before="240" w:after="120"/>
        <w:rPr>
          <w:rFonts w:ascii="黑体" w:eastAsia="黑体" w:hAnsi="黑体"/>
          <w:b/>
          <w:bCs/>
          <w:color w:val="000000"/>
          <w:sz w:val="36"/>
        </w:rPr>
      </w:pPr>
    </w:p>
    <w:p w:rsidR="00B9568C" w:rsidRDefault="00B9568C">
      <w:pPr>
        <w:pStyle w:val="dazhangjie"/>
        <w:spacing w:before="240" w:after="120"/>
        <w:rPr>
          <w:rFonts w:ascii="黑体" w:eastAsia="黑体" w:hAnsi="黑体"/>
          <w:b/>
          <w:bCs/>
          <w:color w:val="000000"/>
          <w:sz w:val="36"/>
        </w:rPr>
      </w:pPr>
    </w:p>
    <w:p w:rsidR="00B9568C" w:rsidRDefault="00B9568C">
      <w:pPr>
        <w:pStyle w:val="dazhangjie"/>
        <w:spacing w:before="240" w:after="120"/>
        <w:rPr>
          <w:rFonts w:ascii="黑体" w:eastAsia="黑体" w:hAnsi="黑体"/>
          <w:b/>
          <w:bCs/>
          <w:color w:val="000000"/>
          <w:sz w:val="36"/>
        </w:rPr>
      </w:pPr>
    </w:p>
    <w:p w:rsidR="00B9568C" w:rsidRDefault="00B9568C">
      <w:pPr>
        <w:pStyle w:val="dazhangjie"/>
        <w:spacing w:before="240" w:after="120"/>
        <w:rPr>
          <w:rFonts w:ascii="黑体" w:eastAsia="黑体" w:hAnsi="黑体"/>
          <w:b/>
          <w:bCs/>
          <w:color w:val="000000"/>
          <w:sz w:val="36"/>
        </w:rPr>
      </w:pPr>
    </w:p>
    <w:p w:rsidR="00B9568C" w:rsidRDefault="00B9568C">
      <w:pPr>
        <w:pStyle w:val="dazhangjie"/>
        <w:spacing w:before="240" w:after="120"/>
        <w:rPr>
          <w:rFonts w:ascii="黑体" w:eastAsia="黑体" w:hAnsi="黑体"/>
          <w:b/>
          <w:bCs/>
          <w:color w:val="000000"/>
          <w:sz w:val="36"/>
        </w:rPr>
      </w:pPr>
    </w:p>
    <w:p w:rsidR="00B9568C" w:rsidRDefault="00B9568C">
      <w:pPr>
        <w:pStyle w:val="dazhangjie"/>
        <w:spacing w:before="240" w:after="120"/>
        <w:ind w:left="0"/>
        <w:jc w:val="both"/>
        <w:rPr>
          <w:rFonts w:ascii="黑体" w:eastAsia="黑体" w:hAnsi="黑体"/>
          <w:b/>
          <w:bCs/>
          <w:color w:val="000000"/>
          <w:sz w:val="36"/>
        </w:rPr>
      </w:pPr>
    </w:p>
    <w:p w:rsidR="00B9568C" w:rsidRDefault="0040476F">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B9568C" w:rsidRDefault="0040476F">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B9568C" w:rsidRDefault="00B9568C">
      <w:pPr>
        <w:widowControl/>
        <w:jc w:val="left"/>
        <w:rPr>
          <w:rFonts w:ascii="宋体" w:hAnsi="宋体" w:cs="宋体"/>
          <w:color w:val="000000"/>
          <w:kern w:val="0"/>
          <w:sz w:val="24"/>
          <w:szCs w:val="24"/>
        </w:rPr>
        <w:sectPr w:rsidR="00B9568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B9568C" w:rsidRDefault="00B9568C">
      <w:pPr>
        <w:widowControl/>
        <w:jc w:val="left"/>
        <w:rPr>
          <w:rFonts w:ascii="宋体" w:hAnsi="宋体" w:cs="宋体"/>
          <w:color w:val="000000"/>
          <w:kern w:val="0"/>
          <w:sz w:val="24"/>
          <w:szCs w:val="24"/>
        </w:rPr>
      </w:pPr>
    </w:p>
    <w:p w:rsidR="00B9568C" w:rsidRDefault="0040476F">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B9568C" w:rsidRDefault="00B9568C">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B9568C">
        <w:tc>
          <w:tcPr>
            <w:tcW w:w="281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rPr>
              <w:t>南京银行珠联璧合逸稳</w:t>
            </w:r>
            <w:r>
              <w:rPr>
                <w:rFonts w:hint="eastAsia"/>
              </w:rPr>
              <w:t>23W763D</w:t>
            </w:r>
            <w:r>
              <w:rPr>
                <w:rFonts w:hint="eastAsia"/>
              </w:rPr>
              <w:t>封闭式公募人民币理财产品</w:t>
            </w:r>
          </w:p>
        </w:tc>
      </w:tr>
      <w:tr w:rsidR="00B9568C">
        <w:tc>
          <w:tcPr>
            <w:tcW w:w="281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pPr>
            <w:r>
              <w:t>C1086920000030</w:t>
            </w:r>
            <w:r>
              <w:rPr>
                <w:rFonts w:hint="eastAsia"/>
              </w:rPr>
              <w:t>（投资者可依据该编码在中国理财网</w:t>
            </w:r>
            <w:r>
              <w:rPr>
                <w:rFonts w:hint="eastAsia"/>
              </w:rPr>
              <w:t>www.chinawealth.com.cn</w:t>
            </w:r>
            <w:r>
              <w:rPr>
                <w:rFonts w:hint="eastAsia"/>
              </w:rPr>
              <w:t>查询理财产品相关信息）</w:t>
            </w:r>
          </w:p>
        </w:tc>
      </w:tr>
      <w:tr w:rsidR="00B9568C">
        <w:tc>
          <w:tcPr>
            <w:tcW w:w="281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rPr>
              <w:t>开放式</w:t>
            </w:r>
            <w:r>
              <w:rPr>
                <w:rFonts w:hint="eastAsia"/>
              </w:rPr>
              <w:t>净值型</w:t>
            </w:r>
          </w:p>
        </w:tc>
      </w:tr>
      <w:tr w:rsidR="00B9568C">
        <w:tc>
          <w:tcPr>
            <w:tcW w:w="2811" w:type="dxa"/>
            <w:tcBorders>
              <w:top w:val="single" w:sz="8" w:space="0" w:color="000000"/>
              <w:left w:val="single" w:sz="8" w:space="0" w:color="000000"/>
              <w:bottom w:val="single" w:sz="6" w:space="0" w:color="000000"/>
              <w:right w:val="single" w:sz="8" w:space="0" w:color="000000"/>
            </w:tcBorders>
            <w:vAlign w:val="center"/>
          </w:tcPr>
          <w:p w:rsidR="00B9568C" w:rsidRDefault="000D1BBC">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rPr>
              <w:t>2020</w:t>
            </w:r>
            <w:r>
              <w:rPr>
                <w:rFonts w:hint="eastAsia"/>
              </w:rPr>
              <w:t>年</w:t>
            </w:r>
            <w:r>
              <w:rPr>
                <w:rFonts w:hint="eastAsia"/>
              </w:rPr>
              <w:t>09</w:t>
            </w:r>
            <w:r>
              <w:rPr>
                <w:rFonts w:hint="eastAsia"/>
              </w:rPr>
              <w:t>月</w:t>
            </w:r>
            <w:r>
              <w:rPr>
                <w:rFonts w:hint="eastAsia"/>
              </w:rPr>
              <w:t>09</w:t>
            </w:r>
            <w:r>
              <w:rPr>
                <w:rFonts w:hint="eastAsia"/>
              </w:rPr>
              <w:t>日</w:t>
            </w:r>
          </w:p>
        </w:tc>
      </w:tr>
      <w:tr w:rsidR="00B9568C">
        <w:tc>
          <w:tcPr>
            <w:tcW w:w="281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highlight w:val="yellow"/>
              </w:rPr>
            </w:pPr>
            <w:r>
              <w:rPr>
                <w:rFonts w:hint="eastAsia"/>
              </w:rPr>
              <w:t>461,562,000.00</w:t>
            </w:r>
            <w:r>
              <w:rPr>
                <w:rFonts w:hint="eastAsia"/>
              </w:rPr>
              <w:t>份</w:t>
            </w:r>
          </w:p>
        </w:tc>
      </w:tr>
      <w:tr w:rsidR="00B9568C">
        <w:tc>
          <w:tcPr>
            <w:tcW w:w="281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color w:val="000000"/>
              </w:rPr>
              <w:t>100.11%</w:t>
            </w:r>
          </w:p>
        </w:tc>
      </w:tr>
      <w:tr w:rsidR="00B9568C">
        <w:tc>
          <w:tcPr>
            <w:tcW w:w="281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color w:val="000000"/>
              </w:rPr>
              <w:t>鑫元基金管理有限公司</w:t>
            </w:r>
          </w:p>
        </w:tc>
      </w:tr>
      <w:tr w:rsidR="00B9568C">
        <w:tc>
          <w:tcPr>
            <w:tcW w:w="281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rPr>
              <w:t>南京银行股份有限公司</w:t>
            </w:r>
          </w:p>
        </w:tc>
      </w:tr>
      <w:tr w:rsidR="00B9568C">
        <w:tc>
          <w:tcPr>
            <w:tcW w:w="281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left"/>
              <w:wordWrap w:val="0"/>
              <w:rPr>
                <w:color w:val="000000"/>
              </w:rPr>
            </w:pPr>
            <w:r>
              <w:rPr>
                <w:rFonts w:hint="eastAsia"/>
              </w:rPr>
              <w:t>南京银行股份有限公司</w:t>
            </w:r>
          </w:p>
        </w:tc>
      </w:tr>
    </w:tbl>
    <w:p w:rsidR="00B9568C" w:rsidRDefault="00B9568C">
      <w:pPr>
        <w:widowControl/>
        <w:jc w:val="left"/>
        <w:rPr>
          <w:rFonts w:ascii="宋体" w:hAnsi="宋体" w:cs="宋体"/>
          <w:color w:val="000000"/>
          <w:kern w:val="0"/>
          <w:sz w:val="24"/>
          <w:szCs w:val="24"/>
        </w:rPr>
      </w:pPr>
    </w:p>
    <w:p w:rsidR="00B9568C" w:rsidRDefault="00B9568C">
      <w:pPr>
        <w:pStyle w:val="dazhangjie"/>
        <w:rPr>
          <w:rFonts w:hAnsi="Calibri"/>
          <w:b/>
          <w:color w:val="000000"/>
        </w:rPr>
      </w:pPr>
    </w:p>
    <w:p w:rsidR="00B9568C" w:rsidRDefault="0040476F">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B9568C" w:rsidRDefault="00B9568C">
      <w:pPr>
        <w:widowControl/>
        <w:jc w:val="left"/>
        <w:rPr>
          <w:rFonts w:ascii="宋体" w:hAnsi="宋体" w:cs="宋体"/>
          <w:color w:val="000000"/>
          <w:kern w:val="0"/>
          <w:sz w:val="24"/>
          <w:szCs w:val="24"/>
        </w:rPr>
      </w:pPr>
    </w:p>
    <w:p w:rsidR="00B9568C" w:rsidRDefault="0040476F">
      <w:pPr>
        <w:pStyle w:val="zhangjiep"/>
        <w:rPr>
          <w:color w:val="000000"/>
        </w:rPr>
      </w:pPr>
      <w:r>
        <w:rPr>
          <w:rFonts w:hint="eastAsia"/>
          <w:b/>
          <w:bCs/>
          <w:color w:val="000000"/>
        </w:rPr>
        <w:t xml:space="preserve">2.1 </w:t>
      </w:r>
      <w:r>
        <w:rPr>
          <w:rFonts w:hint="eastAsia"/>
          <w:b/>
          <w:bCs/>
          <w:color w:val="000000"/>
        </w:rPr>
        <w:t>主要财务指标</w:t>
      </w:r>
    </w:p>
    <w:p w:rsidR="00B9568C" w:rsidRDefault="0040476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B9568C">
        <w:tc>
          <w:tcPr>
            <w:tcW w:w="5220"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dazhangjie"/>
              <w:spacing w:before="240" w:after="120"/>
              <w:rPr>
                <w:color w:val="000000"/>
              </w:rPr>
            </w:pPr>
            <w:r>
              <w:t>报告期（</w:t>
            </w:r>
            <w:r>
              <w:rPr>
                <w:rFonts w:hint="eastAsia"/>
              </w:rPr>
              <w:t>2020</w:t>
            </w:r>
            <w:r>
              <w:rPr>
                <w:rFonts w:hint="eastAsia"/>
              </w:rPr>
              <w:t>年</w:t>
            </w:r>
            <w:r>
              <w:rPr>
                <w:rFonts w:hint="eastAsia"/>
              </w:rPr>
              <w:t>09</w:t>
            </w:r>
            <w:r>
              <w:rPr>
                <w:rFonts w:hint="eastAsia"/>
              </w:rPr>
              <w:t>月</w:t>
            </w:r>
            <w:r>
              <w:rPr>
                <w:rFonts w:hint="eastAsia"/>
              </w:rPr>
              <w:t>09</w:t>
            </w:r>
            <w:r>
              <w:rPr>
                <w:rFonts w:hint="eastAsia"/>
              </w:rPr>
              <w:t>日</w:t>
            </w:r>
            <w:r>
              <w:t xml:space="preserve">- </w:t>
            </w:r>
            <w:r>
              <w:t>2020</w:t>
            </w:r>
            <w:r>
              <w:t>年</w:t>
            </w:r>
            <w:r>
              <w:t>12</w:t>
            </w:r>
            <w:r>
              <w:t>月</w:t>
            </w:r>
            <w:r>
              <w:t>31</w:t>
            </w:r>
            <w:r>
              <w:t>日）</w:t>
            </w:r>
          </w:p>
        </w:tc>
      </w:tr>
      <w:tr w:rsidR="00B9568C">
        <w:tc>
          <w:tcPr>
            <w:tcW w:w="5220"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right"/>
              <w:jc w:val="center"/>
              <w:rPr>
                <w:color w:val="000000"/>
                <w:highlight w:val="yellow"/>
              </w:rPr>
            </w:pPr>
            <w:r>
              <w:rPr>
                <w:rFonts w:hint="eastAsia"/>
              </w:rPr>
              <w:t>468,681,172.26</w:t>
            </w:r>
          </w:p>
        </w:tc>
      </w:tr>
      <w:tr w:rsidR="00B9568C">
        <w:tc>
          <w:tcPr>
            <w:tcW w:w="5220"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right"/>
              <w:jc w:val="center"/>
              <w:rPr>
                <w:color w:val="000000"/>
                <w:highlight w:val="yellow"/>
              </w:rPr>
            </w:pPr>
            <w:r>
              <w:rPr>
                <w:rFonts w:hint="eastAsia"/>
              </w:rPr>
              <w:t>1.0154</w:t>
            </w:r>
          </w:p>
        </w:tc>
      </w:tr>
      <w:tr w:rsidR="00B9568C">
        <w:tc>
          <w:tcPr>
            <w:tcW w:w="5220"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right"/>
              <w:jc w:val="center"/>
              <w:rPr>
                <w:color w:val="000000"/>
                <w:highlight w:val="yellow"/>
              </w:rPr>
            </w:pPr>
            <w:r>
              <w:rPr>
                <w:rFonts w:hint="eastAsia"/>
              </w:rPr>
              <w:t>1.0154</w:t>
            </w:r>
          </w:p>
        </w:tc>
      </w:tr>
      <w:tr w:rsidR="00B9568C">
        <w:tc>
          <w:tcPr>
            <w:tcW w:w="5220" w:type="dxa"/>
            <w:vAlign w:val="center"/>
          </w:tcPr>
          <w:p w:rsidR="00B9568C" w:rsidRDefault="00B9568C">
            <w:pPr>
              <w:widowControl/>
              <w:jc w:val="left"/>
              <w:rPr>
                <w:rFonts w:ascii="宋体" w:hAnsi="宋体" w:cs="宋体"/>
                <w:color w:val="000000"/>
                <w:kern w:val="0"/>
                <w:sz w:val="24"/>
                <w:szCs w:val="24"/>
              </w:rPr>
            </w:pPr>
          </w:p>
        </w:tc>
        <w:tc>
          <w:tcPr>
            <w:tcW w:w="3825" w:type="dxa"/>
            <w:vAlign w:val="center"/>
          </w:tcPr>
          <w:p w:rsidR="00B9568C" w:rsidRDefault="00B9568C">
            <w:pPr>
              <w:widowControl/>
              <w:jc w:val="left"/>
              <w:rPr>
                <w:color w:val="000000"/>
                <w:kern w:val="0"/>
                <w:sz w:val="20"/>
                <w:szCs w:val="20"/>
              </w:rPr>
            </w:pPr>
          </w:p>
        </w:tc>
      </w:tr>
    </w:tbl>
    <w:p w:rsidR="00B9568C" w:rsidRDefault="00B9568C">
      <w:pPr>
        <w:pStyle w:val="biaogeleft"/>
        <w:ind w:left="0"/>
        <w:rPr>
          <w:color w:val="000000"/>
        </w:rPr>
      </w:pPr>
    </w:p>
    <w:p w:rsidR="00B9568C" w:rsidRDefault="00B9568C">
      <w:pPr>
        <w:widowControl/>
        <w:jc w:val="left"/>
        <w:rPr>
          <w:rFonts w:ascii="宋体" w:hAnsi="宋体" w:cs="宋体"/>
          <w:color w:val="000000"/>
          <w:kern w:val="0"/>
          <w:sz w:val="24"/>
          <w:szCs w:val="24"/>
        </w:rPr>
      </w:pPr>
    </w:p>
    <w:p w:rsidR="00B9568C" w:rsidRDefault="0040476F">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B9568C" w:rsidRDefault="0040476F">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B9568C" w:rsidRDefault="0040476F">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B9568C" w:rsidRDefault="0040476F">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B9568C" w:rsidRDefault="0040476F">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B9568C" w:rsidRDefault="0040476F">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报告期内，本产品在投资上以帮客户实现稳定收益为目标，主要投资于定制债券专户及搭配南京银行优质客户的非标债权资，其中专户最终投向以江浙地区城投的非公开债券为主，力求产品净值稳步增长。</w:t>
      </w:r>
      <w:bookmarkEnd w:id="0"/>
    </w:p>
    <w:p w:rsidR="00B9568C" w:rsidRDefault="0040476F">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B9568C" w:rsidRDefault="0040476F">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w:t>
      </w:r>
      <w:r>
        <w:rPr>
          <w:rFonts w:ascii="宋体" w:hAnsi="宋体" w:hint="eastAsia"/>
          <w:sz w:val="24"/>
          <w:szCs w:val="24"/>
        </w:rPr>
        <w:t>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B9568C" w:rsidRDefault="0040476F">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B9568C" w:rsidRDefault="0040476F">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1.0154</w:t>
      </w:r>
      <w:r>
        <w:rPr>
          <w:rFonts w:hint="eastAsia"/>
          <w:color w:val="000000"/>
        </w:rPr>
        <w:t>元。</w:t>
      </w:r>
    </w:p>
    <w:p w:rsidR="00B9568C" w:rsidRDefault="00B9568C">
      <w:pPr>
        <w:widowControl/>
        <w:jc w:val="left"/>
        <w:rPr>
          <w:rFonts w:ascii="宋体" w:hAnsi="宋体" w:cs="宋体"/>
          <w:color w:val="000000"/>
          <w:kern w:val="0"/>
          <w:sz w:val="24"/>
          <w:szCs w:val="24"/>
        </w:rPr>
      </w:pPr>
    </w:p>
    <w:p w:rsidR="00B9568C" w:rsidRDefault="0040476F">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B9568C" w:rsidRDefault="00B9568C">
      <w:pPr>
        <w:pStyle w:val="dazhangjie"/>
        <w:rPr>
          <w:rFonts w:hAnsi="Calibri"/>
          <w:b/>
          <w:color w:val="000000"/>
        </w:rPr>
      </w:pPr>
    </w:p>
    <w:p w:rsidR="00B9568C" w:rsidRDefault="0040476F">
      <w:pPr>
        <w:pStyle w:val="a8"/>
        <w:rPr>
          <w:b/>
          <w:color w:val="000000"/>
        </w:rPr>
      </w:pPr>
      <w:r>
        <w:rPr>
          <w:rFonts w:hint="eastAsia"/>
          <w:b/>
          <w:color w:val="000000"/>
        </w:rPr>
        <w:t>4.1</w:t>
      </w:r>
      <w:r>
        <w:rPr>
          <w:rFonts w:hint="eastAsia"/>
          <w:b/>
          <w:color w:val="000000"/>
        </w:rPr>
        <w:t>报告期内托管人遵规守信情况声明</w:t>
      </w:r>
    </w:p>
    <w:p w:rsidR="00B9568C" w:rsidRDefault="0040476F">
      <w:pPr>
        <w:pStyle w:val="biaogeleft"/>
        <w:spacing w:line="360" w:lineRule="auto"/>
        <w:ind w:firstLineChars="200" w:firstLine="480"/>
        <w:rPr>
          <w:rFonts w:cs="Times New Roman"/>
          <w:b/>
          <w:color w:val="000000"/>
        </w:rPr>
      </w:pPr>
      <w:bookmarkStart w:id="2" w:name="_Hlk65778080"/>
      <w:r>
        <w:rPr>
          <w:rFonts w:hint="eastAsia"/>
        </w:rPr>
        <w:lastRenderedPageBreak/>
        <w:t>在托管本产品的过程中，本产品托管人南京银行股份有限公司严格遵守《商业银行理财业务监督管理办法》相关法律法规的规定以及产品说明书的约定，对本产品管理人</w:t>
      </w:r>
      <w:r>
        <w:t>—</w:t>
      </w:r>
      <w:r>
        <w:rPr>
          <w:rFonts w:hint="eastAsia"/>
        </w:rPr>
        <w:t>南京银行股份有限公司</w:t>
      </w:r>
      <w:r>
        <w:t>2020</w:t>
      </w:r>
      <w:r>
        <w:rPr>
          <w:rFonts w:hint="eastAsia"/>
        </w:rPr>
        <w:t>年</w:t>
      </w:r>
      <w:r>
        <w:t>0</w:t>
      </w:r>
      <w:r>
        <w:rPr>
          <w:rFonts w:hint="eastAsia"/>
        </w:rPr>
        <w:t>9</w:t>
      </w:r>
      <w:r>
        <w:rPr>
          <w:rFonts w:hint="eastAsia"/>
        </w:rPr>
        <w:t>月</w:t>
      </w:r>
      <w:r>
        <w:t>0</w:t>
      </w:r>
      <w:r>
        <w:rPr>
          <w:rFonts w:hint="eastAsia"/>
        </w:rPr>
        <w:t>9</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rsidR="00B9568C" w:rsidRDefault="0040476F">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B9568C" w:rsidRDefault="0040476F">
      <w:pPr>
        <w:pStyle w:val="biaogeleft"/>
        <w:spacing w:line="360" w:lineRule="auto"/>
        <w:ind w:firstLine="480"/>
        <w:rPr>
          <w:color w:val="000000"/>
        </w:rPr>
      </w:pPr>
      <w:bookmarkStart w:id="3" w:name="_Hlk65778120"/>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3"/>
    </w:p>
    <w:p w:rsidR="00B9568C" w:rsidRDefault="0040476F">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4" w:name="_GoBack"/>
      <w:bookmarkEnd w:id="4"/>
      <w:r>
        <w:rPr>
          <w:rFonts w:cs="Times New Roman" w:hint="eastAsia"/>
          <w:b/>
          <w:color w:val="000000"/>
        </w:rPr>
        <w:t>年度报告中财务信息等</w:t>
      </w:r>
      <w:r>
        <w:rPr>
          <w:rFonts w:cs="Times New Roman" w:hint="eastAsia"/>
          <w:b/>
          <w:color w:val="000000"/>
        </w:rPr>
        <w:t>内容的真实、准确和完整发表意见</w:t>
      </w:r>
    </w:p>
    <w:p w:rsidR="00B9568C" w:rsidRDefault="0040476F">
      <w:pPr>
        <w:pStyle w:val="biaogeleft"/>
        <w:spacing w:line="360" w:lineRule="auto"/>
        <w:ind w:firstLine="480"/>
      </w:pPr>
      <w:bookmarkStart w:id="5" w:name="_Hlk65778126"/>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5"/>
    </w:p>
    <w:p w:rsidR="00B9568C" w:rsidRDefault="00B9568C">
      <w:pPr>
        <w:pStyle w:val="biaogeleft"/>
        <w:spacing w:line="360" w:lineRule="auto"/>
        <w:ind w:firstLine="480"/>
        <w:rPr>
          <w:color w:val="000000"/>
        </w:rPr>
      </w:pPr>
    </w:p>
    <w:p w:rsidR="00B9568C" w:rsidRDefault="0040476F">
      <w:pPr>
        <w:pStyle w:val="dazhangjie"/>
      </w:pPr>
      <w:bookmarkStart w:id="6"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6"/>
    </w:p>
    <w:p w:rsidR="00B9568C" w:rsidRDefault="00B9568C">
      <w:pPr>
        <w:widowControl/>
        <w:jc w:val="left"/>
        <w:rPr>
          <w:rFonts w:ascii="宋体" w:hAnsi="宋体" w:cs="宋体"/>
          <w:kern w:val="0"/>
          <w:sz w:val="24"/>
          <w:szCs w:val="24"/>
        </w:rPr>
      </w:pPr>
    </w:p>
    <w:p w:rsidR="00B9568C" w:rsidRDefault="0040476F">
      <w:pPr>
        <w:pStyle w:val="zhangjiep"/>
      </w:pPr>
      <w:bookmarkStart w:id="7" w:name="_Toc61271615"/>
      <w:r>
        <w:rPr>
          <w:rFonts w:hint="eastAsia"/>
          <w:b/>
          <w:bCs/>
        </w:rPr>
        <w:t xml:space="preserve">5.1 </w:t>
      </w:r>
      <w:r>
        <w:rPr>
          <w:rFonts w:hint="eastAsia"/>
          <w:b/>
          <w:bCs/>
        </w:rPr>
        <w:t>资产负债表</w:t>
      </w:r>
      <w:bookmarkEnd w:id="7"/>
    </w:p>
    <w:p w:rsidR="00B9568C" w:rsidRDefault="0040476F">
      <w:pPr>
        <w:pStyle w:val="biaogeleft"/>
      </w:pPr>
      <w:r>
        <w:rPr>
          <w:rFonts w:hint="eastAsia"/>
        </w:rPr>
        <w:t>会计主体：南京银行珠联璧合逸稳</w:t>
      </w:r>
      <w:r>
        <w:rPr>
          <w:rFonts w:hint="eastAsia"/>
        </w:rPr>
        <w:t>23W763D</w:t>
      </w:r>
      <w:r>
        <w:rPr>
          <w:rFonts w:hint="eastAsia"/>
        </w:rPr>
        <w:t>封闭式公募人民币理财产品</w:t>
      </w:r>
    </w:p>
    <w:p w:rsidR="00B9568C" w:rsidRDefault="0040476F">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9568C" w:rsidRDefault="0040476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Ansi="Calibri" w:hint="eastAsia"/>
                <w:color w:val="000000"/>
              </w:rPr>
              <w:t>本期末</w:t>
            </w:r>
            <w:r>
              <w:rPr>
                <w:rFonts w:hAnsi="Calibri" w:hint="eastAsia"/>
                <w:color w:val="000000"/>
              </w:rPr>
              <w:t> </w:t>
            </w:r>
          </w:p>
          <w:p w:rsidR="00B9568C" w:rsidRDefault="0040476F">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rPr>
              <w:t> </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273,956.67</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18,434.43</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69,334,000.00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pPr>
            <w:r>
              <w:rPr>
                <w:rFonts w:cs="Arial" w:hint="eastAsia"/>
                <w:color w:val="000000"/>
              </w:rPr>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69,334,000.00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pPr>
            <w:r>
              <w:rPr>
                <w:rFonts w:cs="Arial" w:hint="eastAsia"/>
                <w:color w:val="000000"/>
              </w:rPr>
              <w:t xml:space="preserve">    </w:t>
            </w: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4,322,086.02</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1,656,986.30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120,000,000.00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273,623,644.43</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469,229,107.85</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rPr>
              <w:t>本期末</w:t>
            </w:r>
            <w:r>
              <w:rPr>
                <w:rFonts w:hint="eastAsia"/>
              </w:rPr>
              <w:t> </w:t>
            </w:r>
          </w:p>
          <w:p w:rsidR="00B9568C" w:rsidRDefault="0040476F">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rPr>
              <w:t> </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128,632.20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25,726.44</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257,264.40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136,312.55</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lastRenderedPageBreak/>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547,935.59</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rPr>
              <w:t> </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461,562,000.00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0.00</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7,119,172.26</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468,681,172.26</w:t>
            </w:r>
          </w:p>
        </w:tc>
      </w:tr>
      <w:tr w:rsidR="00B9568C">
        <w:tc>
          <w:tcPr>
            <w:tcW w:w="3660"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cs="Arial" w:hint="eastAsia"/>
                <w:color w:val="000000"/>
              </w:rPr>
              <w:t>469,229,107.85</w:t>
            </w:r>
          </w:p>
        </w:tc>
      </w:tr>
    </w:tbl>
    <w:p w:rsidR="00B9568C" w:rsidRDefault="00B9568C">
      <w:pPr>
        <w:widowControl/>
        <w:jc w:val="left"/>
        <w:rPr>
          <w:rFonts w:ascii="宋体" w:hAnsi="宋体" w:cs="宋体"/>
          <w:kern w:val="0"/>
          <w:sz w:val="24"/>
          <w:szCs w:val="24"/>
        </w:rPr>
      </w:pPr>
    </w:p>
    <w:p w:rsidR="00B9568C" w:rsidRDefault="0040476F">
      <w:pPr>
        <w:pStyle w:val="zhangjiep"/>
      </w:pPr>
      <w:bookmarkStart w:id="8" w:name="_Toc61427760"/>
      <w:r>
        <w:rPr>
          <w:rFonts w:hint="eastAsia"/>
          <w:b/>
          <w:bCs/>
        </w:rPr>
        <w:t xml:space="preserve">5.2 </w:t>
      </w:r>
      <w:r>
        <w:rPr>
          <w:rFonts w:hint="eastAsia"/>
          <w:b/>
          <w:bCs/>
        </w:rPr>
        <w:t>利润表</w:t>
      </w:r>
      <w:bookmarkEnd w:id="8"/>
    </w:p>
    <w:p w:rsidR="00B9568C" w:rsidRDefault="0040476F">
      <w:pPr>
        <w:pStyle w:val="biaogeleft"/>
      </w:pPr>
      <w:r>
        <w:rPr>
          <w:rFonts w:hint="eastAsia"/>
        </w:rPr>
        <w:t>会计主体：南京银行珠联璧合逸稳</w:t>
      </w:r>
      <w:r>
        <w:rPr>
          <w:rFonts w:hint="eastAsia"/>
        </w:rPr>
        <w:t>23W763D</w:t>
      </w:r>
      <w:r>
        <w:rPr>
          <w:rFonts w:hint="eastAsia"/>
        </w:rPr>
        <w:t>封闭式公募人民币理财产品</w:t>
      </w:r>
    </w:p>
    <w:p w:rsidR="00B9568C" w:rsidRDefault="0040476F">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09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9568C" w:rsidRDefault="0040476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B9568C">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09</w:t>
            </w:r>
            <w:r>
              <w:rPr>
                <w:rFonts w:hint="eastAsia"/>
              </w:rPr>
              <w:t>月</w:t>
            </w:r>
            <w:r>
              <w:rPr>
                <w:rFonts w:hint="eastAsia"/>
              </w:rPr>
              <w:t>09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9568C">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B9568C" w:rsidRDefault="00B9568C">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B9568C" w:rsidRDefault="00B9568C">
            <w:pPr>
              <w:widowControl/>
              <w:jc w:val="left"/>
              <w:rPr>
                <w:rFonts w:asciiTheme="minorEastAsia" w:eastAsiaTheme="minorEastAsia" w:hAnsiTheme="minorEastAsia" w:cs="宋体"/>
                <w:kern w:val="0"/>
                <w:sz w:val="24"/>
                <w:szCs w:val="24"/>
              </w:rPr>
            </w:pP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b/>
                <w:bCs/>
                <w:color w:val="000000"/>
              </w:rPr>
              <w:t>7,596,125.45</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2,804,556.68</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23,335.57</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2,781,221.11</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ascii="Arial" w:hAnsi="Arial" w:cs="Arial"/>
                <w:color w:val="000000"/>
              </w:rPr>
              <w:t xml:space="preserve">　</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2,606,666.95</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 xml:space="preserve">　</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2,184,901.82</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b/>
                <w:bCs/>
                <w:color w:val="000000"/>
              </w:rPr>
              <w:t>476,953.19</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143,765.40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28,753.08</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287,530.80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700.12</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15,803.79</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color w:val="000000"/>
              </w:rPr>
              <w:t>400.00</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b/>
                <w:bCs/>
                <w:color w:val="000000"/>
              </w:rPr>
              <w:t>7,119,172.26</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ascii="Arial" w:hAnsi="Arial" w:cs="Arial"/>
                <w:color w:val="000000"/>
              </w:rPr>
              <w:t xml:space="preserve">　</w:t>
            </w:r>
          </w:p>
        </w:tc>
      </w:tr>
      <w:tr w:rsidR="00B9568C">
        <w:tc>
          <w:tcPr>
            <w:tcW w:w="2969" w:type="dxa"/>
            <w:tcBorders>
              <w:top w:val="single" w:sz="8" w:space="0" w:color="000000"/>
              <w:left w:val="single" w:sz="8" w:space="0" w:color="000000"/>
              <w:bottom w:val="single" w:sz="8" w:space="0" w:color="000000"/>
              <w:right w:val="single" w:sz="8" w:space="0" w:color="000000"/>
            </w:tcBorders>
            <w:vAlign w:val="center"/>
          </w:tcPr>
          <w:p w:rsidR="00B9568C" w:rsidRDefault="0040476F">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rPr>
                <w:rFonts w:asciiTheme="minorEastAsia" w:eastAsiaTheme="minorEastAsia" w:hAnsiTheme="minorEastAsia"/>
              </w:rPr>
            </w:pPr>
            <w:r>
              <w:rPr>
                <w:rFonts w:cs="Arial" w:hint="eastAsia"/>
                <w:b/>
                <w:bCs/>
                <w:color w:val="000000"/>
              </w:rPr>
              <w:t>7,119,172.26</w:t>
            </w:r>
          </w:p>
        </w:tc>
      </w:tr>
    </w:tbl>
    <w:p w:rsidR="00B9568C" w:rsidRDefault="00B9568C">
      <w:pPr>
        <w:widowControl/>
        <w:jc w:val="left"/>
        <w:rPr>
          <w:rFonts w:ascii="宋体" w:hAnsi="宋体" w:cs="宋体"/>
          <w:kern w:val="0"/>
          <w:sz w:val="24"/>
          <w:szCs w:val="24"/>
        </w:rPr>
      </w:pPr>
    </w:p>
    <w:p w:rsidR="00B9568C" w:rsidRDefault="0040476F">
      <w:pPr>
        <w:pStyle w:val="zhangjiep"/>
      </w:pPr>
      <w:bookmarkStart w:id="9" w:name="_Toc61427761"/>
      <w:r>
        <w:rPr>
          <w:rFonts w:hint="eastAsia"/>
          <w:b/>
          <w:bCs/>
        </w:rPr>
        <w:t xml:space="preserve">5.3 </w:t>
      </w:r>
      <w:r>
        <w:rPr>
          <w:rFonts w:hint="eastAsia"/>
          <w:b/>
          <w:bCs/>
        </w:rPr>
        <w:t>所有者权益（基金净值）变动表</w:t>
      </w:r>
      <w:bookmarkEnd w:id="9"/>
    </w:p>
    <w:p w:rsidR="00B9568C" w:rsidRDefault="0040476F">
      <w:pPr>
        <w:pStyle w:val="biaogeleft"/>
      </w:pPr>
      <w:r>
        <w:rPr>
          <w:rFonts w:hint="eastAsia"/>
        </w:rPr>
        <w:t>会计主体：南京银行珠联璧合逸稳</w:t>
      </w:r>
      <w:r>
        <w:rPr>
          <w:rFonts w:hint="eastAsia"/>
        </w:rPr>
        <w:t>23W763D</w:t>
      </w:r>
      <w:r>
        <w:rPr>
          <w:rFonts w:hint="eastAsia"/>
        </w:rPr>
        <w:t>封闭式公募人民币理财产品</w:t>
      </w:r>
    </w:p>
    <w:p w:rsidR="00B9568C" w:rsidRDefault="0040476F">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09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9568C" w:rsidRDefault="0040476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B9568C">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rPr>
              <w:t>本期</w:t>
            </w:r>
            <w:r>
              <w:rPr>
                <w:rFonts w:hint="eastAsia"/>
              </w:rPr>
              <w:t> </w:t>
            </w:r>
          </w:p>
          <w:p w:rsidR="00B9568C" w:rsidRDefault="0040476F">
            <w:pPr>
              <w:pStyle w:val="biaogecenter"/>
              <w:wordWrap w:val="0"/>
            </w:pPr>
            <w:r>
              <w:rPr>
                <w:rFonts w:hint="eastAsia"/>
              </w:rPr>
              <w:t>2020</w:t>
            </w:r>
            <w:r>
              <w:rPr>
                <w:rFonts w:hint="eastAsia"/>
              </w:rPr>
              <w:t>年</w:t>
            </w:r>
            <w:r>
              <w:rPr>
                <w:rFonts w:hint="eastAsia"/>
              </w:rPr>
              <w:t>09</w:t>
            </w:r>
            <w:r>
              <w:rPr>
                <w:rFonts w:hint="eastAsia"/>
              </w:rPr>
              <w:t>月</w:t>
            </w:r>
            <w:r>
              <w:rPr>
                <w:rFonts w:hint="eastAsia"/>
              </w:rPr>
              <w:t>09</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9568C">
        <w:tc>
          <w:tcPr>
            <w:tcW w:w="2116" w:type="dxa"/>
            <w:vMerge/>
            <w:tcBorders>
              <w:top w:val="single" w:sz="8" w:space="0" w:color="000000"/>
              <w:left w:val="single" w:sz="8" w:space="0" w:color="000000"/>
              <w:bottom w:val="single" w:sz="8" w:space="0" w:color="000000"/>
              <w:right w:val="single" w:sz="8" w:space="0" w:color="000000"/>
            </w:tcBorders>
            <w:vAlign w:val="center"/>
          </w:tcPr>
          <w:p w:rsidR="00B9568C" w:rsidRDefault="00B9568C">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rPr>
              <w:t>所有者权益合计</w:t>
            </w:r>
            <w:r>
              <w:rPr>
                <w:rFonts w:hint="eastAsia"/>
              </w:rPr>
              <w:t> </w:t>
            </w:r>
          </w:p>
        </w:tc>
      </w:tr>
      <w:tr w:rsidR="00B9568C">
        <w:tc>
          <w:tcPr>
            <w:tcW w:w="211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lastRenderedPageBreak/>
              <w:t>461,562,000.00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461,562,000.00</w:t>
            </w:r>
          </w:p>
        </w:tc>
      </w:tr>
      <w:tr w:rsidR="00B9568C">
        <w:tc>
          <w:tcPr>
            <w:tcW w:w="211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7,119,172.26</w:t>
            </w:r>
          </w:p>
        </w:tc>
        <w:tc>
          <w:tcPr>
            <w:tcW w:w="2484"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7,119,172.26</w:t>
            </w:r>
          </w:p>
        </w:tc>
      </w:tr>
      <w:tr w:rsidR="00B9568C">
        <w:tc>
          <w:tcPr>
            <w:tcW w:w="211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r>
      <w:tr w:rsidR="00B9568C">
        <w:tc>
          <w:tcPr>
            <w:tcW w:w="211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r>
      <w:tr w:rsidR="00B9568C">
        <w:tc>
          <w:tcPr>
            <w:tcW w:w="211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r>
      <w:tr w:rsidR="00B9568C">
        <w:tc>
          <w:tcPr>
            <w:tcW w:w="211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w:t>
            </w:r>
          </w:p>
        </w:tc>
      </w:tr>
      <w:tr w:rsidR="00B9568C">
        <w:tc>
          <w:tcPr>
            <w:tcW w:w="211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461,562,000.00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7,119,172.26</w:t>
            </w:r>
          </w:p>
        </w:tc>
        <w:tc>
          <w:tcPr>
            <w:tcW w:w="2484"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right"/>
              <w:wordWrap w:val="0"/>
            </w:pPr>
            <w:r>
              <w:rPr>
                <w:rFonts w:hint="eastAsia"/>
              </w:rPr>
              <w:t>468,681,172.26</w:t>
            </w:r>
          </w:p>
        </w:tc>
      </w:tr>
    </w:tbl>
    <w:p w:rsidR="00B9568C" w:rsidRDefault="00B9568C">
      <w:pPr>
        <w:widowControl/>
        <w:autoSpaceDE w:val="0"/>
        <w:autoSpaceDN w:val="0"/>
        <w:adjustRightInd w:val="0"/>
        <w:spacing w:line="288" w:lineRule="auto"/>
        <w:jc w:val="right"/>
        <w:rPr>
          <w:rFonts w:ascii="宋体" w:hAnsi="宋体" w:cs="宋体"/>
          <w:kern w:val="0"/>
          <w:sz w:val="24"/>
          <w:szCs w:val="24"/>
        </w:rPr>
      </w:pPr>
    </w:p>
    <w:p w:rsidR="00B9568C" w:rsidRDefault="0040476F">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B9568C" w:rsidRDefault="00B9568C">
      <w:pPr>
        <w:widowControl/>
        <w:jc w:val="left"/>
        <w:rPr>
          <w:rFonts w:ascii="宋体" w:hAnsi="宋体" w:cs="宋体"/>
          <w:color w:val="000000"/>
          <w:kern w:val="0"/>
          <w:sz w:val="24"/>
          <w:szCs w:val="24"/>
        </w:rPr>
      </w:pPr>
    </w:p>
    <w:p w:rsidR="00B9568C" w:rsidRDefault="0040476F">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B9568C">
        <w:tc>
          <w:tcPr>
            <w:tcW w:w="891" w:type="dxa"/>
            <w:tcBorders>
              <w:top w:val="single" w:sz="8" w:space="0" w:color="000000"/>
              <w:left w:val="single" w:sz="8" w:space="0" w:color="000000"/>
              <w:bottom w:val="single" w:sz="6" w:space="0" w:color="000000"/>
              <w:right w:val="single" w:sz="8" w:space="0" w:color="000000"/>
            </w:tcBorders>
            <w:vAlign w:val="bottom"/>
          </w:tcPr>
          <w:p w:rsidR="00B9568C" w:rsidRDefault="0040476F">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B9568C" w:rsidRDefault="0040476F">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B9568C" w:rsidRDefault="0040476F">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B9568C" w:rsidRDefault="0040476F">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69,334,000.00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14.78</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220,000,000.00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46.89</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173,623,644.43</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37.00</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273,956.67</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0.06</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18,434.43</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4,322,086.02</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0.92</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1,656,986.30</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0.35</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9568C">
        <w:tc>
          <w:tcPr>
            <w:tcW w:w="89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9568C">
        <w:tc>
          <w:tcPr>
            <w:tcW w:w="891" w:type="dxa"/>
            <w:tcBorders>
              <w:top w:val="single" w:sz="8" w:space="0" w:color="000000"/>
              <w:left w:val="single" w:sz="8" w:space="0" w:color="000000"/>
              <w:bottom w:val="single" w:sz="8"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9568C">
        <w:tc>
          <w:tcPr>
            <w:tcW w:w="891" w:type="dxa"/>
            <w:tcBorders>
              <w:top w:val="single" w:sz="8" w:space="0" w:color="000000"/>
              <w:left w:val="single" w:sz="8" w:space="0" w:color="000000"/>
              <w:bottom w:val="single" w:sz="8" w:space="0" w:color="000000"/>
              <w:right w:val="single" w:sz="8" w:space="0" w:color="000000"/>
            </w:tcBorders>
            <w:vAlign w:val="center"/>
          </w:tcPr>
          <w:p w:rsidR="00B9568C" w:rsidRDefault="0040476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B9568C" w:rsidRDefault="0040476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469,229,107.85</w:t>
            </w:r>
          </w:p>
        </w:tc>
        <w:tc>
          <w:tcPr>
            <w:tcW w:w="2395" w:type="dxa"/>
            <w:tcBorders>
              <w:top w:val="single" w:sz="8" w:space="0" w:color="000000"/>
              <w:left w:val="single" w:sz="8" w:space="0" w:color="000000"/>
              <w:bottom w:val="single" w:sz="8" w:space="0" w:color="000000"/>
              <w:right w:val="single" w:sz="8" w:space="0" w:color="000000"/>
            </w:tcBorders>
            <w:vAlign w:val="center"/>
          </w:tcPr>
          <w:p w:rsidR="00B9568C" w:rsidRDefault="0040476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B9568C" w:rsidRDefault="00B9568C">
      <w:pPr>
        <w:widowControl/>
        <w:jc w:val="left"/>
        <w:rPr>
          <w:rFonts w:ascii="宋体" w:hAnsi="宋体" w:cs="宋体"/>
          <w:color w:val="000000"/>
          <w:kern w:val="0"/>
          <w:sz w:val="24"/>
          <w:szCs w:val="24"/>
        </w:rPr>
      </w:pPr>
    </w:p>
    <w:p w:rsidR="00B9568C" w:rsidRDefault="0040476F">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B9568C">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B9568C" w:rsidRDefault="0040476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B9568C" w:rsidRDefault="0040476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B9568C" w:rsidRDefault="0040476F">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B9568C" w:rsidRDefault="0040476F">
            <w:pPr>
              <w:pStyle w:val="biaogecenter"/>
              <w:wordWrap w:val="0"/>
              <w:rPr>
                <w:color w:val="000000"/>
              </w:rPr>
            </w:pPr>
            <w:r>
              <w:rPr>
                <w:rFonts w:hint="eastAsia"/>
                <w:color w:val="000000"/>
              </w:rPr>
              <w:t>占产品资产净值比例（％）</w:t>
            </w:r>
          </w:p>
        </w:tc>
      </w:tr>
      <w:tr w:rsidR="00B9568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9568C" w:rsidRDefault="0040476F">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9568C" w:rsidRDefault="0040476F">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jc w:val="right"/>
              <w:rPr>
                <w:rFonts w:ascii="宋体" w:hAnsi="宋体" w:cs="宋体"/>
                <w:color w:val="000000"/>
                <w:kern w:val="0"/>
                <w:sz w:val="24"/>
                <w:szCs w:val="24"/>
              </w:rPr>
            </w:pPr>
            <w:r>
              <w:rPr>
                <w:rFonts w:ascii="宋体" w:hAnsi="宋体" w:cs="宋体" w:hint="eastAsia"/>
                <w:color w:val="000000"/>
                <w:kern w:val="0"/>
                <w:sz w:val="24"/>
                <w:szCs w:val="24"/>
              </w:rPr>
              <w:t>173,623,644.43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jc w:val="right"/>
              <w:rPr>
                <w:rFonts w:ascii="宋体" w:hAnsi="宋体" w:cs="宋体"/>
                <w:color w:val="000000"/>
                <w:kern w:val="0"/>
                <w:sz w:val="24"/>
                <w:szCs w:val="24"/>
              </w:rPr>
            </w:pPr>
            <w:r>
              <w:rPr>
                <w:rFonts w:ascii="宋体" w:hAnsi="宋体" w:cs="宋体" w:hint="eastAsia"/>
                <w:color w:val="000000"/>
                <w:kern w:val="0"/>
                <w:sz w:val="24"/>
                <w:szCs w:val="24"/>
              </w:rPr>
              <w:t>37.05%</w:t>
            </w:r>
          </w:p>
        </w:tc>
      </w:tr>
      <w:tr w:rsidR="00B9568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9568C" w:rsidRDefault="0040476F">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9568C" w:rsidRDefault="0040476F">
            <w:pPr>
              <w:rPr>
                <w:rFonts w:ascii="宋体" w:hAnsi="宋体" w:cs="宋体"/>
                <w:color w:val="000000"/>
                <w:kern w:val="0"/>
                <w:sz w:val="24"/>
                <w:szCs w:val="24"/>
              </w:rPr>
            </w:pPr>
            <w:r>
              <w:rPr>
                <w:rFonts w:ascii="宋体" w:hAnsi="宋体" w:cs="宋体" w:hint="eastAsia"/>
                <w:color w:val="000000"/>
                <w:kern w:val="0"/>
                <w:sz w:val="24"/>
                <w:szCs w:val="24"/>
              </w:rPr>
              <w:t>QTBZZ202010150001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苏常州城建</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jc w:val="right"/>
              <w:rPr>
                <w:rFonts w:ascii="宋体" w:hAnsi="宋体" w:cs="宋体"/>
                <w:color w:val="000000"/>
                <w:kern w:val="0"/>
                <w:sz w:val="24"/>
                <w:szCs w:val="24"/>
              </w:rPr>
            </w:pPr>
            <w:r>
              <w:rPr>
                <w:rFonts w:ascii="宋体" w:hAnsi="宋体" w:cs="宋体" w:hint="eastAsia"/>
                <w:color w:val="000000"/>
                <w:kern w:val="0"/>
                <w:sz w:val="24"/>
                <w:szCs w:val="24"/>
              </w:rPr>
              <w:t>120,000,000.00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jc w:val="right"/>
              <w:rPr>
                <w:rFonts w:ascii="宋体" w:hAnsi="宋体" w:cs="宋体"/>
                <w:color w:val="000000"/>
                <w:kern w:val="0"/>
                <w:sz w:val="24"/>
                <w:szCs w:val="24"/>
              </w:rPr>
            </w:pPr>
            <w:r>
              <w:rPr>
                <w:rFonts w:ascii="宋体" w:hAnsi="宋体" w:cs="宋体" w:hint="eastAsia"/>
                <w:color w:val="000000"/>
                <w:kern w:val="0"/>
                <w:sz w:val="24"/>
                <w:szCs w:val="24"/>
              </w:rPr>
              <w:t>25.60%</w:t>
            </w:r>
          </w:p>
        </w:tc>
      </w:tr>
      <w:tr w:rsidR="00B9568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9568C" w:rsidRDefault="0040476F">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9568C" w:rsidRDefault="0040476F">
            <w:pPr>
              <w:rPr>
                <w:rFonts w:ascii="宋体" w:hAnsi="宋体" w:cs="宋体"/>
                <w:color w:val="000000"/>
                <w:kern w:val="0"/>
                <w:sz w:val="24"/>
                <w:szCs w:val="24"/>
              </w:rPr>
            </w:pPr>
            <w:r>
              <w:rPr>
                <w:rFonts w:ascii="宋体" w:hAnsi="宋体" w:cs="宋体" w:hint="eastAsia"/>
                <w:color w:val="000000"/>
                <w:kern w:val="0"/>
                <w:sz w:val="24"/>
                <w:szCs w:val="24"/>
              </w:rPr>
              <w:t>20088168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镇江城建</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jc w:val="right"/>
              <w:rPr>
                <w:rFonts w:ascii="宋体" w:hAnsi="宋体" w:cs="宋体"/>
                <w:color w:val="000000"/>
                <w:kern w:val="0"/>
                <w:sz w:val="24"/>
                <w:szCs w:val="24"/>
              </w:rPr>
            </w:pPr>
            <w:r>
              <w:rPr>
                <w:rFonts w:ascii="宋体" w:hAnsi="宋体" w:cs="宋体" w:hint="eastAsia"/>
                <w:color w:val="000000"/>
                <w:kern w:val="0"/>
                <w:sz w:val="24"/>
                <w:szCs w:val="24"/>
              </w:rPr>
              <w:t>100,000,000.00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jc w:val="right"/>
              <w:rPr>
                <w:rFonts w:ascii="宋体" w:hAnsi="宋体" w:cs="宋体"/>
                <w:color w:val="000000"/>
                <w:kern w:val="0"/>
                <w:sz w:val="24"/>
                <w:szCs w:val="24"/>
              </w:rPr>
            </w:pPr>
            <w:r>
              <w:rPr>
                <w:rFonts w:ascii="宋体" w:hAnsi="宋体" w:cs="宋体" w:hint="eastAsia"/>
                <w:color w:val="000000"/>
                <w:kern w:val="0"/>
                <w:sz w:val="24"/>
                <w:szCs w:val="24"/>
              </w:rPr>
              <w:t>21.34%</w:t>
            </w:r>
          </w:p>
        </w:tc>
      </w:tr>
      <w:tr w:rsidR="00B9568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9568C" w:rsidRDefault="0040476F">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9568C" w:rsidRDefault="0040476F">
            <w:pPr>
              <w:rPr>
                <w:rFonts w:ascii="宋体" w:hAnsi="宋体" w:cs="宋体"/>
                <w:color w:val="000000"/>
                <w:kern w:val="0"/>
                <w:sz w:val="24"/>
                <w:szCs w:val="24"/>
              </w:rPr>
            </w:pPr>
            <w:r>
              <w:rPr>
                <w:rFonts w:ascii="宋体" w:hAnsi="宋体" w:cs="宋体" w:hint="eastAsia"/>
                <w:color w:val="000000"/>
                <w:kern w:val="0"/>
                <w:sz w:val="24"/>
                <w:szCs w:val="24"/>
              </w:rPr>
              <w:t>167557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海陵</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jc w:val="right"/>
              <w:rPr>
                <w:rFonts w:ascii="宋体" w:hAnsi="宋体" w:cs="宋体"/>
                <w:color w:val="000000"/>
                <w:kern w:val="0"/>
                <w:sz w:val="24"/>
                <w:szCs w:val="24"/>
              </w:rPr>
            </w:pPr>
            <w:r>
              <w:rPr>
                <w:rFonts w:ascii="宋体" w:hAnsi="宋体" w:cs="宋体" w:hint="eastAsia"/>
                <w:color w:val="000000"/>
                <w:kern w:val="0"/>
                <w:sz w:val="24"/>
                <w:szCs w:val="24"/>
              </w:rPr>
              <w:t>38,888,200.00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jc w:val="right"/>
              <w:rPr>
                <w:rFonts w:ascii="宋体" w:hAnsi="宋体" w:cs="宋体"/>
                <w:color w:val="000000"/>
                <w:kern w:val="0"/>
                <w:sz w:val="24"/>
                <w:szCs w:val="24"/>
              </w:rPr>
            </w:pPr>
            <w:r>
              <w:rPr>
                <w:rFonts w:ascii="宋体" w:hAnsi="宋体" w:cs="宋体" w:hint="eastAsia"/>
                <w:color w:val="000000"/>
                <w:kern w:val="0"/>
                <w:sz w:val="24"/>
                <w:szCs w:val="24"/>
              </w:rPr>
              <w:t>8.30%</w:t>
            </w:r>
          </w:p>
        </w:tc>
      </w:tr>
      <w:tr w:rsidR="00B9568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9568C" w:rsidRDefault="0040476F">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9568C" w:rsidRDefault="0040476F">
            <w:pPr>
              <w:rPr>
                <w:rFonts w:ascii="宋体" w:hAnsi="宋体" w:cs="宋体"/>
                <w:color w:val="000000"/>
                <w:kern w:val="0"/>
                <w:sz w:val="24"/>
                <w:szCs w:val="24"/>
              </w:rPr>
            </w:pPr>
            <w:r>
              <w:rPr>
                <w:rFonts w:ascii="宋体" w:hAnsi="宋体" w:cs="宋体" w:hint="eastAsia"/>
                <w:color w:val="000000"/>
                <w:kern w:val="0"/>
                <w:sz w:val="24"/>
                <w:szCs w:val="24"/>
              </w:rPr>
              <w:t>166992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沂城</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jc w:val="right"/>
              <w:rPr>
                <w:rFonts w:ascii="宋体" w:hAnsi="宋体" w:cs="宋体"/>
                <w:color w:val="000000"/>
                <w:kern w:val="0"/>
                <w:sz w:val="24"/>
                <w:szCs w:val="24"/>
              </w:rPr>
            </w:pPr>
            <w:r>
              <w:rPr>
                <w:rFonts w:ascii="宋体" w:hAnsi="宋体" w:cs="宋体" w:hint="eastAsia"/>
                <w:color w:val="000000"/>
                <w:kern w:val="0"/>
                <w:sz w:val="24"/>
                <w:szCs w:val="24"/>
              </w:rPr>
              <w:t>30,445,800.00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9568C" w:rsidRDefault="0040476F">
            <w:pPr>
              <w:jc w:val="right"/>
              <w:rPr>
                <w:rFonts w:ascii="宋体" w:hAnsi="宋体" w:cs="宋体"/>
                <w:color w:val="000000"/>
                <w:kern w:val="0"/>
                <w:sz w:val="24"/>
                <w:szCs w:val="24"/>
              </w:rPr>
            </w:pPr>
            <w:r>
              <w:rPr>
                <w:rFonts w:ascii="宋体" w:hAnsi="宋体" w:cs="宋体" w:hint="eastAsia"/>
                <w:color w:val="000000"/>
                <w:kern w:val="0"/>
                <w:sz w:val="24"/>
                <w:szCs w:val="24"/>
              </w:rPr>
              <w:t>6.50%</w:t>
            </w:r>
          </w:p>
        </w:tc>
      </w:tr>
    </w:tbl>
    <w:p w:rsidR="00B9568C" w:rsidRDefault="00B9568C">
      <w:pPr>
        <w:widowControl/>
        <w:jc w:val="left"/>
        <w:rPr>
          <w:rFonts w:ascii="宋体" w:hAnsi="宋体" w:cs="宋体"/>
          <w:b/>
          <w:sz w:val="24"/>
          <w:szCs w:val="24"/>
          <w:shd w:val="clear" w:color="auto" w:fill="FFFFFF"/>
        </w:rPr>
      </w:pPr>
    </w:p>
    <w:p w:rsidR="00B9568C" w:rsidRDefault="0040476F">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B9568C" w:rsidRDefault="00B9568C">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B9568C">
        <w:tc>
          <w:tcPr>
            <w:tcW w:w="709"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风险状况</w:t>
            </w:r>
          </w:p>
        </w:tc>
      </w:tr>
      <w:tr w:rsidR="00B9568C">
        <w:tc>
          <w:tcPr>
            <w:tcW w:w="70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br/>
            </w:r>
            <w:r>
              <w:rPr>
                <w:rFonts w:hint="eastAsia"/>
                <w:shd w:val="clear" w:color="auto" w:fill="FFFFFF"/>
              </w:rPr>
              <w:t>常州市城市建设（集团）有限公司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17</w:t>
            </w:r>
            <w:r>
              <w:rPr>
                <w:rFonts w:hint="eastAsia"/>
                <w:shd w:val="clear" w:color="auto" w:fill="FFFFFF"/>
              </w:rPr>
              <w:t>苏常州城建</w:t>
            </w:r>
            <w:r>
              <w:rPr>
                <w:rFonts w:hint="eastAsia"/>
                <w:shd w:val="clear" w:color="auto" w:fill="FFFFFF"/>
              </w:rPr>
              <w:t>ZR002</w:t>
            </w:r>
          </w:p>
        </w:tc>
        <w:tc>
          <w:tcPr>
            <w:tcW w:w="1417"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622</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w:t>
            </w:r>
          </w:p>
        </w:tc>
      </w:tr>
      <w:tr w:rsidR="00B9568C">
        <w:tc>
          <w:tcPr>
            <w:tcW w:w="709"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镇江城市建设产业集团有限公司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20</w:t>
            </w:r>
            <w:r>
              <w:rPr>
                <w:rFonts w:hint="eastAsia"/>
                <w:shd w:val="clear" w:color="auto" w:fill="FFFFFF"/>
              </w:rPr>
              <w:t>镇江城建</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258</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B9568C" w:rsidRDefault="0040476F">
            <w:pPr>
              <w:pStyle w:val="biaogecenter"/>
              <w:wordWrap w:val="0"/>
              <w:rPr>
                <w:shd w:val="clear" w:color="auto" w:fill="FFFFFF"/>
              </w:rPr>
            </w:pPr>
            <w:r>
              <w:rPr>
                <w:rFonts w:hint="eastAsia"/>
                <w:shd w:val="clear" w:color="auto" w:fill="FFFFFF"/>
              </w:rPr>
              <w:t>-</w:t>
            </w:r>
          </w:p>
        </w:tc>
      </w:tr>
    </w:tbl>
    <w:p w:rsidR="00B9568C" w:rsidRDefault="0040476F">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B9568C" w:rsidRDefault="0040476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B9568C" w:rsidRDefault="0040476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B9568C" w:rsidRDefault="0040476F">
      <w:pPr>
        <w:pStyle w:val="biaogeright"/>
        <w:rPr>
          <w:b/>
        </w:rPr>
      </w:pPr>
      <w:r>
        <w:rPr>
          <w:rFonts w:hint="eastAsia"/>
          <w:b/>
        </w:rPr>
        <w:lastRenderedPageBreak/>
        <w:t>南京银行股份有限公司</w:t>
      </w:r>
    </w:p>
    <w:p w:rsidR="00B9568C" w:rsidRDefault="0040476F">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B9568C" w:rsidRDefault="00B9568C">
      <w:pPr>
        <w:pStyle w:val="biaogeright"/>
        <w:rPr>
          <w:color w:val="000000"/>
        </w:rPr>
      </w:pPr>
    </w:p>
    <w:sectPr w:rsidR="00B9568C" w:rsidSect="00B9568C">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76F" w:rsidRDefault="0040476F" w:rsidP="00B9568C">
      <w:r>
        <w:separator/>
      </w:r>
    </w:p>
  </w:endnote>
  <w:endnote w:type="continuationSeparator" w:id="1">
    <w:p w:rsidR="0040476F" w:rsidRDefault="0040476F" w:rsidP="00B95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68C" w:rsidRDefault="00B9568C">
    <w:pPr>
      <w:pStyle w:val="a5"/>
      <w:framePr w:wrap="around" w:vAnchor="text" w:hAnchor="margin" w:xAlign="center" w:y="1"/>
      <w:rPr>
        <w:rStyle w:val="aa"/>
      </w:rPr>
    </w:pPr>
    <w:r>
      <w:fldChar w:fldCharType="begin"/>
    </w:r>
    <w:r w:rsidR="0040476F">
      <w:rPr>
        <w:rStyle w:val="aa"/>
      </w:rPr>
      <w:instrText xml:space="preserve">PAGE  </w:instrText>
    </w:r>
    <w:r>
      <w:fldChar w:fldCharType="end"/>
    </w:r>
  </w:p>
  <w:p w:rsidR="00B9568C" w:rsidRDefault="00B9568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68C" w:rsidRDefault="00B9568C">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BBC" w:rsidRDefault="000D1BBC">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68C" w:rsidRDefault="00B9568C">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68C" w:rsidRDefault="00B9568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76F" w:rsidRDefault="0040476F" w:rsidP="00B9568C">
      <w:r>
        <w:separator/>
      </w:r>
    </w:p>
  </w:footnote>
  <w:footnote w:type="continuationSeparator" w:id="1">
    <w:p w:rsidR="0040476F" w:rsidRDefault="0040476F" w:rsidP="00B956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68C" w:rsidRDefault="00B9568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BBC" w:rsidRDefault="000D1BB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BBC" w:rsidRDefault="000D1BBC">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D1BBC"/>
    <w:rsid w:val="000D5066"/>
    <w:rsid w:val="000F6191"/>
    <w:rsid w:val="001143D1"/>
    <w:rsid w:val="00130CE8"/>
    <w:rsid w:val="00152201"/>
    <w:rsid w:val="00172A27"/>
    <w:rsid w:val="00176636"/>
    <w:rsid w:val="00183C84"/>
    <w:rsid w:val="001C05F9"/>
    <w:rsid w:val="001C5395"/>
    <w:rsid w:val="00211F26"/>
    <w:rsid w:val="002263FC"/>
    <w:rsid w:val="00251526"/>
    <w:rsid w:val="0026522E"/>
    <w:rsid w:val="00273144"/>
    <w:rsid w:val="002A3AE9"/>
    <w:rsid w:val="002C196E"/>
    <w:rsid w:val="002D296F"/>
    <w:rsid w:val="002D75D0"/>
    <w:rsid w:val="002E795C"/>
    <w:rsid w:val="00301391"/>
    <w:rsid w:val="00305714"/>
    <w:rsid w:val="00313E71"/>
    <w:rsid w:val="00321CB7"/>
    <w:rsid w:val="00336AA4"/>
    <w:rsid w:val="003379A9"/>
    <w:rsid w:val="00350ADF"/>
    <w:rsid w:val="00355623"/>
    <w:rsid w:val="003A0419"/>
    <w:rsid w:val="003B22CB"/>
    <w:rsid w:val="003C4D3B"/>
    <w:rsid w:val="003E09EA"/>
    <w:rsid w:val="003F0AC3"/>
    <w:rsid w:val="0040476F"/>
    <w:rsid w:val="00456251"/>
    <w:rsid w:val="004B3DA7"/>
    <w:rsid w:val="004C1607"/>
    <w:rsid w:val="004C1BE1"/>
    <w:rsid w:val="00504988"/>
    <w:rsid w:val="005069D8"/>
    <w:rsid w:val="0056162E"/>
    <w:rsid w:val="00561FDF"/>
    <w:rsid w:val="00563B93"/>
    <w:rsid w:val="00567DB3"/>
    <w:rsid w:val="00575BEA"/>
    <w:rsid w:val="005B3434"/>
    <w:rsid w:val="005B69BF"/>
    <w:rsid w:val="005D57EC"/>
    <w:rsid w:val="005E2884"/>
    <w:rsid w:val="005E5050"/>
    <w:rsid w:val="005F2C7B"/>
    <w:rsid w:val="005F4D04"/>
    <w:rsid w:val="005F7DA9"/>
    <w:rsid w:val="006054F8"/>
    <w:rsid w:val="00646A20"/>
    <w:rsid w:val="0065419A"/>
    <w:rsid w:val="00654220"/>
    <w:rsid w:val="00663B94"/>
    <w:rsid w:val="00676368"/>
    <w:rsid w:val="00677F66"/>
    <w:rsid w:val="006A7968"/>
    <w:rsid w:val="006B4A1B"/>
    <w:rsid w:val="006C7F31"/>
    <w:rsid w:val="006E4E94"/>
    <w:rsid w:val="007176F9"/>
    <w:rsid w:val="00730BEE"/>
    <w:rsid w:val="0073101E"/>
    <w:rsid w:val="00735153"/>
    <w:rsid w:val="00745421"/>
    <w:rsid w:val="00746664"/>
    <w:rsid w:val="0079466A"/>
    <w:rsid w:val="007A4219"/>
    <w:rsid w:val="0080200C"/>
    <w:rsid w:val="008060F8"/>
    <w:rsid w:val="00814110"/>
    <w:rsid w:val="00814F2F"/>
    <w:rsid w:val="0082561A"/>
    <w:rsid w:val="00846B2E"/>
    <w:rsid w:val="00853290"/>
    <w:rsid w:val="0085663C"/>
    <w:rsid w:val="008768AB"/>
    <w:rsid w:val="00883B25"/>
    <w:rsid w:val="008926F7"/>
    <w:rsid w:val="008A7510"/>
    <w:rsid w:val="008C78BD"/>
    <w:rsid w:val="008F0FA3"/>
    <w:rsid w:val="008F7D3C"/>
    <w:rsid w:val="00900D90"/>
    <w:rsid w:val="009354D6"/>
    <w:rsid w:val="00970A98"/>
    <w:rsid w:val="009C781F"/>
    <w:rsid w:val="009D5296"/>
    <w:rsid w:val="009E0E5D"/>
    <w:rsid w:val="009E6170"/>
    <w:rsid w:val="00A10A79"/>
    <w:rsid w:val="00A37451"/>
    <w:rsid w:val="00A4158C"/>
    <w:rsid w:val="00A4484F"/>
    <w:rsid w:val="00A76D4B"/>
    <w:rsid w:val="00A77C47"/>
    <w:rsid w:val="00A9119C"/>
    <w:rsid w:val="00AA4549"/>
    <w:rsid w:val="00AC5144"/>
    <w:rsid w:val="00B13014"/>
    <w:rsid w:val="00B17559"/>
    <w:rsid w:val="00B33B19"/>
    <w:rsid w:val="00B404E6"/>
    <w:rsid w:val="00B4360D"/>
    <w:rsid w:val="00B61EA9"/>
    <w:rsid w:val="00B670D1"/>
    <w:rsid w:val="00B74DCA"/>
    <w:rsid w:val="00B9568C"/>
    <w:rsid w:val="00BC02E0"/>
    <w:rsid w:val="00BC3903"/>
    <w:rsid w:val="00BE47E0"/>
    <w:rsid w:val="00BE7B1A"/>
    <w:rsid w:val="00BF75C8"/>
    <w:rsid w:val="00C1762E"/>
    <w:rsid w:val="00C22DF9"/>
    <w:rsid w:val="00C25123"/>
    <w:rsid w:val="00C30A48"/>
    <w:rsid w:val="00C375A7"/>
    <w:rsid w:val="00C62DF8"/>
    <w:rsid w:val="00C640FB"/>
    <w:rsid w:val="00C75930"/>
    <w:rsid w:val="00CB054E"/>
    <w:rsid w:val="00CC52D7"/>
    <w:rsid w:val="00CC5B57"/>
    <w:rsid w:val="00CF6B8D"/>
    <w:rsid w:val="00D23AB6"/>
    <w:rsid w:val="00D25B2A"/>
    <w:rsid w:val="00D42485"/>
    <w:rsid w:val="00D42895"/>
    <w:rsid w:val="00D50309"/>
    <w:rsid w:val="00D51AA9"/>
    <w:rsid w:val="00D60CA6"/>
    <w:rsid w:val="00D6420C"/>
    <w:rsid w:val="00D7264A"/>
    <w:rsid w:val="00D84E43"/>
    <w:rsid w:val="00D870DF"/>
    <w:rsid w:val="00DB0C2F"/>
    <w:rsid w:val="00DB3BF6"/>
    <w:rsid w:val="00DC31CC"/>
    <w:rsid w:val="00DC728A"/>
    <w:rsid w:val="00DD2F3C"/>
    <w:rsid w:val="00DE1591"/>
    <w:rsid w:val="00DE2D03"/>
    <w:rsid w:val="00E1059D"/>
    <w:rsid w:val="00E13A3A"/>
    <w:rsid w:val="00E155DF"/>
    <w:rsid w:val="00E246E1"/>
    <w:rsid w:val="00E560F1"/>
    <w:rsid w:val="00E944FA"/>
    <w:rsid w:val="00E9797A"/>
    <w:rsid w:val="00EA7ABC"/>
    <w:rsid w:val="00EB2746"/>
    <w:rsid w:val="00EE0436"/>
    <w:rsid w:val="00F1465C"/>
    <w:rsid w:val="00F33E5A"/>
    <w:rsid w:val="00F41324"/>
    <w:rsid w:val="00F50705"/>
    <w:rsid w:val="00F57C12"/>
    <w:rsid w:val="00F609FD"/>
    <w:rsid w:val="00F633A2"/>
    <w:rsid w:val="00F6500C"/>
    <w:rsid w:val="00F859AB"/>
    <w:rsid w:val="00F950D0"/>
    <w:rsid w:val="00FA2C26"/>
    <w:rsid w:val="030F2BA7"/>
    <w:rsid w:val="04240CEE"/>
    <w:rsid w:val="055812BD"/>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D3D68E0"/>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88D7255"/>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68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9568C"/>
    <w:pPr>
      <w:jc w:val="left"/>
    </w:pPr>
  </w:style>
  <w:style w:type="paragraph" w:styleId="a4">
    <w:name w:val="Balloon Text"/>
    <w:basedOn w:val="a"/>
    <w:link w:val="Char0"/>
    <w:uiPriority w:val="99"/>
    <w:unhideWhenUsed/>
    <w:qFormat/>
    <w:rsid w:val="00B9568C"/>
    <w:rPr>
      <w:sz w:val="18"/>
      <w:szCs w:val="18"/>
    </w:rPr>
  </w:style>
  <w:style w:type="paragraph" w:styleId="a5">
    <w:name w:val="footer"/>
    <w:basedOn w:val="a"/>
    <w:link w:val="Char1"/>
    <w:uiPriority w:val="99"/>
    <w:unhideWhenUsed/>
    <w:qFormat/>
    <w:rsid w:val="00B9568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B9568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B9568C"/>
    <w:pPr>
      <w:snapToGrid w:val="0"/>
      <w:jc w:val="left"/>
    </w:pPr>
    <w:rPr>
      <w:sz w:val="18"/>
    </w:rPr>
  </w:style>
  <w:style w:type="paragraph" w:styleId="a8">
    <w:name w:val="Normal (Web)"/>
    <w:basedOn w:val="a"/>
    <w:qFormat/>
    <w:rsid w:val="00B9568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B9568C"/>
    <w:rPr>
      <w:b/>
      <w:bCs/>
    </w:rPr>
  </w:style>
  <w:style w:type="character" w:styleId="aa">
    <w:name w:val="page number"/>
    <w:basedOn w:val="a0"/>
    <w:uiPriority w:val="99"/>
    <w:unhideWhenUsed/>
    <w:qFormat/>
    <w:rsid w:val="00B9568C"/>
  </w:style>
  <w:style w:type="character" w:styleId="ab">
    <w:name w:val="annotation reference"/>
    <w:uiPriority w:val="99"/>
    <w:unhideWhenUsed/>
    <w:qFormat/>
    <w:rsid w:val="00B9568C"/>
    <w:rPr>
      <w:sz w:val="21"/>
      <w:szCs w:val="21"/>
    </w:rPr>
  </w:style>
  <w:style w:type="character" w:styleId="ac">
    <w:name w:val="footnote reference"/>
    <w:uiPriority w:val="99"/>
    <w:unhideWhenUsed/>
    <w:qFormat/>
    <w:rsid w:val="00B9568C"/>
    <w:rPr>
      <w:vertAlign w:val="superscript"/>
    </w:rPr>
  </w:style>
  <w:style w:type="character" w:customStyle="1" w:styleId="Char0">
    <w:name w:val="批注框文本 Char"/>
    <w:link w:val="a4"/>
    <w:uiPriority w:val="99"/>
    <w:semiHidden/>
    <w:qFormat/>
    <w:rsid w:val="00B9568C"/>
    <w:rPr>
      <w:kern w:val="2"/>
      <w:sz w:val="18"/>
      <w:szCs w:val="18"/>
    </w:rPr>
  </w:style>
  <w:style w:type="character" w:customStyle="1" w:styleId="Char2">
    <w:name w:val="页眉 Char"/>
    <w:link w:val="a6"/>
    <w:uiPriority w:val="99"/>
    <w:semiHidden/>
    <w:qFormat/>
    <w:locked/>
    <w:rsid w:val="00B9568C"/>
    <w:rPr>
      <w:rFonts w:ascii="Times New Roman" w:hAnsi="Times New Roman" w:cs="Times New Roman" w:hint="default"/>
      <w:sz w:val="18"/>
      <w:szCs w:val="18"/>
    </w:rPr>
  </w:style>
  <w:style w:type="character" w:customStyle="1" w:styleId="Char3">
    <w:name w:val="批注主题 Char"/>
    <w:link w:val="a9"/>
    <w:uiPriority w:val="99"/>
    <w:semiHidden/>
    <w:qFormat/>
    <w:rsid w:val="00B9568C"/>
    <w:rPr>
      <w:b/>
      <w:bCs/>
      <w:kern w:val="2"/>
      <w:sz w:val="21"/>
      <w:szCs w:val="22"/>
    </w:rPr>
  </w:style>
  <w:style w:type="character" w:customStyle="1" w:styleId="Char1">
    <w:name w:val="页脚 Char"/>
    <w:link w:val="a5"/>
    <w:uiPriority w:val="99"/>
    <w:semiHidden/>
    <w:qFormat/>
    <w:locked/>
    <w:rsid w:val="00B9568C"/>
    <w:rPr>
      <w:rFonts w:ascii="Times New Roman" w:hAnsi="Times New Roman" w:cs="Times New Roman" w:hint="default"/>
      <w:sz w:val="18"/>
      <w:szCs w:val="18"/>
    </w:rPr>
  </w:style>
  <w:style w:type="character" w:customStyle="1" w:styleId="Char">
    <w:name w:val="批注文字 Char"/>
    <w:link w:val="a3"/>
    <w:uiPriority w:val="99"/>
    <w:qFormat/>
    <w:rsid w:val="00B9568C"/>
    <w:rPr>
      <w:kern w:val="2"/>
      <w:sz w:val="21"/>
      <w:szCs w:val="22"/>
    </w:rPr>
  </w:style>
  <w:style w:type="paragraph" w:customStyle="1" w:styleId="zhongyaotishi">
    <w:name w:val="zhongyaotishi"/>
    <w:basedOn w:val="a"/>
    <w:qFormat/>
    <w:rsid w:val="00B9568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B9568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B9568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B9568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B9568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B9568C"/>
    <w:pPr>
      <w:widowControl w:val="0"/>
      <w:jc w:val="center"/>
    </w:pPr>
    <w:rPr>
      <w:kern w:val="2"/>
      <w:sz w:val="33"/>
      <w:szCs w:val="22"/>
    </w:rPr>
  </w:style>
  <w:style w:type="paragraph" w:customStyle="1" w:styleId="biaogeleft">
    <w:name w:val="biaoge_left"/>
    <w:basedOn w:val="a"/>
    <w:qFormat/>
    <w:rsid w:val="00B9568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B9568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B9568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B9568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B9568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B9568C"/>
    <w:pPr>
      <w:widowControl w:val="0"/>
    </w:pPr>
    <w:rPr>
      <w:kern w:val="2"/>
      <w:sz w:val="21"/>
      <w:szCs w:val="22"/>
    </w:rPr>
  </w:style>
  <w:style w:type="paragraph" w:customStyle="1" w:styleId="neirong">
    <w:name w:val="neirong"/>
    <w:basedOn w:val="a"/>
    <w:qFormat/>
    <w:rsid w:val="00B9568C"/>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B9568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800</Words>
  <Characters>4565</Characters>
  <Application>Microsoft Office Word</Application>
  <DocSecurity>0</DocSecurity>
  <Lines>38</Lines>
  <Paragraphs>10</Paragraphs>
  <ScaleCrop>false</ScaleCrop>
  <Company>微软中国</Company>
  <LinksUpToDate>false</LinksUpToDate>
  <CharactersWithSpaces>5355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33</cp:revision>
  <cp:lastPrinted>2019-09-11T00:56:00Z</cp:lastPrinted>
  <dcterms:created xsi:type="dcterms:W3CDTF">2020-12-16T03:30:00Z</dcterms:created>
  <dcterms:modified xsi:type="dcterms:W3CDTF">2021-03-30T02:21:00Z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82D8FE1ADA7B4850A399651052432DF6</vt:lpwstr>
  </property>
</Properties>
</file>