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F42" w:rsidRDefault="00284F42">
      <w:pPr>
        <w:pStyle w:val="dazhangjie"/>
        <w:rPr>
          <w:b/>
          <w:bCs/>
          <w:color w:val="000000"/>
        </w:rPr>
      </w:pPr>
    </w:p>
    <w:p w:rsidR="00284F42" w:rsidRDefault="00284F42">
      <w:pPr>
        <w:pStyle w:val="dazhangjie"/>
        <w:rPr>
          <w:b/>
          <w:bCs/>
          <w:color w:val="000000"/>
        </w:rPr>
      </w:pPr>
    </w:p>
    <w:p w:rsidR="00284F42" w:rsidRDefault="00284F42">
      <w:pPr>
        <w:pStyle w:val="dazhangjie"/>
        <w:rPr>
          <w:b/>
          <w:bCs/>
          <w:color w:val="000000"/>
        </w:rPr>
      </w:pPr>
    </w:p>
    <w:p w:rsidR="00284F42" w:rsidRDefault="00A43BAA">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22W399D</w:t>
      </w:r>
      <w:r>
        <w:rPr>
          <w:rFonts w:ascii="黑体" w:eastAsia="黑体" w:hAnsi="黑体"/>
          <w:b/>
          <w:bCs/>
          <w:sz w:val="36"/>
        </w:rPr>
        <w:t>封闭式公募人民币理财产品</w:t>
      </w:r>
    </w:p>
    <w:p w:rsidR="00284F42" w:rsidRDefault="00A43BAA">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284F42" w:rsidRDefault="00284F42">
      <w:pPr>
        <w:pStyle w:val="dazhangjie"/>
        <w:spacing w:before="240" w:after="120"/>
        <w:rPr>
          <w:rFonts w:ascii="黑体" w:eastAsia="黑体" w:hAnsi="黑体"/>
          <w:b/>
          <w:bCs/>
          <w:color w:val="000000"/>
          <w:sz w:val="36"/>
        </w:rPr>
      </w:pPr>
    </w:p>
    <w:p w:rsidR="00284F42" w:rsidRDefault="00284F42">
      <w:pPr>
        <w:pStyle w:val="dazhangjie"/>
        <w:spacing w:before="240" w:after="120"/>
        <w:rPr>
          <w:rFonts w:ascii="黑体" w:eastAsia="黑体" w:hAnsi="黑体"/>
          <w:b/>
          <w:bCs/>
          <w:color w:val="000000"/>
          <w:sz w:val="36"/>
        </w:rPr>
      </w:pPr>
    </w:p>
    <w:p w:rsidR="00284F42" w:rsidRDefault="00284F42">
      <w:pPr>
        <w:pStyle w:val="dazhangjie"/>
        <w:spacing w:before="240" w:after="120"/>
        <w:rPr>
          <w:rFonts w:ascii="黑体" w:eastAsia="黑体" w:hAnsi="黑体"/>
          <w:b/>
          <w:bCs/>
          <w:color w:val="000000"/>
          <w:sz w:val="36"/>
        </w:rPr>
      </w:pPr>
    </w:p>
    <w:p w:rsidR="00284F42" w:rsidRDefault="00284F42">
      <w:pPr>
        <w:pStyle w:val="dazhangjie"/>
        <w:spacing w:before="240" w:after="120"/>
        <w:rPr>
          <w:rFonts w:ascii="黑体" w:eastAsia="黑体" w:hAnsi="黑体"/>
          <w:b/>
          <w:bCs/>
          <w:color w:val="000000"/>
          <w:sz w:val="36"/>
        </w:rPr>
      </w:pPr>
    </w:p>
    <w:p w:rsidR="00284F42" w:rsidRDefault="00284F42">
      <w:pPr>
        <w:pStyle w:val="dazhangjie"/>
        <w:spacing w:before="240" w:after="120"/>
        <w:rPr>
          <w:rFonts w:ascii="黑体" w:eastAsia="黑体" w:hAnsi="黑体"/>
          <w:b/>
          <w:bCs/>
          <w:color w:val="000000"/>
          <w:sz w:val="36"/>
        </w:rPr>
      </w:pPr>
    </w:p>
    <w:p w:rsidR="00284F42" w:rsidRDefault="00284F42">
      <w:pPr>
        <w:pStyle w:val="dazhangjie"/>
        <w:spacing w:before="240" w:after="120"/>
        <w:rPr>
          <w:rFonts w:ascii="黑体" w:eastAsia="黑体" w:hAnsi="黑体"/>
          <w:b/>
          <w:bCs/>
          <w:color w:val="000000"/>
          <w:sz w:val="36"/>
        </w:rPr>
      </w:pPr>
    </w:p>
    <w:p w:rsidR="00284F42" w:rsidRDefault="00284F42">
      <w:pPr>
        <w:pStyle w:val="dazhangjie"/>
        <w:spacing w:before="240" w:after="120"/>
        <w:rPr>
          <w:rFonts w:ascii="黑体" w:eastAsia="黑体" w:hAnsi="黑体"/>
          <w:b/>
          <w:bCs/>
          <w:color w:val="000000"/>
          <w:sz w:val="36"/>
        </w:rPr>
      </w:pPr>
    </w:p>
    <w:p w:rsidR="00284F42" w:rsidRDefault="00284F42">
      <w:pPr>
        <w:pStyle w:val="dazhangjie"/>
        <w:spacing w:before="240" w:after="120"/>
        <w:rPr>
          <w:rFonts w:ascii="黑体" w:eastAsia="黑体" w:hAnsi="黑体"/>
          <w:b/>
          <w:bCs/>
          <w:color w:val="000000"/>
          <w:sz w:val="36"/>
        </w:rPr>
      </w:pPr>
    </w:p>
    <w:p w:rsidR="00284F42" w:rsidRDefault="00284F42">
      <w:pPr>
        <w:pStyle w:val="dazhangjie"/>
        <w:spacing w:before="240" w:after="120"/>
        <w:ind w:left="0"/>
        <w:jc w:val="both"/>
        <w:rPr>
          <w:rFonts w:ascii="黑体" w:eastAsia="黑体" w:hAnsi="黑体"/>
          <w:b/>
          <w:bCs/>
          <w:color w:val="000000"/>
          <w:sz w:val="36"/>
        </w:rPr>
      </w:pPr>
    </w:p>
    <w:p w:rsidR="00284F42" w:rsidRDefault="00A43BAA">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284F42" w:rsidRDefault="00A43BAA">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284F42" w:rsidRDefault="00284F42">
      <w:pPr>
        <w:widowControl/>
        <w:jc w:val="left"/>
        <w:rPr>
          <w:rFonts w:ascii="宋体" w:hAnsi="宋体" w:cs="宋体"/>
          <w:color w:val="000000"/>
          <w:kern w:val="0"/>
          <w:sz w:val="24"/>
          <w:szCs w:val="24"/>
        </w:rPr>
        <w:sectPr w:rsidR="00284F42">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284F42" w:rsidRDefault="00284F42">
      <w:pPr>
        <w:widowControl/>
        <w:jc w:val="left"/>
        <w:rPr>
          <w:rFonts w:ascii="宋体" w:hAnsi="宋体" w:cs="宋体"/>
          <w:color w:val="000000"/>
          <w:kern w:val="0"/>
          <w:sz w:val="24"/>
          <w:szCs w:val="24"/>
        </w:rPr>
      </w:pPr>
    </w:p>
    <w:p w:rsidR="00284F42" w:rsidRDefault="00A43BAA">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284F42" w:rsidRDefault="00284F42">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284F42">
        <w:tc>
          <w:tcPr>
            <w:tcW w:w="281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rPr>
              <w:t>南京银行珠联璧合逸稳</w:t>
            </w:r>
            <w:r>
              <w:rPr>
                <w:rFonts w:hint="eastAsia"/>
              </w:rPr>
              <w:t>22W399D</w:t>
            </w:r>
            <w:r>
              <w:rPr>
                <w:rFonts w:hint="eastAsia"/>
              </w:rPr>
              <w:t>封闭式公募人民币理财产品</w:t>
            </w:r>
          </w:p>
        </w:tc>
      </w:tr>
      <w:tr w:rsidR="00284F42">
        <w:tc>
          <w:tcPr>
            <w:tcW w:w="281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pPr>
            <w:r>
              <w:t>C1086920000029</w:t>
            </w:r>
            <w:r>
              <w:rPr>
                <w:rFonts w:hint="eastAsia"/>
              </w:rPr>
              <w:t>（投资者可依据该编码在中国理财网</w:t>
            </w:r>
            <w:r>
              <w:rPr>
                <w:rFonts w:hint="eastAsia"/>
              </w:rPr>
              <w:t>www.chinawealth.com.cn</w:t>
            </w:r>
            <w:r>
              <w:rPr>
                <w:rFonts w:hint="eastAsia"/>
              </w:rPr>
              <w:t>查询理财产品相关信息）</w:t>
            </w:r>
          </w:p>
        </w:tc>
      </w:tr>
      <w:tr w:rsidR="00284F42">
        <w:tc>
          <w:tcPr>
            <w:tcW w:w="281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rPr>
              <w:t>开放式</w:t>
            </w:r>
            <w:r>
              <w:rPr>
                <w:rFonts w:hint="eastAsia"/>
              </w:rPr>
              <w:t>净值型</w:t>
            </w:r>
          </w:p>
        </w:tc>
      </w:tr>
      <w:tr w:rsidR="00284F42">
        <w:tc>
          <w:tcPr>
            <w:tcW w:w="2811" w:type="dxa"/>
            <w:tcBorders>
              <w:top w:val="single" w:sz="8" w:space="0" w:color="000000"/>
              <w:left w:val="single" w:sz="8" w:space="0" w:color="000000"/>
              <w:bottom w:val="single" w:sz="6" w:space="0" w:color="000000"/>
              <w:right w:val="single" w:sz="8" w:space="0" w:color="000000"/>
            </w:tcBorders>
            <w:vAlign w:val="center"/>
          </w:tcPr>
          <w:p w:rsidR="00284F42" w:rsidRDefault="00A1760D">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rPr>
              <w:t>2020</w:t>
            </w:r>
            <w:r>
              <w:rPr>
                <w:rFonts w:hint="eastAsia"/>
              </w:rPr>
              <w:t>年</w:t>
            </w:r>
            <w:r>
              <w:rPr>
                <w:rFonts w:hint="eastAsia"/>
              </w:rPr>
              <w:t>09</w:t>
            </w:r>
            <w:r>
              <w:rPr>
                <w:rFonts w:hint="eastAsia"/>
              </w:rPr>
              <w:t>月</w:t>
            </w:r>
            <w:r>
              <w:rPr>
                <w:rFonts w:hint="eastAsia"/>
              </w:rPr>
              <w:t>09</w:t>
            </w:r>
            <w:r>
              <w:rPr>
                <w:rFonts w:hint="eastAsia"/>
              </w:rPr>
              <w:t>日</w:t>
            </w:r>
          </w:p>
        </w:tc>
      </w:tr>
      <w:tr w:rsidR="00284F42">
        <w:tc>
          <w:tcPr>
            <w:tcW w:w="281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highlight w:val="yellow"/>
              </w:rPr>
            </w:pPr>
            <w:r>
              <w:rPr>
                <w:rFonts w:hint="eastAsia"/>
              </w:rPr>
              <w:t>500,000,000.00</w:t>
            </w:r>
            <w:r>
              <w:rPr>
                <w:rFonts w:hint="eastAsia"/>
              </w:rPr>
              <w:t>份</w:t>
            </w:r>
          </w:p>
        </w:tc>
      </w:tr>
      <w:tr w:rsidR="00284F42">
        <w:tc>
          <w:tcPr>
            <w:tcW w:w="281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color w:val="000000"/>
              </w:rPr>
              <w:t>100.14%</w:t>
            </w:r>
          </w:p>
        </w:tc>
      </w:tr>
      <w:tr w:rsidR="00284F42">
        <w:tc>
          <w:tcPr>
            <w:tcW w:w="281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color w:val="000000"/>
              </w:rPr>
              <w:t>鑫元基金管理有限公司</w:t>
            </w:r>
          </w:p>
        </w:tc>
      </w:tr>
      <w:tr w:rsidR="00284F42">
        <w:tc>
          <w:tcPr>
            <w:tcW w:w="281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rPr>
              <w:t>南京银行股份有限公司</w:t>
            </w:r>
          </w:p>
        </w:tc>
      </w:tr>
      <w:tr w:rsidR="00284F42">
        <w:tc>
          <w:tcPr>
            <w:tcW w:w="281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left"/>
              <w:wordWrap w:val="0"/>
              <w:rPr>
                <w:color w:val="000000"/>
              </w:rPr>
            </w:pPr>
            <w:r>
              <w:rPr>
                <w:rFonts w:hint="eastAsia"/>
              </w:rPr>
              <w:t>南京银行股份有限公司</w:t>
            </w:r>
          </w:p>
        </w:tc>
      </w:tr>
    </w:tbl>
    <w:p w:rsidR="00284F42" w:rsidRDefault="00284F42">
      <w:pPr>
        <w:widowControl/>
        <w:jc w:val="left"/>
        <w:rPr>
          <w:rFonts w:ascii="宋体" w:hAnsi="宋体" w:cs="宋体"/>
          <w:color w:val="000000"/>
          <w:kern w:val="0"/>
          <w:sz w:val="24"/>
          <w:szCs w:val="24"/>
        </w:rPr>
      </w:pPr>
    </w:p>
    <w:p w:rsidR="00284F42" w:rsidRDefault="00284F42">
      <w:pPr>
        <w:pStyle w:val="dazhangjie"/>
        <w:rPr>
          <w:rFonts w:hAnsi="Calibri"/>
          <w:b/>
          <w:color w:val="000000"/>
        </w:rPr>
      </w:pPr>
    </w:p>
    <w:p w:rsidR="00284F42" w:rsidRDefault="00A43BAA">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284F42" w:rsidRDefault="00284F42">
      <w:pPr>
        <w:widowControl/>
        <w:jc w:val="left"/>
        <w:rPr>
          <w:rFonts w:ascii="宋体" w:hAnsi="宋体" w:cs="宋体"/>
          <w:color w:val="000000"/>
          <w:kern w:val="0"/>
          <w:sz w:val="24"/>
          <w:szCs w:val="24"/>
        </w:rPr>
      </w:pPr>
    </w:p>
    <w:p w:rsidR="00284F42" w:rsidRDefault="00A43BAA">
      <w:pPr>
        <w:pStyle w:val="zhangjiep"/>
        <w:rPr>
          <w:color w:val="000000"/>
        </w:rPr>
      </w:pPr>
      <w:r>
        <w:rPr>
          <w:rFonts w:hint="eastAsia"/>
          <w:b/>
          <w:bCs/>
          <w:color w:val="000000"/>
        </w:rPr>
        <w:t xml:space="preserve">2.1 </w:t>
      </w:r>
      <w:r>
        <w:rPr>
          <w:rFonts w:hint="eastAsia"/>
          <w:b/>
          <w:bCs/>
          <w:color w:val="000000"/>
        </w:rPr>
        <w:t>主要财务指标</w:t>
      </w:r>
    </w:p>
    <w:p w:rsidR="00284F42" w:rsidRDefault="00A43BAA">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284F42">
        <w:tc>
          <w:tcPr>
            <w:tcW w:w="5220"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dazhangjie"/>
              <w:spacing w:before="240" w:after="120"/>
              <w:rPr>
                <w:color w:val="000000"/>
              </w:rPr>
            </w:pPr>
            <w:r>
              <w:t>报告期（</w:t>
            </w:r>
            <w:r>
              <w:rPr>
                <w:rFonts w:hint="eastAsia"/>
              </w:rPr>
              <w:t>2020</w:t>
            </w:r>
            <w:r>
              <w:rPr>
                <w:rFonts w:hint="eastAsia"/>
              </w:rPr>
              <w:t>年</w:t>
            </w:r>
            <w:r>
              <w:rPr>
                <w:rFonts w:hint="eastAsia"/>
              </w:rPr>
              <w:t>09</w:t>
            </w:r>
            <w:r>
              <w:rPr>
                <w:rFonts w:hint="eastAsia"/>
              </w:rPr>
              <w:t>月</w:t>
            </w:r>
            <w:r>
              <w:rPr>
                <w:rFonts w:hint="eastAsia"/>
              </w:rPr>
              <w:t>09</w:t>
            </w:r>
            <w:r>
              <w:rPr>
                <w:rFonts w:hint="eastAsia"/>
              </w:rPr>
              <w:t>日</w:t>
            </w:r>
            <w:r>
              <w:t xml:space="preserve">- </w:t>
            </w:r>
            <w:r>
              <w:t>2020</w:t>
            </w:r>
            <w:r>
              <w:t>年</w:t>
            </w:r>
            <w:r>
              <w:t>12</w:t>
            </w:r>
            <w:r>
              <w:t>月</w:t>
            </w:r>
            <w:r>
              <w:t>31</w:t>
            </w:r>
            <w:r>
              <w:t>日）</w:t>
            </w:r>
          </w:p>
        </w:tc>
      </w:tr>
      <w:tr w:rsidR="00284F42">
        <w:tc>
          <w:tcPr>
            <w:tcW w:w="5220"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right"/>
              <w:jc w:val="center"/>
              <w:rPr>
                <w:color w:val="000000"/>
                <w:highlight w:val="yellow"/>
              </w:rPr>
            </w:pPr>
            <w:r>
              <w:rPr>
                <w:rFonts w:hint="eastAsia"/>
              </w:rPr>
              <w:t>507,186,581.75</w:t>
            </w:r>
          </w:p>
        </w:tc>
      </w:tr>
      <w:tr w:rsidR="00284F42">
        <w:tc>
          <w:tcPr>
            <w:tcW w:w="5220"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right"/>
              <w:jc w:val="center"/>
              <w:rPr>
                <w:color w:val="000000"/>
                <w:highlight w:val="yellow"/>
              </w:rPr>
            </w:pPr>
            <w:r>
              <w:rPr>
                <w:rFonts w:hint="eastAsia"/>
              </w:rPr>
              <w:t>1.0144</w:t>
            </w:r>
          </w:p>
        </w:tc>
      </w:tr>
      <w:tr w:rsidR="00284F42">
        <w:tc>
          <w:tcPr>
            <w:tcW w:w="5220"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right"/>
              <w:jc w:val="center"/>
              <w:rPr>
                <w:color w:val="000000"/>
                <w:highlight w:val="yellow"/>
              </w:rPr>
            </w:pPr>
            <w:r>
              <w:rPr>
                <w:rFonts w:hint="eastAsia"/>
              </w:rPr>
              <w:t>1.0144</w:t>
            </w:r>
          </w:p>
        </w:tc>
      </w:tr>
      <w:tr w:rsidR="00284F42">
        <w:tc>
          <w:tcPr>
            <w:tcW w:w="5220" w:type="dxa"/>
            <w:vAlign w:val="center"/>
          </w:tcPr>
          <w:p w:rsidR="00284F42" w:rsidRDefault="00284F42">
            <w:pPr>
              <w:widowControl/>
              <w:jc w:val="left"/>
              <w:rPr>
                <w:rFonts w:ascii="宋体" w:hAnsi="宋体" w:cs="宋体"/>
                <w:color w:val="000000"/>
                <w:kern w:val="0"/>
                <w:sz w:val="24"/>
                <w:szCs w:val="24"/>
              </w:rPr>
            </w:pPr>
          </w:p>
        </w:tc>
        <w:tc>
          <w:tcPr>
            <w:tcW w:w="3825" w:type="dxa"/>
            <w:vAlign w:val="center"/>
          </w:tcPr>
          <w:p w:rsidR="00284F42" w:rsidRDefault="00284F42">
            <w:pPr>
              <w:widowControl/>
              <w:jc w:val="left"/>
              <w:rPr>
                <w:color w:val="000000"/>
                <w:kern w:val="0"/>
                <w:sz w:val="20"/>
                <w:szCs w:val="20"/>
              </w:rPr>
            </w:pPr>
          </w:p>
        </w:tc>
      </w:tr>
    </w:tbl>
    <w:p w:rsidR="00284F42" w:rsidRDefault="00284F42">
      <w:pPr>
        <w:pStyle w:val="biaogeleft"/>
        <w:ind w:left="0"/>
        <w:rPr>
          <w:color w:val="000000"/>
        </w:rPr>
      </w:pPr>
    </w:p>
    <w:p w:rsidR="00284F42" w:rsidRDefault="00284F42">
      <w:pPr>
        <w:widowControl/>
        <w:jc w:val="left"/>
        <w:rPr>
          <w:rFonts w:ascii="宋体" w:hAnsi="宋体" w:cs="宋体"/>
          <w:color w:val="000000"/>
          <w:kern w:val="0"/>
          <w:sz w:val="24"/>
          <w:szCs w:val="24"/>
        </w:rPr>
      </w:pPr>
    </w:p>
    <w:p w:rsidR="00284F42" w:rsidRDefault="00A43BAA">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284F42" w:rsidRDefault="00A43BAA">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284F42" w:rsidRDefault="00A43BAA">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284F42" w:rsidRDefault="00A43BAA">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284F42" w:rsidRDefault="00A43BAA">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284F42" w:rsidRDefault="00A43BAA">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284F42" w:rsidRDefault="00A43BAA">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284F42" w:rsidRDefault="00A43BAA">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284F42" w:rsidRDefault="00A43BAA">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284F42" w:rsidRDefault="00A43BAA">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1.0144</w:t>
      </w:r>
      <w:r>
        <w:rPr>
          <w:rFonts w:hint="eastAsia"/>
          <w:color w:val="000000"/>
        </w:rPr>
        <w:t>元。</w:t>
      </w:r>
    </w:p>
    <w:p w:rsidR="00284F42" w:rsidRDefault="00284F42">
      <w:pPr>
        <w:widowControl/>
        <w:jc w:val="left"/>
        <w:rPr>
          <w:rFonts w:ascii="宋体" w:hAnsi="宋体" w:cs="宋体"/>
          <w:color w:val="000000"/>
          <w:kern w:val="0"/>
          <w:sz w:val="24"/>
          <w:szCs w:val="24"/>
        </w:rPr>
      </w:pPr>
    </w:p>
    <w:p w:rsidR="00284F42" w:rsidRDefault="00A43BAA">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284F42" w:rsidRDefault="00284F42">
      <w:pPr>
        <w:pStyle w:val="dazhangjie"/>
        <w:rPr>
          <w:rFonts w:hAnsi="Calibri"/>
          <w:b/>
          <w:color w:val="000000"/>
        </w:rPr>
      </w:pPr>
    </w:p>
    <w:p w:rsidR="00284F42" w:rsidRDefault="00A43BAA">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284F42" w:rsidRDefault="00A43BAA">
      <w:pPr>
        <w:pStyle w:val="biaogeleft"/>
        <w:spacing w:line="360" w:lineRule="auto"/>
        <w:ind w:firstLineChars="200" w:firstLine="480"/>
        <w:rPr>
          <w:rFonts w:cs="Times New Roman"/>
          <w:b/>
          <w:color w:val="000000"/>
        </w:rPr>
      </w:pPr>
      <w:r>
        <w:rPr>
          <w:rFonts w:hint="eastAsia"/>
        </w:rPr>
        <w:lastRenderedPageBreak/>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09</w:t>
      </w:r>
      <w:r>
        <w:rPr>
          <w:rFonts w:hint="eastAsia"/>
        </w:rPr>
        <w:t>月</w:t>
      </w:r>
      <w:r>
        <w:rPr>
          <w:rFonts w:hint="eastAsia"/>
        </w:rPr>
        <w:t>09</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284F42" w:rsidRDefault="00A43BAA">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284F42" w:rsidRDefault="00A43BAA">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p>
    <w:p w:rsidR="00284F42" w:rsidRDefault="00A43BAA">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284F42" w:rsidRDefault="00A43BAA">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2"/>
    </w:p>
    <w:p w:rsidR="00284F42" w:rsidRDefault="00284F42">
      <w:pPr>
        <w:pStyle w:val="biaogeleft"/>
        <w:spacing w:line="360" w:lineRule="auto"/>
        <w:ind w:firstLine="480"/>
        <w:rPr>
          <w:color w:val="000000"/>
        </w:rPr>
      </w:pPr>
    </w:p>
    <w:p w:rsidR="00284F42" w:rsidRDefault="00A43BAA">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284F42" w:rsidRDefault="00284F42">
      <w:pPr>
        <w:widowControl/>
        <w:jc w:val="left"/>
        <w:rPr>
          <w:rFonts w:ascii="宋体" w:hAnsi="宋体" w:cs="宋体"/>
          <w:kern w:val="0"/>
          <w:sz w:val="24"/>
          <w:szCs w:val="24"/>
        </w:rPr>
      </w:pPr>
    </w:p>
    <w:p w:rsidR="00284F42" w:rsidRDefault="00A43BAA">
      <w:pPr>
        <w:pStyle w:val="zhangjiep"/>
      </w:pPr>
      <w:bookmarkStart w:id="5" w:name="_Toc61271615"/>
      <w:r>
        <w:rPr>
          <w:rFonts w:hint="eastAsia"/>
          <w:b/>
          <w:bCs/>
        </w:rPr>
        <w:t xml:space="preserve">5.1 </w:t>
      </w:r>
      <w:r>
        <w:rPr>
          <w:rFonts w:hint="eastAsia"/>
          <w:b/>
          <w:bCs/>
        </w:rPr>
        <w:t>资产负债表</w:t>
      </w:r>
      <w:bookmarkEnd w:id="5"/>
    </w:p>
    <w:p w:rsidR="00284F42" w:rsidRDefault="00A43BAA">
      <w:pPr>
        <w:pStyle w:val="biaogeleft"/>
      </w:pPr>
      <w:r>
        <w:rPr>
          <w:rFonts w:hint="eastAsia"/>
        </w:rPr>
        <w:t>会计主体：南京银行珠联璧合逸稳</w:t>
      </w:r>
      <w:r>
        <w:rPr>
          <w:rFonts w:hint="eastAsia"/>
        </w:rPr>
        <w:t>22W399D</w:t>
      </w:r>
      <w:r>
        <w:rPr>
          <w:rFonts w:hint="eastAsia"/>
        </w:rPr>
        <w:t>封闭式公募人民币理财产品</w:t>
      </w:r>
    </w:p>
    <w:p w:rsidR="00284F42" w:rsidRDefault="00A43BAA">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284F42" w:rsidRDefault="00A43BA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Ansi="Calibri" w:hint="eastAsia"/>
                <w:color w:val="000000"/>
              </w:rPr>
              <w:t>本期末</w:t>
            </w:r>
            <w:r>
              <w:rPr>
                <w:rFonts w:hAnsi="Calibri" w:hint="eastAsia"/>
                <w:color w:val="000000"/>
              </w:rPr>
              <w:t> </w:t>
            </w:r>
          </w:p>
          <w:p w:rsidR="00284F42" w:rsidRDefault="00A43BAA">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rPr>
              <w:t> </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t>3,702,300.99</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t>26,101.66</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94,597,645.00</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pPr>
            <w:r>
              <w:rPr>
                <w:rFonts w:hint="eastAsia"/>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pPr>
            <w:r>
              <w:rPr>
                <w:rFonts w:hint="eastAsia"/>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94,597,645.00</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pPr>
            <w:r>
              <w:rPr>
                <w:rFonts w:hint="eastAsia"/>
              </w:rPr>
              <w:lastRenderedPageBreak/>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pPr>
            <w:r>
              <w:rPr>
                <w:rFonts w:hint="eastAsia"/>
              </w:rPr>
              <w:t>贵金属投资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衍生金融资产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3,311,590.40</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3,297,808.22</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递延所得税资产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402,978,258.71</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507,913,704.98</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rPr>
              <w:t>本期末</w:t>
            </w:r>
            <w:r>
              <w:rPr>
                <w:rFonts w:hint="eastAsia"/>
              </w:rPr>
              <w:t> </w:t>
            </w:r>
          </w:p>
          <w:p w:rsidR="00284F42" w:rsidRDefault="00A43BAA">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rPr>
              <w:t> </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278,688.48</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27,868.44</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278,688.48</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141,877.83</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递延所得税负债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727,123.23</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rPr>
              <w:t> </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500,000,000.00</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7,186,581.75</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lastRenderedPageBreak/>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507,186,581.75</w:t>
            </w:r>
          </w:p>
        </w:tc>
      </w:tr>
      <w:tr w:rsidR="00284F42">
        <w:tc>
          <w:tcPr>
            <w:tcW w:w="3660"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507,913,704.98</w:t>
            </w:r>
          </w:p>
        </w:tc>
      </w:tr>
    </w:tbl>
    <w:p w:rsidR="00284F42" w:rsidRDefault="00284F42">
      <w:pPr>
        <w:widowControl/>
        <w:jc w:val="left"/>
        <w:rPr>
          <w:rFonts w:ascii="宋体" w:hAnsi="宋体" w:cs="宋体"/>
          <w:kern w:val="0"/>
          <w:sz w:val="24"/>
          <w:szCs w:val="24"/>
        </w:rPr>
      </w:pPr>
    </w:p>
    <w:p w:rsidR="00284F42" w:rsidRDefault="00A43BAA">
      <w:pPr>
        <w:pStyle w:val="zhangjiep"/>
      </w:pPr>
      <w:bookmarkStart w:id="6" w:name="_Toc61427824"/>
      <w:r>
        <w:rPr>
          <w:rFonts w:hint="eastAsia"/>
          <w:b/>
          <w:bCs/>
        </w:rPr>
        <w:t xml:space="preserve">5.2 </w:t>
      </w:r>
      <w:r>
        <w:rPr>
          <w:rFonts w:hint="eastAsia"/>
          <w:b/>
          <w:bCs/>
        </w:rPr>
        <w:t>利润表</w:t>
      </w:r>
      <w:bookmarkEnd w:id="6"/>
    </w:p>
    <w:p w:rsidR="00284F42" w:rsidRDefault="00A43BAA">
      <w:pPr>
        <w:pStyle w:val="biaogeleft"/>
      </w:pPr>
      <w:r>
        <w:rPr>
          <w:rFonts w:hint="eastAsia"/>
        </w:rPr>
        <w:t>会计主体：南京银行珠联璧合逸稳</w:t>
      </w:r>
      <w:r>
        <w:rPr>
          <w:rFonts w:hint="eastAsia"/>
        </w:rPr>
        <w:t>22W399D</w:t>
      </w:r>
      <w:r>
        <w:rPr>
          <w:rFonts w:hint="eastAsia"/>
        </w:rPr>
        <w:t>封闭式公募人民币理财产品</w:t>
      </w:r>
    </w:p>
    <w:p w:rsidR="00284F42" w:rsidRDefault="00A43BAA">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09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284F42" w:rsidRDefault="00A43BA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284F42">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09</w:t>
            </w:r>
            <w:r>
              <w:rPr>
                <w:rFonts w:hint="eastAsia"/>
              </w:rPr>
              <w:t>月</w:t>
            </w:r>
            <w:r>
              <w:rPr>
                <w:rFonts w:hint="eastAsia"/>
              </w:rPr>
              <w:t>09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284F42">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284F42" w:rsidRDefault="00284F42">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284F42" w:rsidRDefault="00284F42">
            <w:pPr>
              <w:widowControl/>
              <w:jc w:val="left"/>
              <w:rPr>
                <w:rFonts w:asciiTheme="minorEastAsia" w:eastAsiaTheme="minorEastAsia" w:hAnsiTheme="minorEastAsia" w:cs="宋体"/>
                <w:kern w:val="0"/>
                <w:sz w:val="24"/>
                <w:szCs w:val="24"/>
              </w:rPr>
            </w:pP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b/>
                <w:bCs/>
                <w:color w:val="000000"/>
              </w:rPr>
              <w:t>7,859,398.94</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1,729,240.06</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26,208.24</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1,703,031.82</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ascii="Arial" w:hAnsi="Arial" w:cs="Arial"/>
                <w:color w:val="000000"/>
              </w:rPr>
              <w:t xml:space="preserve">　</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2,928,403.71</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 xml:space="preserve">　</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3,201,755.17</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b/>
                <w:bCs/>
                <w:color w:val="000000"/>
              </w:rPr>
              <w:t>672,817.19</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311,475.36</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31,147.08</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311,475.36</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662.05</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17,657.34</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color w:val="000000"/>
              </w:rPr>
              <w:t>400.00</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b/>
                <w:bCs/>
                <w:color w:val="000000"/>
              </w:rPr>
              <w:t>7,186,581.75</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ascii="Arial" w:hAnsi="Arial" w:cs="Arial"/>
                <w:color w:val="000000"/>
              </w:rPr>
              <w:t xml:space="preserve">　</w:t>
            </w:r>
          </w:p>
        </w:tc>
      </w:tr>
      <w:tr w:rsidR="00284F42">
        <w:tc>
          <w:tcPr>
            <w:tcW w:w="2969" w:type="dxa"/>
            <w:tcBorders>
              <w:top w:val="single" w:sz="8" w:space="0" w:color="000000"/>
              <w:left w:val="single" w:sz="8" w:space="0" w:color="000000"/>
              <w:bottom w:val="single" w:sz="8" w:space="0" w:color="000000"/>
              <w:right w:val="single" w:sz="8" w:space="0" w:color="000000"/>
            </w:tcBorders>
            <w:vAlign w:val="center"/>
          </w:tcPr>
          <w:p w:rsidR="00284F42" w:rsidRDefault="00A43BAA">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rPr>
                <w:rFonts w:asciiTheme="minorEastAsia" w:eastAsiaTheme="minorEastAsia" w:hAnsiTheme="minorEastAsia"/>
              </w:rPr>
            </w:pPr>
            <w:r>
              <w:rPr>
                <w:rFonts w:cs="Arial" w:hint="eastAsia"/>
                <w:b/>
                <w:bCs/>
                <w:color w:val="000000"/>
              </w:rPr>
              <w:t>7,186,581.75</w:t>
            </w:r>
          </w:p>
        </w:tc>
      </w:tr>
    </w:tbl>
    <w:p w:rsidR="00284F42" w:rsidRDefault="00284F42">
      <w:pPr>
        <w:widowControl/>
        <w:jc w:val="left"/>
        <w:rPr>
          <w:rFonts w:ascii="宋体" w:hAnsi="宋体" w:cs="宋体"/>
          <w:kern w:val="0"/>
          <w:sz w:val="24"/>
          <w:szCs w:val="24"/>
        </w:rPr>
      </w:pPr>
    </w:p>
    <w:p w:rsidR="00284F42" w:rsidRDefault="00A43BAA">
      <w:pPr>
        <w:pStyle w:val="zhangjiep"/>
      </w:pPr>
      <w:bookmarkStart w:id="7" w:name="_Toc61427825"/>
      <w:r>
        <w:rPr>
          <w:rFonts w:hint="eastAsia"/>
          <w:b/>
          <w:bCs/>
        </w:rPr>
        <w:t xml:space="preserve">5.3 </w:t>
      </w:r>
      <w:r>
        <w:rPr>
          <w:rFonts w:hint="eastAsia"/>
          <w:b/>
          <w:bCs/>
        </w:rPr>
        <w:t>所有者权益（基金净值）变动表</w:t>
      </w:r>
      <w:bookmarkEnd w:id="7"/>
    </w:p>
    <w:p w:rsidR="00284F42" w:rsidRDefault="00A43BAA">
      <w:pPr>
        <w:pStyle w:val="biaogeleft"/>
      </w:pPr>
      <w:r>
        <w:rPr>
          <w:rFonts w:hint="eastAsia"/>
        </w:rPr>
        <w:t>会计主体：南京银行珠联璧合逸稳</w:t>
      </w:r>
      <w:r>
        <w:rPr>
          <w:rFonts w:hint="eastAsia"/>
        </w:rPr>
        <w:t>22W399D</w:t>
      </w:r>
      <w:r>
        <w:rPr>
          <w:rFonts w:hint="eastAsia"/>
        </w:rPr>
        <w:t>封闭式公募人民币理财产品</w:t>
      </w:r>
    </w:p>
    <w:p w:rsidR="00284F42" w:rsidRDefault="00A43BAA">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09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284F42" w:rsidRDefault="00A43BA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284F42">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rPr>
              <w:t>本期</w:t>
            </w:r>
            <w:r>
              <w:rPr>
                <w:rFonts w:hint="eastAsia"/>
              </w:rPr>
              <w:t> </w:t>
            </w:r>
          </w:p>
          <w:p w:rsidR="00284F42" w:rsidRDefault="00A43BAA">
            <w:pPr>
              <w:pStyle w:val="biaogecenter"/>
              <w:wordWrap w:val="0"/>
            </w:pPr>
            <w:r>
              <w:rPr>
                <w:rFonts w:hint="eastAsia"/>
              </w:rPr>
              <w:t>2020</w:t>
            </w:r>
            <w:r>
              <w:rPr>
                <w:rFonts w:hint="eastAsia"/>
              </w:rPr>
              <w:t>年</w:t>
            </w:r>
            <w:r>
              <w:rPr>
                <w:rFonts w:hint="eastAsia"/>
              </w:rPr>
              <w:t>09</w:t>
            </w:r>
            <w:r>
              <w:rPr>
                <w:rFonts w:hint="eastAsia"/>
              </w:rPr>
              <w:t>月</w:t>
            </w:r>
            <w:r>
              <w:rPr>
                <w:rFonts w:hint="eastAsia"/>
              </w:rPr>
              <w:t>09</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284F42">
        <w:tc>
          <w:tcPr>
            <w:tcW w:w="2116" w:type="dxa"/>
            <w:vMerge/>
            <w:tcBorders>
              <w:top w:val="single" w:sz="8" w:space="0" w:color="000000"/>
              <w:left w:val="single" w:sz="8" w:space="0" w:color="000000"/>
              <w:bottom w:val="single" w:sz="8" w:space="0" w:color="000000"/>
              <w:right w:val="single" w:sz="8" w:space="0" w:color="000000"/>
            </w:tcBorders>
            <w:vAlign w:val="center"/>
          </w:tcPr>
          <w:p w:rsidR="00284F42" w:rsidRDefault="00284F42">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rPr>
              <w:t>所有者权益合计</w:t>
            </w:r>
            <w:r>
              <w:rPr>
                <w:rFonts w:hint="eastAsia"/>
              </w:rPr>
              <w:t> </w:t>
            </w:r>
          </w:p>
        </w:tc>
      </w:tr>
      <w:tr w:rsidR="00284F42">
        <w:tc>
          <w:tcPr>
            <w:tcW w:w="211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500,000,000.00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500,000,000.00</w:t>
            </w:r>
          </w:p>
        </w:tc>
      </w:tr>
      <w:tr w:rsidR="00284F42">
        <w:tc>
          <w:tcPr>
            <w:tcW w:w="211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7,186,581.75</w:t>
            </w:r>
          </w:p>
        </w:tc>
        <w:tc>
          <w:tcPr>
            <w:tcW w:w="2484"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7,186,581.75</w:t>
            </w:r>
          </w:p>
        </w:tc>
      </w:tr>
      <w:tr w:rsidR="00284F42">
        <w:tc>
          <w:tcPr>
            <w:tcW w:w="211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三、本期基金份额交易产生的基金</w:t>
            </w:r>
            <w:r>
              <w:rPr>
                <w:rFonts w:hint="eastAsia"/>
              </w:rPr>
              <w:lastRenderedPageBreak/>
              <w:t>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211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211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211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w:t>
            </w:r>
          </w:p>
        </w:tc>
      </w:tr>
      <w:tr w:rsidR="00284F42">
        <w:tc>
          <w:tcPr>
            <w:tcW w:w="211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500,000,000.00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7,186,581.75</w:t>
            </w:r>
          </w:p>
        </w:tc>
        <w:tc>
          <w:tcPr>
            <w:tcW w:w="2484"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right"/>
              <w:wordWrap w:val="0"/>
            </w:pPr>
            <w:r>
              <w:rPr>
                <w:rFonts w:hint="eastAsia"/>
              </w:rPr>
              <w:t>507,186,581.75</w:t>
            </w:r>
          </w:p>
        </w:tc>
      </w:tr>
    </w:tbl>
    <w:p w:rsidR="00284F42" w:rsidRDefault="00284F42">
      <w:pPr>
        <w:widowControl/>
        <w:autoSpaceDE w:val="0"/>
        <w:autoSpaceDN w:val="0"/>
        <w:adjustRightInd w:val="0"/>
        <w:spacing w:line="288" w:lineRule="auto"/>
        <w:jc w:val="right"/>
        <w:rPr>
          <w:rFonts w:ascii="宋体" w:hAnsi="宋体" w:cs="宋体"/>
          <w:kern w:val="0"/>
          <w:sz w:val="24"/>
          <w:szCs w:val="24"/>
        </w:rPr>
      </w:pPr>
    </w:p>
    <w:p w:rsidR="00284F42" w:rsidRDefault="00284F42">
      <w:pPr>
        <w:pStyle w:val="biaogeleft"/>
        <w:spacing w:line="360" w:lineRule="auto"/>
        <w:ind w:firstLine="480"/>
        <w:rPr>
          <w:color w:val="000000"/>
        </w:rPr>
      </w:pPr>
    </w:p>
    <w:p w:rsidR="00284F42" w:rsidRDefault="00A43BAA">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284F42" w:rsidRDefault="00284F42">
      <w:pPr>
        <w:widowControl/>
        <w:jc w:val="left"/>
        <w:rPr>
          <w:rFonts w:ascii="宋体" w:hAnsi="宋体" w:cs="宋体"/>
          <w:color w:val="000000"/>
          <w:kern w:val="0"/>
          <w:sz w:val="24"/>
          <w:szCs w:val="24"/>
        </w:rPr>
      </w:pPr>
    </w:p>
    <w:p w:rsidR="00284F42" w:rsidRDefault="00A43BAA">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284F42">
        <w:tc>
          <w:tcPr>
            <w:tcW w:w="891" w:type="dxa"/>
            <w:tcBorders>
              <w:top w:val="single" w:sz="8" w:space="0" w:color="000000"/>
              <w:left w:val="single" w:sz="8" w:space="0" w:color="000000"/>
              <w:bottom w:val="single" w:sz="6" w:space="0" w:color="000000"/>
              <w:right w:val="single" w:sz="8" w:space="0" w:color="000000"/>
            </w:tcBorders>
            <w:vAlign w:val="bottom"/>
          </w:tcPr>
          <w:p w:rsidR="00284F42" w:rsidRDefault="00A43BAA">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284F42" w:rsidRDefault="00A43BAA">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284F42" w:rsidRDefault="00A43BAA">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284F42" w:rsidRDefault="00A43BAA">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94,597,645.00</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18.62</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39.38</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202,978,258.71</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39.96</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3,702,300.99</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0.73</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26,101.66</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0.01</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3,311,590.40</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0.65</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3,297,808.22</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0.65</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284F42">
        <w:tc>
          <w:tcPr>
            <w:tcW w:w="89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284F42">
        <w:tc>
          <w:tcPr>
            <w:tcW w:w="891" w:type="dxa"/>
            <w:tcBorders>
              <w:top w:val="single" w:sz="8" w:space="0" w:color="000000"/>
              <w:left w:val="single" w:sz="8" w:space="0" w:color="000000"/>
              <w:bottom w:val="single" w:sz="8"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284F42">
        <w:tc>
          <w:tcPr>
            <w:tcW w:w="891" w:type="dxa"/>
            <w:tcBorders>
              <w:top w:val="single" w:sz="8" w:space="0" w:color="000000"/>
              <w:left w:val="single" w:sz="8" w:space="0" w:color="000000"/>
              <w:bottom w:val="single" w:sz="8" w:space="0" w:color="000000"/>
              <w:right w:val="single" w:sz="8" w:space="0" w:color="000000"/>
            </w:tcBorders>
            <w:vAlign w:val="center"/>
          </w:tcPr>
          <w:p w:rsidR="00284F42" w:rsidRDefault="00A43BA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284F42" w:rsidRDefault="00A43BA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507,913,704.98</w:t>
            </w:r>
          </w:p>
        </w:tc>
        <w:tc>
          <w:tcPr>
            <w:tcW w:w="2395" w:type="dxa"/>
            <w:tcBorders>
              <w:top w:val="single" w:sz="8" w:space="0" w:color="000000"/>
              <w:left w:val="single" w:sz="8" w:space="0" w:color="000000"/>
              <w:bottom w:val="single" w:sz="8" w:space="0" w:color="000000"/>
              <w:right w:val="single" w:sz="8" w:space="0" w:color="000000"/>
            </w:tcBorders>
            <w:vAlign w:val="center"/>
          </w:tcPr>
          <w:p w:rsidR="00284F42" w:rsidRDefault="00A43BA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284F42" w:rsidRDefault="00284F42">
      <w:pPr>
        <w:widowControl/>
        <w:jc w:val="left"/>
        <w:rPr>
          <w:rFonts w:ascii="宋体" w:hAnsi="宋体" w:cs="宋体"/>
          <w:color w:val="000000"/>
          <w:kern w:val="0"/>
          <w:sz w:val="24"/>
          <w:szCs w:val="24"/>
        </w:rPr>
      </w:pPr>
    </w:p>
    <w:p w:rsidR="00284F42" w:rsidRDefault="00A43BAA">
      <w:pPr>
        <w:pStyle w:val="zhangjiep"/>
        <w:rPr>
          <w:b/>
          <w:bCs/>
          <w:color w:val="000000"/>
        </w:rPr>
      </w:pPr>
      <w:r>
        <w:rPr>
          <w:rFonts w:hint="eastAsia"/>
          <w:b/>
          <w:bCs/>
          <w:color w:val="000000"/>
        </w:rPr>
        <w:lastRenderedPageBreak/>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284F42">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284F42" w:rsidRDefault="00A43BAA">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284F42" w:rsidRDefault="00A43BAA">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284F42" w:rsidRDefault="00A43BAA">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284F42" w:rsidRDefault="00A43BAA">
            <w:pPr>
              <w:pStyle w:val="biaogecenter"/>
              <w:wordWrap w:val="0"/>
              <w:rPr>
                <w:color w:val="000000"/>
              </w:rPr>
            </w:pPr>
            <w:r>
              <w:rPr>
                <w:rFonts w:hint="eastAsia"/>
                <w:color w:val="000000"/>
              </w:rPr>
              <w:t>占产品资产净值比例（％）</w:t>
            </w:r>
          </w:p>
        </w:tc>
      </w:tr>
      <w:tr w:rsidR="00284F4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84F42" w:rsidRDefault="00A43BAA">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202,978,258.71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40.02%</w:t>
            </w:r>
          </w:p>
        </w:tc>
      </w:tr>
      <w:tr w:rsidR="00284F4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84F42" w:rsidRDefault="00A43BAA">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20088163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常州新航</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100,000,000.00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19.72%</w:t>
            </w:r>
          </w:p>
        </w:tc>
      </w:tr>
      <w:tr w:rsidR="00284F4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84F42" w:rsidRDefault="00A43BAA">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20088168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镇江城建</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100,000,000.00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19.72%</w:t>
            </w:r>
          </w:p>
        </w:tc>
      </w:tr>
      <w:tr w:rsidR="00284F4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84F42" w:rsidRDefault="00A43BAA">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167283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G20</w:t>
            </w:r>
            <w:r>
              <w:rPr>
                <w:rFonts w:ascii="宋体" w:hAnsi="宋体" w:cs="宋体" w:hint="eastAsia"/>
                <w:color w:val="000000"/>
                <w:kern w:val="0"/>
                <w:sz w:val="24"/>
                <w:szCs w:val="24"/>
              </w:rPr>
              <w:t>宁经</w:t>
            </w:r>
            <w:r>
              <w:rPr>
                <w:rFonts w:ascii="宋体" w:hAnsi="宋体" w:cs="宋体" w:hint="eastAsia"/>
                <w:color w:val="000000"/>
                <w:kern w:val="0"/>
                <w:sz w:val="24"/>
                <w:szCs w:val="24"/>
              </w:rPr>
              <w:t>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34,353,865.00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6.77%</w:t>
            </w:r>
          </w:p>
        </w:tc>
      </w:tr>
      <w:tr w:rsidR="00284F4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84F42" w:rsidRDefault="00A43BAA">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162936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G20</w:t>
            </w:r>
            <w:r>
              <w:rPr>
                <w:rFonts w:ascii="宋体" w:hAnsi="宋体" w:cs="宋体" w:hint="eastAsia"/>
                <w:color w:val="000000"/>
                <w:kern w:val="0"/>
                <w:sz w:val="24"/>
                <w:szCs w:val="24"/>
              </w:rPr>
              <w:t>洞庭</w:t>
            </w:r>
            <w:r>
              <w:rPr>
                <w:rFonts w:ascii="宋体" w:hAnsi="宋体" w:cs="宋体" w:hint="eastAsia"/>
                <w:color w:val="000000"/>
                <w:kern w:val="0"/>
                <w:sz w:val="24"/>
                <w:szCs w:val="24"/>
              </w:rPr>
              <w:t>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30,343,080.00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5.98%</w:t>
            </w:r>
          </w:p>
        </w:tc>
      </w:tr>
      <w:tr w:rsidR="00284F4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84F42" w:rsidRDefault="00A43BAA">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166483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rPr>
                <w:rFonts w:ascii="宋体" w:hAnsi="宋体" w:cs="宋体"/>
                <w:color w:val="000000"/>
                <w:kern w:val="0"/>
                <w:sz w:val="24"/>
                <w:szCs w:val="24"/>
              </w:rPr>
            </w:pPr>
            <w:r>
              <w:rPr>
                <w:rFonts w:ascii="宋体" w:hAnsi="宋体" w:cs="宋体" w:hint="eastAsia"/>
                <w:color w:val="000000"/>
                <w:kern w:val="0"/>
                <w:sz w:val="24"/>
                <w:szCs w:val="24"/>
              </w:rPr>
              <w:t>G20</w:t>
            </w:r>
            <w:r>
              <w:rPr>
                <w:rFonts w:ascii="宋体" w:hAnsi="宋体" w:cs="宋体" w:hint="eastAsia"/>
                <w:color w:val="000000"/>
                <w:kern w:val="0"/>
                <w:sz w:val="24"/>
                <w:szCs w:val="24"/>
              </w:rPr>
              <w:t>建湖</w:t>
            </w:r>
            <w:r>
              <w:rPr>
                <w:rFonts w:ascii="宋体" w:hAnsi="宋体" w:cs="宋体" w:hint="eastAsia"/>
                <w:color w:val="000000"/>
                <w:kern w:val="0"/>
                <w:sz w:val="24"/>
                <w:szCs w:val="24"/>
              </w:rPr>
              <w:t>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29,900,700.00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284F42" w:rsidRDefault="00A43BAA">
            <w:pPr>
              <w:jc w:val="right"/>
              <w:rPr>
                <w:rFonts w:ascii="宋体" w:hAnsi="宋体" w:cs="宋体"/>
                <w:color w:val="000000"/>
                <w:kern w:val="0"/>
                <w:sz w:val="24"/>
                <w:szCs w:val="24"/>
              </w:rPr>
            </w:pPr>
            <w:r>
              <w:rPr>
                <w:rFonts w:ascii="宋体" w:hAnsi="宋体" w:cs="宋体" w:hint="eastAsia"/>
                <w:color w:val="000000"/>
                <w:kern w:val="0"/>
                <w:sz w:val="24"/>
                <w:szCs w:val="24"/>
              </w:rPr>
              <w:t>5.90%</w:t>
            </w:r>
          </w:p>
        </w:tc>
      </w:tr>
    </w:tbl>
    <w:p w:rsidR="00284F42" w:rsidRDefault="00284F42">
      <w:pPr>
        <w:widowControl/>
        <w:jc w:val="left"/>
        <w:rPr>
          <w:rFonts w:ascii="宋体" w:hAnsi="宋体" w:cs="宋体"/>
          <w:b/>
          <w:sz w:val="24"/>
          <w:szCs w:val="24"/>
          <w:shd w:val="clear" w:color="auto" w:fill="FFFFFF"/>
        </w:rPr>
      </w:pPr>
    </w:p>
    <w:p w:rsidR="00284F42" w:rsidRDefault="00A43BAA">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284F42" w:rsidRDefault="00284F42">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284F42">
        <w:tc>
          <w:tcPr>
            <w:tcW w:w="709"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风险状况</w:t>
            </w:r>
          </w:p>
        </w:tc>
      </w:tr>
      <w:tr w:rsidR="00284F42">
        <w:tc>
          <w:tcPr>
            <w:tcW w:w="70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常州新航建设发展集团有限公司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20</w:t>
            </w:r>
            <w:r>
              <w:rPr>
                <w:rFonts w:hint="eastAsia"/>
                <w:shd w:val="clear" w:color="auto" w:fill="FFFFFF"/>
              </w:rPr>
              <w:t>常州新航</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253</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w:t>
            </w:r>
          </w:p>
        </w:tc>
      </w:tr>
      <w:tr w:rsidR="00284F42">
        <w:tc>
          <w:tcPr>
            <w:tcW w:w="709"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镇江城市建设产业集团有限公司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20</w:t>
            </w:r>
            <w:r>
              <w:rPr>
                <w:rFonts w:hint="eastAsia"/>
                <w:shd w:val="clear" w:color="auto" w:fill="FFFFFF"/>
              </w:rPr>
              <w:t>镇江城建</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258</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284F42" w:rsidRDefault="00A43BAA">
            <w:pPr>
              <w:pStyle w:val="biaogecenter"/>
              <w:wordWrap w:val="0"/>
              <w:rPr>
                <w:shd w:val="clear" w:color="auto" w:fill="FFFFFF"/>
              </w:rPr>
            </w:pPr>
            <w:r>
              <w:rPr>
                <w:rFonts w:hint="eastAsia"/>
                <w:shd w:val="clear" w:color="auto" w:fill="FFFFFF"/>
              </w:rPr>
              <w:t>-</w:t>
            </w:r>
          </w:p>
        </w:tc>
      </w:tr>
    </w:tbl>
    <w:p w:rsidR="00284F42" w:rsidRDefault="00284F42">
      <w:pPr>
        <w:widowControl/>
        <w:jc w:val="left"/>
        <w:rPr>
          <w:rFonts w:ascii="宋体" w:hAnsi="宋体" w:cs="宋体"/>
          <w:color w:val="000000"/>
          <w:kern w:val="0"/>
          <w:sz w:val="24"/>
          <w:szCs w:val="24"/>
        </w:rPr>
      </w:pPr>
    </w:p>
    <w:p w:rsidR="00284F42" w:rsidRDefault="00284F42">
      <w:pPr>
        <w:widowControl/>
        <w:jc w:val="left"/>
        <w:rPr>
          <w:rFonts w:ascii="宋体" w:hAnsi="宋体" w:cs="宋体"/>
          <w:color w:val="000000"/>
          <w:kern w:val="0"/>
          <w:sz w:val="24"/>
          <w:szCs w:val="24"/>
        </w:rPr>
      </w:pPr>
    </w:p>
    <w:p w:rsidR="00284F42" w:rsidRDefault="00A43BAA">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284F42" w:rsidRDefault="00A43BA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284F42" w:rsidRDefault="00A43BA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284F42" w:rsidRDefault="00284F42">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284F42" w:rsidRDefault="00284F42">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284F42" w:rsidRDefault="00284F42">
      <w:pPr>
        <w:widowControl/>
        <w:jc w:val="left"/>
        <w:rPr>
          <w:rFonts w:ascii="宋体" w:hAnsi="宋体" w:cs="宋体"/>
          <w:color w:val="000000"/>
          <w:kern w:val="0"/>
          <w:sz w:val="24"/>
          <w:szCs w:val="24"/>
        </w:rPr>
      </w:pPr>
    </w:p>
    <w:p w:rsidR="00284F42" w:rsidRDefault="00284F42">
      <w:pPr>
        <w:widowControl/>
        <w:jc w:val="left"/>
        <w:rPr>
          <w:rFonts w:ascii="宋体" w:hAnsi="宋体" w:cs="宋体"/>
          <w:color w:val="000000"/>
          <w:kern w:val="0"/>
          <w:sz w:val="24"/>
          <w:szCs w:val="24"/>
        </w:rPr>
      </w:pPr>
    </w:p>
    <w:p w:rsidR="00284F42" w:rsidRDefault="00284F42">
      <w:pPr>
        <w:widowControl/>
        <w:jc w:val="left"/>
        <w:rPr>
          <w:rFonts w:ascii="宋体" w:hAnsi="宋体" w:cs="宋体"/>
          <w:color w:val="000000"/>
          <w:kern w:val="0"/>
          <w:sz w:val="24"/>
          <w:szCs w:val="24"/>
        </w:rPr>
      </w:pPr>
    </w:p>
    <w:p w:rsidR="00284F42" w:rsidRDefault="00284F42">
      <w:pPr>
        <w:widowControl/>
        <w:jc w:val="left"/>
        <w:rPr>
          <w:color w:val="000000"/>
        </w:rPr>
      </w:pPr>
    </w:p>
    <w:p w:rsidR="00284F42" w:rsidRDefault="00A43BAA">
      <w:pPr>
        <w:pStyle w:val="biaogeright"/>
        <w:rPr>
          <w:b/>
        </w:rPr>
      </w:pPr>
      <w:r>
        <w:rPr>
          <w:rFonts w:hint="eastAsia"/>
          <w:b/>
        </w:rPr>
        <w:t>南京银行股份有限公司</w:t>
      </w:r>
    </w:p>
    <w:p w:rsidR="00284F42" w:rsidRDefault="00A43BAA">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284F42" w:rsidRDefault="00284F42">
      <w:pPr>
        <w:pStyle w:val="biaogeright"/>
        <w:rPr>
          <w:color w:val="000000"/>
        </w:rPr>
      </w:pPr>
    </w:p>
    <w:sectPr w:rsidR="00284F42" w:rsidSect="00284F42">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BAA" w:rsidRDefault="00A43BAA" w:rsidP="00284F42">
      <w:r>
        <w:separator/>
      </w:r>
    </w:p>
  </w:endnote>
  <w:endnote w:type="continuationSeparator" w:id="1">
    <w:p w:rsidR="00A43BAA" w:rsidRDefault="00A43BAA" w:rsidP="00284F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F42" w:rsidRDefault="00284F42">
    <w:pPr>
      <w:pStyle w:val="a5"/>
      <w:framePr w:wrap="around" w:vAnchor="text" w:hAnchor="margin" w:xAlign="center" w:y="1"/>
      <w:rPr>
        <w:rStyle w:val="aa"/>
      </w:rPr>
    </w:pPr>
    <w:r>
      <w:fldChar w:fldCharType="begin"/>
    </w:r>
    <w:r w:rsidR="00A43BAA">
      <w:rPr>
        <w:rStyle w:val="aa"/>
      </w:rPr>
      <w:instrText xml:space="preserve">PAGE  </w:instrText>
    </w:r>
    <w:r>
      <w:fldChar w:fldCharType="end"/>
    </w:r>
  </w:p>
  <w:p w:rsidR="00284F42" w:rsidRDefault="00284F4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F42" w:rsidRDefault="00284F42">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60D" w:rsidRDefault="00A1760D">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F42" w:rsidRDefault="00284F42">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F42" w:rsidRDefault="00284F4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BAA" w:rsidRDefault="00A43BAA" w:rsidP="00284F42">
      <w:r>
        <w:separator/>
      </w:r>
    </w:p>
  </w:footnote>
  <w:footnote w:type="continuationSeparator" w:id="1">
    <w:p w:rsidR="00A43BAA" w:rsidRDefault="00A43BAA" w:rsidP="00284F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F42" w:rsidRDefault="00284F4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60D" w:rsidRDefault="00A1760D">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60D" w:rsidRDefault="00A1760D">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8F8"/>
    <w:rsid w:val="000060E5"/>
    <w:rsid w:val="000234FF"/>
    <w:rsid w:val="00032D4B"/>
    <w:rsid w:val="00034FF6"/>
    <w:rsid w:val="00044BFF"/>
    <w:rsid w:val="0005474A"/>
    <w:rsid w:val="00061725"/>
    <w:rsid w:val="00072777"/>
    <w:rsid w:val="000A3711"/>
    <w:rsid w:val="000D5066"/>
    <w:rsid w:val="000F6191"/>
    <w:rsid w:val="00130CE8"/>
    <w:rsid w:val="0014747B"/>
    <w:rsid w:val="00152201"/>
    <w:rsid w:val="00165B3A"/>
    <w:rsid w:val="00172A27"/>
    <w:rsid w:val="00176636"/>
    <w:rsid w:val="00183C84"/>
    <w:rsid w:val="001C05F9"/>
    <w:rsid w:val="001C5395"/>
    <w:rsid w:val="001E6760"/>
    <w:rsid w:val="00211F26"/>
    <w:rsid w:val="002263FC"/>
    <w:rsid w:val="00264A3A"/>
    <w:rsid w:val="00284F42"/>
    <w:rsid w:val="002A3AE9"/>
    <w:rsid w:val="002A5D8E"/>
    <w:rsid w:val="002C196E"/>
    <w:rsid w:val="002D296F"/>
    <w:rsid w:val="002D75D0"/>
    <w:rsid w:val="002E795C"/>
    <w:rsid w:val="002F6537"/>
    <w:rsid w:val="00305714"/>
    <w:rsid w:val="00313E71"/>
    <w:rsid w:val="00321CB7"/>
    <w:rsid w:val="003379A9"/>
    <w:rsid w:val="00350ADF"/>
    <w:rsid w:val="00355623"/>
    <w:rsid w:val="003A0419"/>
    <w:rsid w:val="003C4D3B"/>
    <w:rsid w:val="003E09EA"/>
    <w:rsid w:val="003E700F"/>
    <w:rsid w:val="003F0AC3"/>
    <w:rsid w:val="003F2309"/>
    <w:rsid w:val="003F2DD1"/>
    <w:rsid w:val="00456251"/>
    <w:rsid w:val="004B7A2C"/>
    <w:rsid w:val="004C1607"/>
    <w:rsid w:val="004C1BE1"/>
    <w:rsid w:val="005069D8"/>
    <w:rsid w:val="0056162E"/>
    <w:rsid w:val="00563B93"/>
    <w:rsid w:val="00567DB3"/>
    <w:rsid w:val="00575BEA"/>
    <w:rsid w:val="00581621"/>
    <w:rsid w:val="005B3434"/>
    <w:rsid w:val="005B3963"/>
    <w:rsid w:val="005E2884"/>
    <w:rsid w:val="005E5050"/>
    <w:rsid w:val="005F2C7B"/>
    <w:rsid w:val="005F4D04"/>
    <w:rsid w:val="005F7DA9"/>
    <w:rsid w:val="006054F8"/>
    <w:rsid w:val="00636A2B"/>
    <w:rsid w:val="0065419A"/>
    <w:rsid w:val="00654220"/>
    <w:rsid w:val="00663B94"/>
    <w:rsid w:val="00677F66"/>
    <w:rsid w:val="006C7F31"/>
    <w:rsid w:val="006E4E94"/>
    <w:rsid w:val="00730BEE"/>
    <w:rsid w:val="0073101E"/>
    <w:rsid w:val="00735153"/>
    <w:rsid w:val="00745421"/>
    <w:rsid w:val="0075053F"/>
    <w:rsid w:val="0075136B"/>
    <w:rsid w:val="00787809"/>
    <w:rsid w:val="007A4219"/>
    <w:rsid w:val="0080200C"/>
    <w:rsid w:val="00814110"/>
    <w:rsid w:val="00816A02"/>
    <w:rsid w:val="0082561A"/>
    <w:rsid w:val="008257BB"/>
    <w:rsid w:val="00844AEA"/>
    <w:rsid w:val="00846B2E"/>
    <w:rsid w:val="00853290"/>
    <w:rsid w:val="0085663C"/>
    <w:rsid w:val="008768AB"/>
    <w:rsid w:val="008926F7"/>
    <w:rsid w:val="008A7510"/>
    <w:rsid w:val="008C78BD"/>
    <w:rsid w:val="008F0FA3"/>
    <w:rsid w:val="00900D90"/>
    <w:rsid w:val="009354D6"/>
    <w:rsid w:val="00954DBC"/>
    <w:rsid w:val="00970A98"/>
    <w:rsid w:val="009A6654"/>
    <w:rsid w:val="009C781F"/>
    <w:rsid w:val="009D5296"/>
    <w:rsid w:val="009E6170"/>
    <w:rsid w:val="00A13824"/>
    <w:rsid w:val="00A1760D"/>
    <w:rsid w:val="00A37451"/>
    <w:rsid w:val="00A43BAA"/>
    <w:rsid w:val="00A4484F"/>
    <w:rsid w:val="00A641BC"/>
    <w:rsid w:val="00A76D4B"/>
    <w:rsid w:val="00A77C47"/>
    <w:rsid w:val="00A80F7F"/>
    <w:rsid w:val="00A9119C"/>
    <w:rsid w:val="00AA4549"/>
    <w:rsid w:val="00AC5144"/>
    <w:rsid w:val="00B13014"/>
    <w:rsid w:val="00B17559"/>
    <w:rsid w:val="00B33B19"/>
    <w:rsid w:val="00B404E6"/>
    <w:rsid w:val="00B4360D"/>
    <w:rsid w:val="00B61EA9"/>
    <w:rsid w:val="00B670D1"/>
    <w:rsid w:val="00B74DCA"/>
    <w:rsid w:val="00B9059B"/>
    <w:rsid w:val="00BC02E0"/>
    <w:rsid w:val="00BC3903"/>
    <w:rsid w:val="00BE47E0"/>
    <w:rsid w:val="00BF2F7B"/>
    <w:rsid w:val="00BF75C8"/>
    <w:rsid w:val="00C1762E"/>
    <w:rsid w:val="00C22DF9"/>
    <w:rsid w:val="00C25123"/>
    <w:rsid w:val="00C30A48"/>
    <w:rsid w:val="00C322C6"/>
    <w:rsid w:val="00C375A7"/>
    <w:rsid w:val="00C4669D"/>
    <w:rsid w:val="00C56E41"/>
    <w:rsid w:val="00C62DF8"/>
    <w:rsid w:val="00C640FB"/>
    <w:rsid w:val="00CA3A9F"/>
    <w:rsid w:val="00CB054E"/>
    <w:rsid w:val="00CC52D7"/>
    <w:rsid w:val="00D153CA"/>
    <w:rsid w:val="00D23AB6"/>
    <w:rsid w:val="00D42895"/>
    <w:rsid w:val="00D50309"/>
    <w:rsid w:val="00D51AA9"/>
    <w:rsid w:val="00D7264A"/>
    <w:rsid w:val="00D7713A"/>
    <w:rsid w:val="00D84E43"/>
    <w:rsid w:val="00D870DF"/>
    <w:rsid w:val="00D93DC0"/>
    <w:rsid w:val="00DB0C2F"/>
    <w:rsid w:val="00DB3BF6"/>
    <w:rsid w:val="00DC31CC"/>
    <w:rsid w:val="00DC728A"/>
    <w:rsid w:val="00DD1D6D"/>
    <w:rsid w:val="00DD2F3C"/>
    <w:rsid w:val="00E1059D"/>
    <w:rsid w:val="00E155DF"/>
    <w:rsid w:val="00E203D8"/>
    <w:rsid w:val="00E246E1"/>
    <w:rsid w:val="00E560F1"/>
    <w:rsid w:val="00E944FA"/>
    <w:rsid w:val="00E9797A"/>
    <w:rsid w:val="00EA7ABC"/>
    <w:rsid w:val="00EB2746"/>
    <w:rsid w:val="00EE0436"/>
    <w:rsid w:val="00F1465C"/>
    <w:rsid w:val="00F41324"/>
    <w:rsid w:val="00F57C12"/>
    <w:rsid w:val="00F609FD"/>
    <w:rsid w:val="00F859AB"/>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3E0273B"/>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9A49E1"/>
    <w:rsid w:val="5CA05A23"/>
    <w:rsid w:val="5EC71EB3"/>
    <w:rsid w:val="602D020F"/>
    <w:rsid w:val="60EA4BD2"/>
    <w:rsid w:val="62BD595C"/>
    <w:rsid w:val="66F47EBC"/>
    <w:rsid w:val="681903E9"/>
    <w:rsid w:val="68823415"/>
    <w:rsid w:val="6898111C"/>
    <w:rsid w:val="68A21F24"/>
    <w:rsid w:val="69CD677D"/>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F4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84F42"/>
    <w:pPr>
      <w:jc w:val="left"/>
    </w:pPr>
  </w:style>
  <w:style w:type="paragraph" w:styleId="a4">
    <w:name w:val="Balloon Text"/>
    <w:basedOn w:val="a"/>
    <w:link w:val="Char0"/>
    <w:uiPriority w:val="99"/>
    <w:unhideWhenUsed/>
    <w:qFormat/>
    <w:rsid w:val="00284F42"/>
    <w:rPr>
      <w:sz w:val="18"/>
      <w:szCs w:val="18"/>
    </w:rPr>
  </w:style>
  <w:style w:type="paragraph" w:styleId="a5">
    <w:name w:val="footer"/>
    <w:basedOn w:val="a"/>
    <w:link w:val="Char1"/>
    <w:uiPriority w:val="99"/>
    <w:unhideWhenUsed/>
    <w:qFormat/>
    <w:rsid w:val="00284F4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84F42"/>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284F42"/>
    <w:pPr>
      <w:snapToGrid w:val="0"/>
      <w:jc w:val="left"/>
    </w:pPr>
    <w:rPr>
      <w:sz w:val="18"/>
    </w:rPr>
  </w:style>
  <w:style w:type="paragraph" w:styleId="a8">
    <w:name w:val="Normal (Web)"/>
    <w:basedOn w:val="a"/>
    <w:qFormat/>
    <w:rsid w:val="00284F42"/>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284F42"/>
    <w:rPr>
      <w:b/>
      <w:bCs/>
    </w:rPr>
  </w:style>
  <w:style w:type="character" w:styleId="aa">
    <w:name w:val="page number"/>
    <w:basedOn w:val="a0"/>
    <w:uiPriority w:val="99"/>
    <w:unhideWhenUsed/>
    <w:qFormat/>
    <w:rsid w:val="00284F42"/>
  </w:style>
  <w:style w:type="character" w:styleId="ab">
    <w:name w:val="annotation reference"/>
    <w:uiPriority w:val="99"/>
    <w:unhideWhenUsed/>
    <w:qFormat/>
    <w:rsid w:val="00284F42"/>
    <w:rPr>
      <w:sz w:val="21"/>
      <w:szCs w:val="21"/>
    </w:rPr>
  </w:style>
  <w:style w:type="character" w:styleId="ac">
    <w:name w:val="footnote reference"/>
    <w:uiPriority w:val="99"/>
    <w:unhideWhenUsed/>
    <w:qFormat/>
    <w:rsid w:val="00284F42"/>
    <w:rPr>
      <w:vertAlign w:val="superscript"/>
    </w:rPr>
  </w:style>
  <w:style w:type="character" w:customStyle="1" w:styleId="Char0">
    <w:name w:val="批注框文本 Char"/>
    <w:link w:val="a4"/>
    <w:uiPriority w:val="99"/>
    <w:semiHidden/>
    <w:qFormat/>
    <w:rsid w:val="00284F42"/>
    <w:rPr>
      <w:kern w:val="2"/>
      <w:sz w:val="18"/>
      <w:szCs w:val="18"/>
    </w:rPr>
  </w:style>
  <w:style w:type="character" w:customStyle="1" w:styleId="Char2">
    <w:name w:val="页眉 Char"/>
    <w:link w:val="a6"/>
    <w:uiPriority w:val="99"/>
    <w:semiHidden/>
    <w:qFormat/>
    <w:locked/>
    <w:rsid w:val="00284F42"/>
    <w:rPr>
      <w:rFonts w:ascii="Times New Roman" w:hAnsi="Times New Roman" w:cs="Times New Roman" w:hint="default"/>
      <w:sz w:val="18"/>
      <w:szCs w:val="18"/>
    </w:rPr>
  </w:style>
  <w:style w:type="character" w:customStyle="1" w:styleId="Char3">
    <w:name w:val="批注主题 Char"/>
    <w:link w:val="a9"/>
    <w:uiPriority w:val="99"/>
    <w:semiHidden/>
    <w:qFormat/>
    <w:rsid w:val="00284F42"/>
    <w:rPr>
      <w:b/>
      <w:bCs/>
      <w:kern w:val="2"/>
      <w:sz w:val="21"/>
      <w:szCs w:val="22"/>
    </w:rPr>
  </w:style>
  <w:style w:type="character" w:customStyle="1" w:styleId="Char1">
    <w:name w:val="页脚 Char"/>
    <w:link w:val="a5"/>
    <w:uiPriority w:val="99"/>
    <w:semiHidden/>
    <w:qFormat/>
    <w:locked/>
    <w:rsid w:val="00284F42"/>
    <w:rPr>
      <w:rFonts w:ascii="Times New Roman" w:hAnsi="Times New Roman" w:cs="Times New Roman" w:hint="default"/>
      <w:sz w:val="18"/>
      <w:szCs w:val="18"/>
    </w:rPr>
  </w:style>
  <w:style w:type="character" w:customStyle="1" w:styleId="Char">
    <w:name w:val="批注文字 Char"/>
    <w:link w:val="a3"/>
    <w:uiPriority w:val="99"/>
    <w:qFormat/>
    <w:rsid w:val="00284F42"/>
    <w:rPr>
      <w:kern w:val="2"/>
      <w:sz w:val="21"/>
      <w:szCs w:val="22"/>
    </w:rPr>
  </w:style>
  <w:style w:type="paragraph" w:customStyle="1" w:styleId="zhongyaotishi">
    <w:name w:val="zhongyaotishi"/>
    <w:basedOn w:val="a"/>
    <w:qFormat/>
    <w:rsid w:val="00284F42"/>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284F42"/>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284F42"/>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284F42"/>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284F42"/>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284F42"/>
    <w:pPr>
      <w:widowControl w:val="0"/>
      <w:jc w:val="center"/>
    </w:pPr>
    <w:rPr>
      <w:kern w:val="2"/>
      <w:sz w:val="33"/>
      <w:szCs w:val="22"/>
    </w:rPr>
  </w:style>
  <w:style w:type="paragraph" w:customStyle="1" w:styleId="biaogeleft">
    <w:name w:val="biaoge_left"/>
    <w:basedOn w:val="a"/>
    <w:qFormat/>
    <w:rsid w:val="00284F42"/>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284F42"/>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284F42"/>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284F42"/>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284F42"/>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284F42"/>
    <w:pPr>
      <w:widowControl w:val="0"/>
    </w:pPr>
    <w:rPr>
      <w:kern w:val="2"/>
      <w:sz w:val="21"/>
      <w:szCs w:val="22"/>
    </w:rPr>
  </w:style>
  <w:style w:type="paragraph" w:customStyle="1" w:styleId="neirong">
    <w:name w:val="neirong"/>
    <w:basedOn w:val="a"/>
    <w:qFormat/>
    <w:rsid w:val="00284F42"/>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284F4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Pages>
  <Words>759</Words>
  <Characters>4328</Characters>
  <Application>Microsoft Office Word</Application>
  <DocSecurity>0</DocSecurity>
  <Lines>36</Lines>
  <Paragraphs>10</Paragraphs>
  <ScaleCrop>false</ScaleCrop>
  <Company>微软中国</Company>
  <LinksUpToDate>false</LinksUpToDate>
  <CharactersWithSpaces>5077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32</cp:revision>
  <cp:lastPrinted>2019-09-11T00:56:00Z</cp:lastPrinted>
  <dcterms:created xsi:type="dcterms:W3CDTF">2020-12-16T03:30:00Z</dcterms:created>
  <dcterms:modified xsi:type="dcterms:W3CDTF">2021-03-30T02:21:00Z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3D15EE2EB240444B904DBB6207EEA122</vt:lpwstr>
  </property>
</Properties>
</file>