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A9A" w:rsidRDefault="008D1A9A">
      <w:pPr>
        <w:pStyle w:val="dazhangjie"/>
        <w:rPr>
          <w:b/>
          <w:bCs/>
          <w:color w:val="000000"/>
        </w:rPr>
      </w:pPr>
    </w:p>
    <w:p w:rsidR="008D1A9A" w:rsidRDefault="008D1A9A">
      <w:pPr>
        <w:pStyle w:val="dazhangjie"/>
        <w:rPr>
          <w:b/>
          <w:bCs/>
          <w:color w:val="000000"/>
        </w:rPr>
      </w:pPr>
    </w:p>
    <w:p w:rsidR="008D1A9A" w:rsidRDefault="008D1A9A">
      <w:pPr>
        <w:pStyle w:val="dazhangjie"/>
        <w:rPr>
          <w:b/>
          <w:bCs/>
          <w:color w:val="000000"/>
        </w:rPr>
      </w:pPr>
    </w:p>
    <w:p w:rsidR="008D1A9A" w:rsidRDefault="00D6363F">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21W756D</w:t>
      </w:r>
      <w:r>
        <w:rPr>
          <w:rFonts w:ascii="黑体" w:eastAsia="黑体" w:hAnsi="黑体"/>
          <w:b/>
          <w:bCs/>
          <w:sz w:val="36"/>
        </w:rPr>
        <w:t>封闭式公募人民币理财产品</w:t>
      </w:r>
    </w:p>
    <w:p w:rsidR="008D1A9A" w:rsidRDefault="00D6363F">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8D1A9A" w:rsidRDefault="008D1A9A">
      <w:pPr>
        <w:pStyle w:val="dazhangjie"/>
        <w:spacing w:before="240" w:after="120"/>
        <w:rPr>
          <w:rFonts w:ascii="黑体" w:eastAsia="黑体" w:hAnsi="黑体"/>
          <w:b/>
          <w:bCs/>
          <w:color w:val="000000"/>
          <w:sz w:val="36"/>
        </w:rPr>
      </w:pPr>
    </w:p>
    <w:p w:rsidR="008D1A9A" w:rsidRDefault="008D1A9A">
      <w:pPr>
        <w:pStyle w:val="dazhangjie"/>
        <w:spacing w:before="240" w:after="120"/>
        <w:rPr>
          <w:rFonts w:ascii="黑体" w:eastAsia="黑体" w:hAnsi="黑体"/>
          <w:b/>
          <w:bCs/>
          <w:color w:val="000000"/>
          <w:sz w:val="36"/>
        </w:rPr>
      </w:pPr>
    </w:p>
    <w:p w:rsidR="008D1A9A" w:rsidRDefault="008D1A9A">
      <w:pPr>
        <w:pStyle w:val="dazhangjie"/>
        <w:spacing w:before="240" w:after="120"/>
        <w:rPr>
          <w:rFonts w:ascii="黑体" w:eastAsia="黑体" w:hAnsi="黑体"/>
          <w:b/>
          <w:bCs/>
          <w:color w:val="000000"/>
          <w:sz w:val="36"/>
        </w:rPr>
      </w:pPr>
    </w:p>
    <w:p w:rsidR="008D1A9A" w:rsidRDefault="008D1A9A">
      <w:pPr>
        <w:pStyle w:val="dazhangjie"/>
        <w:spacing w:before="240" w:after="120"/>
        <w:rPr>
          <w:rFonts w:ascii="黑体" w:eastAsia="黑体" w:hAnsi="黑体"/>
          <w:b/>
          <w:bCs/>
          <w:color w:val="000000"/>
          <w:sz w:val="36"/>
        </w:rPr>
      </w:pPr>
    </w:p>
    <w:p w:rsidR="008D1A9A" w:rsidRDefault="008D1A9A">
      <w:pPr>
        <w:pStyle w:val="dazhangjie"/>
        <w:spacing w:before="240" w:after="120"/>
        <w:rPr>
          <w:rFonts w:ascii="黑体" w:eastAsia="黑体" w:hAnsi="黑体"/>
          <w:b/>
          <w:bCs/>
          <w:color w:val="000000"/>
          <w:sz w:val="36"/>
        </w:rPr>
      </w:pPr>
    </w:p>
    <w:p w:rsidR="008D1A9A" w:rsidRDefault="008D1A9A">
      <w:pPr>
        <w:pStyle w:val="dazhangjie"/>
        <w:spacing w:before="240" w:after="120"/>
        <w:rPr>
          <w:rFonts w:ascii="黑体" w:eastAsia="黑体" w:hAnsi="黑体"/>
          <w:b/>
          <w:bCs/>
          <w:color w:val="000000"/>
          <w:sz w:val="36"/>
        </w:rPr>
      </w:pPr>
    </w:p>
    <w:p w:rsidR="008D1A9A" w:rsidRDefault="008D1A9A">
      <w:pPr>
        <w:pStyle w:val="dazhangjie"/>
        <w:spacing w:before="240" w:after="120"/>
        <w:rPr>
          <w:rFonts w:ascii="黑体" w:eastAsia="黑体" w:hAnsi="黑体"/>
          <w:b/>
          <w:bCs/>
          <w:color w:val="000000"/>
          <w:sz w:val="36"/>
        </w:rPr>
      </w:pPr>
    </w:p>
    <w:p w:rsidR="008D1A9A" w:rsidRDefault="008D1A9A">
      <w:pPr>
        <w:pStyle w:val="dazhangjie"/>
        <w:spacing w:before="240" w:after="120"/>
        <w:rPr>
          <w:rFonts w:ascii="黑体" w:eastAsia="黑体" w:hAnsi="黑体"/>
          <w:b/>
          <w:bCs/>
          <w:color w:val="000000"/>
          <w:sz w:val="36"/>
        </w:rPr>
      </w:pPr>
    </w:p>
    <w:p w:rsidR="008D1A9A" w:rsidRDefault="008D1A9A">
      <w:pPr>
        <w:pStyle w:val="dazhangjie"/>
        <w:spacing w:before="240" w:after="120"/>
        <w:ind w:left="0"/>
        <w:jc w:val="both"/>
        <w:rPr>
          <w:rFonts w:ascii="黑体" w:eastAsia="黑体" w:hAnsi="黑体"/>
          <w:b/>
          <w:bCs/>
          <w:color w:val="000000"/>
          <w:sz w:val="36"/>
        </w:rPr>
      </w:pPr>
    </w:p>
    <w:p w:rsidR="008D1A9A" w:rsidRDefault="00D6363F">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8D1A9A" w:rsidRDefault="00D6363F">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8D1A9A" w:rsidRDefault="008D1A9A">
      <w:pPr>
        <w:widowControl/>
        <w:jc w:val="left"/>
        <w:rPr>
          <w:rFonts w:ascii="宋体" w:hAnsi="宋体" w:cs="宋体"/>
          <w:color w:val="000000"/>
          <w:kern w:val="0"/>
          <w:sz w:val="24"/>
          <w:szCs w:val="24"/>
        </w:rPr>
        <w:sectPr w:rsidR="008D1A9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8D1A9A" w:rsidRDefault="008D1A9A">
      <w:pPr>
        <w:widowControl/>
        <w:jc w:val="left"/>
        <w:rPr>
          <w:rFonts w:ascii="宋体" w:hAnsi="宋体" w:cs="宋体"/>
          <w:color w:val="000000"/>
          <w:kern w:val="0"/>
          <w:sz w:val="24"/>
          <w:szCs w:val="24"/>
        </w:rPr>
      </w:pPr>
    </w:p>
    <w:p w:rsidR="008D1A9A" w:rsidRDefault="00D6363F">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8D1A9A" w:rsidRDefault="008D1A9A">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8D1A9A">
        <w:tc>
          <w:tcPr>
            <w:tcW w:w="2811"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rPr>
              <w:t>南京银行珠联璧合逸稳</w:t>
            </w:r>
            <w:r>
              <w:rPr>
                <w:rFonts w:hint="eastAsia"/>
              </w:rPr>
              <w:t>21W756D</w:t>
            </w:r>
            <w:r>
              <w:rPr>
                <w:rFonts w:hint="eastAsia"/>
              </w:rPr>
              <w:t>封闭式公募人民币理财产品</w:t>
            </w:r>
          </w:p>
        </w:tc>
      </w:tr>
      <w:tr w:rsidR="008D1A9A">
        <w:tc>
          <w:tcPr>
            <w:tcW w:w="2811"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pPr>
            <w:r>
              <w:t>C1086920000026</w:t>
            </w:r>
            <w:r>
              <w:rPr>
                <w:rFonts w:hint="eastAsia"/>
              </w:rPr>
              <w:t>（投资者可依据该编码在中国理财网</w:t>
            </w:r>
            <w:r>
              <w:rPr>
                <w:rFonts w:hint="eastAsia"/>
              </w:rPr>
              <w:t>www.chinawealth.com.cn</w:t>
            </w:r>
            <w:r>
              <w:rPr>
                <w:rFonts w:hint="eastAsia"/>
              </w:rPr>
              <w:t>查询理财产品相关信息）</w:t>
            </w:r>
          </w:p>
        </w:tc>
      </w:tr>
      <w:tr w:rsidR="008D1A9A">
        <w:tc>
          <w:tcPr>
            <w:tcW w:w="2811"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rPr>
              <w:t>开放式</w:t>
            </w:r>
            <w:r>
              <w:rPr>
                <w:rFonts w:hint="eastAsia"/>
              </w:rPr>
              <w:t>净值型</w:t>
            </w:r>
          </w:p>
        </w:tc>
      </w:tr>
      <w:tr w:rsidR="008D1A9A">
        <w:tc>
          <w:tcPr>
            <w:tcW w:w="2811" w:type="dxa"/>
            <w:tcBorders>
              <w:top w:val="single" w:sz="8" w:space="0" w:color="000000"/>
              <w:left w:val="single" w:sz="8" w:space="0" w:color="000000"/>
              <w:bottom w:val="single" w:sz="6" w:space="0" w:color="000000"/>
              <w:right w:val="single" w:sz="8" w:space="0" w:color="000000"/>
            </w:tcBorders>
            <w:vAlign w:val="center"/>
          </w:tcPr>
          <w:p w:rsidR="008D1A9A" w:rsidRDefault="00BF4A32">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rPr>
              <w:t>2020</w:t>
            </w:r>
            <w:r>
              <w:rPr>
                <w:rFonts w:hint="eastAsia"/>
              </w:rPr>
              <w:t>年</w:t>
            </w:r>
            <w:r>
              <w:rPr>
                <w:rFonts w:hint="eastAsia"/>
              </w:rPr>
              <w:t>09</w:t>
            </w:r>
            <w:r>
              <w:rPr>
                <w:rFonts w:hint="eastAsia"/>
              </w:rPr>
              <w:t>月</w:t>
            </w:r>
            <w:r>
              <w:rPr>
                <w:rFonts w:hint="eastAsia"/>
              </w:rPr>
              <w:t>02</w:t>
            </w:r>
            <w:r>
              <w:rPr>
                <w:rFonts w:hint="eastAsia"/>
              </w:rPr>
              <w:t>日</w:t>
            </w:r>
          </w:p>
        </w:tc>
      </w:tr>
      <w:tr w:rsidR="008D1A9A">
        <w:tc>
          <w:tcPr>
            <w:tcW w:w="2811"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highlight w:val="yellow"/>
              </w:rPr>
            </w:pPr>
            <w:r>
              <w:rPr>
                <w:rFonts w:hint="eastAsia"/>
              </w:rPr>
              <w:t>99,493,000.00</w:t>
            </w:r>
            <w:r>
              <w:rPr>
                <w:rFonts w:hint="eastAsia"/>
              </w:rPr>
              <w:t>份</w:t>
            </w:r>
          </w:p>
        </w:tc>
      </w:tr>
      <w:tr w:rsidR="008D1A9A">
        <w:tc>
          <w:tcPr>
            <w:tcW w:w="2811"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color w:val="000000"/>
              </w:rPr>
              <w:t>100.16%</w:t>
            </w:r>
          </w:p>
        </w:tc>
      </w:tr>
      <w:tr w:rsidR="008D1A9A">
        <w:tc>
          <w:tcPr>
            <w:tcW w:w="2811"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color w:val="000000"/>
              </w:rPr>
              <w:t>鑫元基金管理有限公司</w:t>
            </w:r>
          </w:p>
        </w:tc>
      </w:tr>
      <w:tr w:rsidR="008D1A9A">
        <w:tc>
          <w:tcPr>
            <w:tcW w:w="2811"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rPr>
              <w:t>南京银行股份有限公司</w:t>
            </w:r>
          </w:p>
        </w:tc>
      </w:tr>
      <w:tr w:rsidR="008D1A9A">
        <w:tc>
          <w:tcPr>
            <w:tcW w:w="2811"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left"/>
              <w:wordWrap w:val="0"/>
              <w:rPr>
                <w:color w:val="000000"/>
              </w:rPr>
            </w:pPr>
            <w:r>
              <w:rPr>
                <w:rFonts w:hint="eastAsia"/>
              </w:rPr>
              <w:t>南京银行股份有限公司</w:t>
            </w:r>
          </w:p>
        </w:tc>
      </w:tr>
    </w:tbl>
    <w:p w:rsidR="008D1A9A" w:rsidRDefault="008D1A9A">
      <w:pPr>
        <w:widowControl/>
        <w:jc w:val="left"/>
        <w:rPr>
          <w:rFonts w:ascii="宋体" w:hAnsi="宋体" w:cs="宋体"/>
          <w:color w:val="000000"/>
          <w:kern w:val="0"/>
          <w:sz w:val="24"/>
          <w:szCs w:val="24"/>
        </w:rPr>
      </w:pPr>
    </w:p>
    <w:p w:rsidR="008D1A9A" w:rsidRDefault="008D1A9A">
      <w:pPr>
        <w:pStyle w:val="dazhangjie"/>
        <w:rPr>
          <w:rFonts w:hAnsi="Calibri"/>
          <w:b/>
          <w:color w:val="000000"/>
        </w:rPr>
      </w:pPr>
    </w:p>
    <w:p w:rsidR="008D1A9A" w:rsidRDefault="00D6363F">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8D1A9A" w:rsidRDefault="008D1A9A">
      <w:pPr>
        <w:widowControl/>
        <w:jc w:val="left"/>
        <w:rPr>
          <w:rFonts w:ascii="宋体" w:hAnsi="宋体" w:cs="宋体"/>
          <w:color w:val="000000"/>
          <w:kern w:val="0"/>
          <w:sz w:val="24"/>
          <w:szCs w:val="24"/>
        </w:rPr>
      </w:pPr>
    </w:p>
    <w:p w:rsidR="008D1A9A" w:rsidRDefault="00D6363F">
      <w:pPr>
        <w:pStyle w:val="zhangjiep"/>
        <w:rPr>
          <w:color w:val="000000"/>
        </w:rPr>
      </w:pPr>
      <w:r>
        <w:rPr>
          <w:rFonts w:hint="eastAsia"/>
          <w:b/>
          <w:bCs/>
          <w:color w:val="000000"/>
        </w:rPr>
        <w:t xml:space="preserve">2.1 </w:t>
      </w:r>
      <w:r>
        <w:rPr>
          <w:rFonts w:hint="eastAsia"/>
          <w:b/>
          <w:bCs/>
          <w:color w:val="000000"/>
        </w:rPr>
        <w:t>主要财务指标</w:t>
      </w:r>
    </w:p>
    <w:p w:rsidR="008D1A9A" w:rsidRDefault="00D6363F">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8D1A9A">
        <w:tc>
          <w:tcPr>
            <w:tcW w:w="5220"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dazhangjie"/>
              <w:spacing w:before="240" w:after="120"/>
              <w:rPr>
                <w:color w:val="000000"/>
              </w:rPr>
            </w:pPr>
            <w:r>
              <w:t>报告期（</w:t>
            </w:r>
            <w:r>
              <w:rPr>
                <w:rFonts w:hint="eastAsia"/>
              </w:rPr>
              <w:t>2020</w:t>
            </w:r>
            <w:r>
              <w:rPr>
                <w:rFonts w:hint="eastAsia"/>
              </w:rPr>
              <w:t>年</w:t>
            </w:r>
            <w:r>
              <w:rPr>
                <w:rFonts w:hint="eastAsia"/>
              </w:rPr>
              <w:t>09</w:t>
            </w:r>
            <w:r>
              <w:rPr>
                <w:rFonts w:hint="eastAsia"/>
              </w:rPr>
              <w:t>月</w:t>
            </w:r>
            <w:r>
              <w:rPr>
                <w:rFonts w:hint="eastAsia"/>
              </w:rPr>
              <w:t>02</w:t>
            </w:r>
            <w:r>
              <w:rPr>
                <w:rFonts w:hint="eastAsia"/>
              </w:rPr>
              <w:t>日</w:t>
            </w:r>
            <w:r>
              <w:t>- 2020</w:t>
            </w:r>
            <w:r>
              <w:t>年</w:t>
            </w:r>
            <w:r>
              <w:t>12</w:t>
            </w:r>
            <w:r>
              <w:t>月</w:t>
            </w:r>
            <w:r>
              <w:t>31</w:t>
            </w:r>
            <w:r>
              <w:t>日）</w:t>
            </w:r>
          </w:p>
        </w:tc>
      </w:tr>
      <w:tr w:rsidR="008D1A9A">
        <w:tc>
          <w:tcPr>
            <w:tcW w:w="5220"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right"/>
              <w:jc w:val="center"/>
              <w:rPr>
                <w:color w:val="000000"/>
                <w:highlight w:val="yellow"/>
              </w:rPr>
            </w:pPr>
            <w:r>
              <w:rPr>
                <w:rFonts w:hint="eastAsia"/>
              </w:rPr>
              <w:t>100,982,153.86</w:t>
            </w:r>
          </w:p>
        </w:tc>
      </w:tr>
      <w:tr w:rsidR="008D1A9A">
        <w:tc>
          <w:tcPr>
            <w:tcW w:w="5220"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right"/>
              <w:jc w:val="center"/>
              <w:rPr>
                <w:color w:val="000000"/>
                <w:highlight w:val="yellow"/>
              </w:rPr>
            </w:pPr>
            <w:r>
              <w:rPr>
                <w:rFonts w:hint="eastAsia"/>
              </w:rPr>
              <w:t>1.0150</w:t>
            </w:r>
          </w:p>
        </w:tc>
      </w:tr>
      <w:tr w:rsidR="008D1A9A">
        <w:tc>
          <w:tcPr>
            <w:tcW w:w="5220"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right"/>
              <w:jc w:val="center"/>
              <w:rPr>
                <w:color w:val="000000"/>
                <w:highlight w:val="yellow"/>
              </w:rPr>
            </w:pPr>
            <w:r>
              <w:rPr>
                <w:rFonts w:hint="eastAsia"/>
              </w:rPr>
              <w:t>1.0150</w:t>
            </w:r>
          </w:p>
        </w:tc>
      </w:tr>
      <w:tr w:rsidR="008D1A9A">
        <w:tc>
          <w:tcPr>
            <w:tcW w:w="5220" w:type="dxa"/>
            <w:vAlign w:val="center"/>
          </w:tcPr>
          <w:p w:rsidR="008D1A9A" w:rsidRDefault="008D1A9A">
            <w:pPr>
              <w:widowControl/>
              <w:jc w:val="left"/>
              <w:rPr>
                <w:rFonts w:ascii="宋体" w:hAnsi="宋体" w:cs="宋体"/>
                <w:color w:val="000000"/>
                <w:kern w:val="0"/>
                <w:sz w:val="24"/>
                <w:szCs w:val="24"/>
              </w:rPr>
            </w:pPr>
          </w:p>
        </w:tc>
        <w:tc>
          <w:tcPr>
            <w:tcW w:w="3825" w:type="dxa"/>
            <w:vAlign w:val="center"/>
          </w:tcPr>
          <w:p w:rsidR="008D1A9A" w:rsidRDefault="008D1A9A">
            <w:pPr>
              <w:widowControl/>
              <w:jc w:val="left"/>
              <w:rPr>
                <w:color w:val="000000"/>
                <w:kern w:val="0"/>
                <w:sz w:val="20"/>
                <w:szCs w:val="20"/>
              </w:rPr>
            </w:pPr>
          </w:p>
        </w:tc>
      </w:tr>
    </w:tbl>
    <w:p w:rsidR="008D1A9A" w:rsidRDefault="008D1A9A">
      <w:pPr>
        <w:pStyle w:val="biaogeleft"/>
        <w:ind w:left="0"/>
        <w:rPr>
          <w:color w:val="000000"/>
        </w:rPr>
      </w:pPr>
    </w:p>
    <w:p w:rsidR="008D1A9A" w:rsidRDefault="008D1A9A">
      <w:pPr>
        <w:widowControl/>
        <w:jc w:val="left"/>
        <w:rPr>
          <w:rFonts w:ascii="宋体" w:hAnsi="宋体" w:cs="宋体"/>
          <w:color w:val="000000"/>
          <w:kern w:val="0"/>
          <w:sz w:val="24"/>
          <w:szCs w:val="24"/>
        </w:rPr>
      </w:pPr>
    </w:p>
    <w:p w:rsidR="008D1A9A" w:rsidRDefault="00D6363F">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8D1A9A" w:rsidRDefault="00D6363F">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8D1A9A" w:rsidRDefault="00D6363F">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8D1A9A" w:rsidRDefault="00D6363F">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8D1A9A" w:rsidRDefault="00D6363F">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8D1A9A" w:rsidRDefault="00D6363F">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8D1A9A" w:rsidRDefault="00D6363F">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8D1A9A" w:rsidRDefault="00D6363F">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8D1A9A" w:rsidRDefault="00D6363F">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8D1A9A" w:rsidRDefault="00D6363F">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1.0150</w:t>
      </w:r>
      <w:r>
        <w:rPr>
          <w:rFonts w:hint="eastAsia"/>
          <w:color w:val="000000"/>
        </w:rPr>
        <w:t>元。</w:t>
      </w:r>
    </w:p>
    <w:p w:rsidR="008D1A9A" w:rsidRDefault="008D1A9A">
      <w:pPr>
        <w:widowControl/>
        <w:jc w:val="left"/>
        <w:rPr>
          <w:rFonts w:ascii="宋体" w:hAnsi="宋体" w:cs="宋体"/>
          <w:color w:val="000000"/>
          <w:kern w:val="0"/>
          <w:sz w:val="24"/>
          <w:szCs w:val="24"/>
        </w:rPr>
      </w:pPr>
    </w:p>
    <w:p w:rsidR="008D1A9A" w:rsidRDefault="00D6363F">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8D1A9A" w:rsidRDefault="008D1A9A">
      <w:pPr>
        <w:pStyle w:val="dazhangjie"/>
        <w:rPr>
          <w:rFonts w:hAnsi="Calibri"/>
          <w:b/>
          <w:color w:val="000000"/>
        </w:rPr>
      </w:pPr>
    </w:p>
    <w:p w:rsidR="008D1A9A" w:rsidRDefault="00D6363F">
      <w:pPr>
        <w:pStyle w:val="a8"/>
        <w:rPr>
          <w:b/>
          <w:color w:val="000000"/>
        </w:rPr>
      </w:pPr>
      <w:r>
        <w:rPr>
          <w:rFonts w:hint="eastAsia"/>
          <w:b/>
          <w:color w:val="000000"/>
        </w:rPr>
        <w:t>4.1</w:t>
      </w:r>
      <w:r>
        <w:rPr>
          <w:rFonts w:hint="eastAsia"/>
          <w:b/>
          <w:color w:val="000000"/>
        </w:rPr>
        <w:t>报告期内托管人遵规守信情况声明</w:t>
      </w:r>
    </w:p>
    <w:p w:rsidR="008D1A9A" w:rsidRDefault="00D6363F">
      <w:pPr>
        <w:pStyle w:val="biaogeleft"/>
        <w:spacing w:line="360" w:lineRule="auto"/>
        <w:ind w:firstLineChars="200" w:firstLine="480"/>
        <w:rPr>
          <w:rFonts w:cs="Times New Roman"/>
          <w:b/>
          <w:color w:val="000000"/>
        </w:rPr>
      </w:pPr>
      <w:bookmarkStart w:id="2" w:name="_Hlk65778080"/>
      <w:r>
        <w:rPr>
          <w:rFonts w:hint="eastAsia"/>
        </w:rPr>
        <w:lastRenderedPageBreak/>
        <w:t>在托管本产品的过程中，本产品托管人南京银行股份有限公司严格遵守《商业银行理财业务监督管理办法》相关法律法规的规定以及产品说明书的约定，对本产品管理人</w:t>
      </w:r>
      <w:r>
        <w:t>—</w:t>
      </w:r>
      <w:r>
        <w:rPr>
          <w:rFonts w:hint="eastAsia"/>
        </w:rPr>
        <w:t>南京银行股份有限公司</w:t>
      </w:r>
      <w:r>
        <w:t>2020</w:t>
      </w:r>
      <w:r>
        <w:rPr>
          <w:rFonts w:hint="eastAsia"/>
        </w:rPr>
        <w:t>年</w:t>
      </w:r>
      <w:r>
        <w:t>0</w:t>
      </w:r>
      <w:r>
        <w:rPr>
          <w:rFonts w:hint="eastAsia"/>
        </w:rPr>
        <w:t>9</w:t>
      </w:r>
      <w:r>
        <w:rPr>
          <w:rFonts w:hint="eastAsia"/>
        </w:rPr>
        <w:t>月</w:t>
      </w:r>
      <w:r>
        <w:t>0</w:t>
      </w:r>
      <w:r>
        <w:rPr>
          <w:rFonts w:hint="eastAsia"/>
        </w:rPr>
        <w:t>2</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2"/>
    </w:p>
    <w:p w:rsidR="008D1A9A" w:rsidRDefault="00D6363F">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8D1A9A" w:rsidRDefault="00D6363F">
      <w:pPr>
        <w:pStyle w:val="biaogeleft"/>
        <w:spacing w:line="360" w:lineRule="auto"/>
        <w:ind w:firstLine="480"/>
        <w:rPr>
          <w:color w:val="000000"/>
        </w:rPr>
      </w:pPr>
      <w:bookmarkStart w:id="3" w:name="_Hlk65778120"/>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bookmarkEnd w:id="3"/>
    </w:p>
    <w:p w:rsidR="008D1A9A" w:rsidRDefault="00D6363F">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4" w:name="_GoBack"/>
      <w:bookmarkEnd w:id="4"/>
      <w:r>
        <w:rPr>
          <w:rFonts w:cs="Times New Roman" w:hint="eastAsia"/>
          <w:b/>
          <w:color w:val="000000"/>
        </w:rPr>
        <w:t>年度报告中财务信息等内容的真实、准确和完整发表意见</w:t>
      </w:r>
    </w:p>
    <w:p w:rsidR="008D1A9A" w:rsidRDefault="00D6363F">
      <w:pPr>
        <w:pStyle w:val="biaogeleft"/>
        <w:spacing w:line="360" w:lineRule="auto"/>
        <w:ind w:firstLine="480"/>
      </w:pPr>
      <w:bookmarkStart w:id="5" w:name="_Hlk65778126"/>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5"/>
    </w:p>
    <w:p w:rsidR="008D1A9A" w:rsidRDefault="008D1A9A">
      <w:pPr>
        <w:pStyle w:val="biaogeleft"/>
        <w:spacing w:line="360" w:lineRule="auto"/>
        <w:ind w:firstLine="480"/>
        <w:rPr>
          <w:color w:val="000000"/>
        </w:rPr>
      </w:pPr>
    </w:p>
    <w:p w:rsidR="008D1A9A" w:rsidRDefault="00D6363F">
      <w:pPr>
        <w:pStyle w:val="dazhangjie"/>
      </w:pPr>
      <w:bookmarkStart w:id="6"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6"/>
    </w:p>
    <w:p w:rsidR="008D1A9A" w:rsidRDefault="008D1A9A">
      <w:pPr>
        <w:widowControl/>
        <w:jc w:val="left"/>
        <w:rPr>
          <w:rFonts w:ascii="宋体" w:hAnsi="宋体" w:cs="宋体"/>
          <w:kern w:val="0"/>
          <w:sz w:val="24"/>
          <w:szCs w:val="24"/>
        </w:rPr>
      </w:pPr>
    </w:p>
    <w:p w:rsidR="008D1A9A" w:rsidRDefault="00D6363F">
      <w:pPr>
        <w:pStyle w:val="zhangjiep"/>
      </w:pPr>
      <w:bookmarkStart w:id="7" w:name="_Toc61271615"/>
      <w:r>
        <w:rPr>
          <w:rFonts w:hint="eastAsia"/>
          <w:b/>
          <w:bCs/>
        </w:rPr>
        <w:t xml:space="preserve">5.1 </w:t>
      </w:r>
      <w:r>
        <w:rPr>
          <w:rFonts w:hint="eastAsia"/>
          <w:b/>
          <w:bCs/>
        </w:rPr>
        <w:t>资产负债表</w:t>
      </w:r>
      <w:bookmarkEnd w:id="7"/>
    </w:p>
    <w:p w:rsidR="008D1A9A" w:rsidRDefault="00D6363F">
      <w:pPr>
        <w:pStyle w:val="biaogeleft"/>
      </w:pPr>
      <w:r>
        <w:rPr>
          <w:rFonts w:hint="eastAsia"/>
        </w:rPr>
        <w:t>会计主体：南京银行珠联璧合逸稳</w:t>
      </w:r>
      <w:r>
        <w:rPr>
          <w:rFonts w:hint="eastAsia"/>
        </w:rPr>
        <w:t>21W756D</w:t>
      </w:r>
      <w:r>
        <w:rPr>
          <w:rFonts w:hint="eastAsia"/>
        </w:rPr>
        <w:t>封闭式公募人民币理财产品</w:t>
      </w:r>
    </w:p>
    <w:p w:rsidR="008D1A9A" w:rsidRDefault="00D6363F">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D1A9A" w:rsidRDefault="00D6363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pPr>
            <w:r>
              <w:rPr>
                <w:rFonts w:hAnsi="Calibri" w:hint="eastAsia"/>
                <w:color w:val="000000"/>
              </w:rPr>
              <w:t>本期末</w:t>
            </w:r>
            <w:r>
              <w:rPr>
                <w:rFonts w:hAnsi="Calibri" w:hint="eastAsia"/>
                <w:color w:val="000000"/>
              </w:rPr>
              <w:t> </w:t>
            </w:r>
          </w:p>
          <w:p w:rsidR="008D1A9A" w:rsidRDefault="00D6363F">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pPr>
            <w:r>
              <w:rPr>
                <w:rFonts w:hint="eastAsia"/>
              </w:rPr>
              <w:t> </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468,315.22</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pPr>
            <w:r>
              <w:rPr>
                <w:rFonts w:cs="Arial" w:hint="eastAsia"/>
                <w:color w:val="000000"/>
              </w:rPr>
              <w:t xml:space="preserve">    </w:t>
            </w: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pPr>
            <w:r>
              <w:rPr>
                <w:rFonts w:cs="Arial" w:hint="eastAsia"/>
                <w:color w:val="000000"/>
              </w:rPr>
              <w:t xml:space="preserve">    </w:t>
            </w: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pPr>
            <w:r>
              <w:rPr>
                <w:rFonts w:cs="Arial" w:hint="eastAsia"/>
                <w:color w:val="000000"/>
              </w:rPr>
              <w:t xml:space="preserve">    </w:t>
            </w: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892,655.53</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49,000,000.00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50,789,944.36</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b/>
                <w:bCs/>
                <w:color w:val="000000"/>
              </w:rPr>
              <w:t xml:space="preserve">   </w:t>
            </w: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101,150,915.11</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pPr>
            <w:r>
              <w:rPr>
                <w:rFonts w:hint="eastAsia"/>
              </w:rPr>
              <w:t>本期末</w:t>
            </w:r>
            <w:r>
              <w:rPr>
                <w:rFonts w:hint="eastAsia"/>
              </w:rPr>
              <w:t> </w:t>
            </w:r>
          </w:p>
          <w:p w:rsidR="008D1A9A" w:rsidRDefault="00D6363F">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pPr>
            <w:r>
              <w:rPr>
                <w:rFonts w:hint="eastAsia"/>
              </w:rPr>
              <w:t> </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83,183.04</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5,545.74</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55,455.36</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24,577.11</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lastRenderedPageBreak/>
              <w:t xml:space="preserve">    </w:t>
            </w:r>
            <w:r>
              <w:rPr>
                <w:rFonts w:cs="Arial" w:hint="eastAsia"/>
                <w:color w:val="000000"/>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b/>
                <w:bCs/>
                <w:color w:val="000000"/>
              </w:rPr>
              <w:t xml:space="preserve">   </w:t>
            </w: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168,761.25</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pPr>
            <w:r>
              <w:rPr>
                <w:rFonts w:hint="eastAsia"/>
              </w:rPr>
              <w:t> </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99,493,000.00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0.00</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color w:val="000000"/>
              </w:rPr>
              <w:t xml:space="preserve">    </w:t>
            </w: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1,489,153.86</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b/>
                <w:bCs/>
                <w:color w:val="000000"/>
              </w:rPr>
              <w:t xml:space="preserve">    </w:t>
            </w: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100,982,153.86</w:t>
            </w:r>
          </w:p>
        </w:tc>
      </w:tr>
      <w:tr w:rsidR="008D1A9A">
        <w:tc>
          <w:tcPr>
            <w:tcW w:w="3660"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cs="Arial" w:hint="eastAsia"/>
                <w:b/>
                <w:bCs/>
                <w:color w:val="000000"/>
              </w:rPr>
              <w:t xml:space="preserve">   </w:t>
            </w: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cs="Arial" w:hint="eastAsia"/>
                <w:color w:val="000000"/>
              </w:rPr>
              <w:t>101,150,915.11</w:t>
            </w:r>
          </w:p>
        </w:tc>
      </w:tr>
    </w:tbl>
    <w:p w:rsidR="008D1A9A" w:rsidRDefault="008D1A9A">
      <w:pPr>
        <w:widowControl/>
        <w:jc w:val="left"/>
        <w:rPr>
          <w:rFonts w:ascii="宋体" w:hAnsi="宋体" w:cs="宋体"/>
          <w:kern w:val="0"/>
          <w:sz w:val="24"/>
          <w:szCs w:val="24"/>
        </w:rPr>
      </w:pPr>
    </w:p>
    <w:p w:rsidR="008D1A9A" w:rsidRDefault="00D6363F">
      <w:pPr>
        <w:pStyle w:val="zhangjiep"/>
      </w:pPr>
      <w:bookmarkStart w:id="8" w:name="_Toc61423678"/>
      <w:r>
        <w:rPr>
          <w:rFonts w:hint="eastAsia"/>
          <w:b/>
          <w:bCs/>
        </w:rPr>
        <w:t xml:space="preserve">5.2 </w:t>
      </w:r>
      <w:r>
        <w:rPr>
          <w:rFonts w:hint="eastAsia"/>
          <w:b/>
          <w:bCs/>
        </w:rPr>
        <w:t>利润表</w:t>
      </w:r>
      <w:bookmarkEnd w:id="8"/>
    </w:p>
    <w:p w:rsidR="008D1A9A" w:rsidRDefault="00D6363F">
      <w:pPr>
        <w:pStyle w:val="biaogeleft"/>
      </w:pPr>
      <w:r>
        <w:rPr>
          <w:rFonts w:hint="eastAsia"/>
        </w:rPr>
        <w:t>会计主体：南京银行珠联璧合逸稳</w:t>
      </w:r>
      <w:r>
        <w:rPr>
          <w:rFonts w:hint="eastAsia"/>
        </w:rPr>
        <w:t>21W756D</w:t>
      </w:r>
      <w:r>
        <w:rPr>
          <w:rFonts w:hint="eastAsia"/>
        </w:rPr>
        <w:t>封闭式公募人民币理财产品</w:t>
      </w:r>
    </w:p>
    <w:p w:rsidR="008D1A9A" w:rsidRDefault="00D6363F">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02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D1A9A" w:rsidRDefault="00D6363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8D1A9A">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09</w:t>
            </w:r>
            <w:r>
              <w:rPr>
                <w:rFonts w:hint="eastAsia"/>
              </w:rPr>
              <w:t>月</w:t>
            </w:r>
            <w:r>
              <w:rPr>
                <w:rFonts w:hint="eastAsia"/>
              </w:rPr>
              <w:t>02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D1A9A">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8D1A9A" w:rsidRDefault="008D1A9A">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8D1A9A" w:rsidRDefault="008D1A9A">
            <w:pPr>
              <w:widowControl/>
              <w:jc w:val="left"/>
              <w:rPr>
                <w:rFonts w:asciiTheme="minorEastAsia" w:eastAsiaTheme="minorEastAsia" w:hAnsiTheme="minorEastAsia" w:cs="宋体"/>
                <w:kern w:val="0"/>
                <w:sz w:val="24"/>
                <w:szCs w:val="24"/>
              </w:rPr>
            </w:pP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b/>
                <w:bCs/>
                <w:color w:val="000000"/>
              </w:rPr>
              <w:t>1,663,315.69</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873,371.33</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6,764.53</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866,606.80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ascii="Arial" w:hAnsi="Arial" w:cs="Arial"/>
                <w:color w:val="000000"/>
              </w:rPr>
              <w:t xml:space="preserve">　</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789,944.36</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 xml:space="preserve">　</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b/>
                <w:bCs/>
                <w:color w:val="000000"/>
              </w:rPr>
              <w:t>174,161.83</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98,677.92</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6,578.77</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65,785.28</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3,119.86</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color w:val="000000"/>
              </w:rPr>
              <w:t>0.00</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b/>
                <w:bCs/>
                <w:color w:val="000000"/>
              </w:rPr>
              <w:t>1,489,153.86</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ascii="Arial" w:hAnsi="Arial" w:cs="Arial"/>
                <w:color w:val="000000"/>
              </w:rPr>
              <w:t xml:space="preserve">　</w:t>
            </w:r>
          </w:p>
        </w:tc>
      </w:tr>
      <w:tr w:rsidR="008D1A9A">
        <w:tc>
          <w:tcPr>
            <w:tcW w:w="2969" w:type="dxa"/>
            <w:tcBorders>
              <w:top w:val="single" w:sz="8" w:space="0" w:color="000000"/>
              <w:left w:val="single" w:sz="8" w:space="0" w:color="000000"/>
              <w:bottom w:val="single" w:sz="8" w:space="0" w:color="000000"/>
              <w:right w:val="single" w:sz="8" w:space="0" w:color="000000"/>
            </w:tcBorders>
            <w:vAlign w:val="center"/>
          </w:tcPr>
          <w:p w:rsidR="008D1A9A" w:rsidRDefault="00D6363F">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rPr>
                <w:rFonts w:asciiTheme="minorEastAsia" w:eastAsiaTheme="minorEastAsia" w:hAnsiTheme="minorEastAsia"/>
              </w:rPr>
            </w:pPr>
            <w:r>
              <w:rPr>
                <w:rFonts w:cs="Arial" w:hint="eastAsia"/>
                <w:b/>
                <w:bCs/>
                <w:color w:val="000000"/>
              </w:rPr>
              <w:t>1,489,153.86</w:t>
            </w:r>
          </w:p>
        </w:tc>
      </w:tr>
    </w:tbl>
    <w:p w:rsidR="008D1A9A" w:rsidRDefault="008D1A9A">
      <w:pPr>
        <w:widowControl/>
        <w:jc w:val="left"/>
        <w:rPr>
          <w:rFonts w:ascii="宋体" w:hAnsi="宋体" w:cs="宋体"/>
          <w:kern w:val="0"/>
          <w:sz w:val="24"/>
          <w:szCs w:val="24"/>
        </w:rPr>
      </w:pPr>
    </w:p>
    <w:p w:rsidR="008D1A9A" w:rsidRDefault="00D6363F">
      <w:pPr>
        <w:pStyle w:val="zhangjiep"/>
      </w:pPr>
      <w:bookmarkStart w:id="9" w:name="_Toc61423679"/>
      <w:r>
        <w:rPr>
          <w:rFonts w:hint="eastAsia"/>
          <w:b/>
          <w:bCs/>
        </w:rPr>
        <w:t xml:space="preserve">5.3 </w:t>
      </w:r>
      <w:r>
        <w:rPr>
          <w:rFonts w:hint="eastAsia"/>
          <w:b/>
          <w:bCs/>
        </w:rPr>
        <w:t>所有者权益（基金净值）变动表</w:t>
      </w:r>
      <w:bookmarkEnd w:id="9"/>
    </w:p>
    <w:p w:rsidR="008D1A9A" w:rsidRDefault="00D6363F">
      <w:pPr>
        <w:pStyle w:val="biaogeleft"/>
      </w:pPr>
      <w:r>
        <w:rPr>
          <w:rFonts w:hint="eastAsia"/>
        </w:rPr>
        <w:t>会计主体：南京银行珠联璧合逸稳</w:t>
      </w:r>
      <w:r>
        <w:rPr>
          <w:rFonts w:hint="eastAsia"/>
        </w:rPr>
        <w:t>21W756D</w:t>
      </w:r>
      <w:r>
        <w:rPr>
          <w:rFonts w:hint="eastAsia"/>
        </w:rPr>
        <w:t>封闭式公募人民币理财产品</w:t>
      </w:r>
    </w:p>
    <w:p w:rsidR="008D1A9A" w:rsidRDefault="00D6363F">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02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8D1A9A" w:rsidRDefault="00D6363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8D1A9A">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pPr>
            <w:r>
              <w:rPr>
                <w:rFonts w:hint="eastAsia"/>
              </w:rPr>
              <w:t>本期</w:t>
            </w:r>
            <w:r>
              <w:rPr>
                <w:rFonts w:hint="eastAsia"/>
              </w:rPr>
              <w:t> </w:t>
            </w:r>
          </w:p>
          <w:p w:rsidR="008D1A9A" w:rsidRDefault="00D6363F">
            <w:pPr>
              <w:pStyle w:val="biaogecenter"/>
              <w:wordWrap w:val="0"/>
            </w:pPr>
            <w:r>
              <w:rPr>
                <w:rFonts w:hint="eastAsia"/>
              </w:rPr>
              <w:t>2020</w:t>
            </w:r>
            <w:r>
              <w:rPr>
                <w:rFonts w:hint="eastAsia"/>
              </w:rPr>
              <w:t>年</w:t>
            </w:r>
            <w:r>
              <w:rPr>
                <w:rFonts w:hint="eastAsia"/>
              </w:rPr>
              <w:t>09</w:t>
            </w:r>
            <w:r>
              <w:rPr>
                <w:rFonts w:hint="eastAsia"/>
              </w:rPr>
              <w:t>月</w:t>
            </w:r>
            <w:r>
              <w:rPr>
                <w:rFonts w:hint="eastAsia"/>
              </w:rPr>
              <w:t>02</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8D1A9A">
        <w:tc>
          <w:tcPr>
            <w:tcW w:w="2116" w:type="dxa"/>
            <w:vMerge/>
            <w:tcBorders>
              <w:top w:val="single" w:sz="8" w:space="0" w:color="000000"/>
              <w:left w:val="single" w:sz="8" w:space="0" w:color="000000"/>
              <w:bottom w:val="single" w:sz="8" w:space="0" w:color="000000"/>
              <w:right w:val="single" w:sz="8" w:space="0" w:color="000000"/>
            </w:tcBorders>
            <w:vAlign w:val="center"/>
          </w:tcPr>
          <w:p w:rsidR="008D1A9A" w:rsidRDefault="008D1A9A">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pPr>
            <w:r>
              <w:rPr>
                <w:rFonts w:hint="eastAsia"/>
              </w:rPr>
              <w:t>所有者权益合计</w:t>
            </w:r>
            <w:r>
              <w:rPr>
                <w:rFonts w:hint="eastAsia"/>
              </w:rPr>
              <w:t> </w:t>
            </w:r>
          </w:p>
        </w:tc>
      </w:tr>
      <w:tr w:rsidR="008D1A9A">
        <w:tc>
          <w:tcPr>
            <w:tcW w:w="2116"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hint="eastAsia"/>
              </w:rPr>
              <w:t>一、期初所有者权</w:t>
            </w:r>
            <w:r>
              <w:rPr>
                <w:rFonts w:hint="eastAsia"/>
              </w:rPr>
              <w:lastRenderedPageBreak/>
              <w:t>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lastRenderedPageBreak/>
              <w:t>99,493,000.00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99,493,000.00</w:t>
            </w:r>
          </w:p>
        </w:tc>
      </w:tr>
      <w:tr w:rsidR="008D1A9A">
        <w:tc>
          <w:tcPr>
            <w:tcW w:w="2116"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1,489,153.86</w:t>
            </w:r>
          </w:p>
        </w:tc>
        <w:tc>
          <w:tcPr>
            <w:tcW w:w="2484"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1,489,153.86</w:t>
            </w:r>
          </w:p>
        </w:tc>
      </w:tr>
      <w:tr w:rsidR="008D1A9A">
        <w:tc>
          <w:tcPr>
            <w:tcW w:w="2116"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r>
      <w:tr w:rsidR="008D1A9A">
        <w:tc>
          <w:tcPr>
            <w:tcW w:w="2116"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r>
      <w:tr w:rsidR="008D1A9A">
        <w:tc>
          <w:tcPr>
            <w:tcW w:w="2116"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r>
      <w:tr w:rsidR="008D1A9A">
        <w:tc>
          <w:tcPr>
            <w:tcW w:w="2116"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w:t>
            </w:r>
          </w:p>
        </w:tc>
      </w:tr>
      <w:tr w:rsidR="008D1A9A">
        <w:tc>
          <w:tcPr>
            <w:tcW w:w="2116"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99,493,000.00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1,489,153.86</w:t>
            </w:r>
          </w:p>
        </w:tc>
        <w:tc>
          <w:tcPr>
            <w:tcW w:w="2484"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right"/>
              <w:wordWrap w:val="0"/>
            </w:pPr>
            <w:r>
              <w:rPr>
                <w:rFonts w:hint="eastAsia"/>
              </w:rPr>
              <w:t>100,982,153.86</w:t>
            </w:r>
          </w:p>
        </w:tc>
      </w:tr>
    </w:tbl>
    <w:p w:rsidR="008D1A9A" w:rsidRDefault="008D1A9A">
      <w:pPr>
        <w:widowControl/>
        <w:autoSpaceDE w:val="0"/>
        <w:autoSpaceDN w:val="0"/>
        <w:adjustRightInd w:val="0"/>
        <w:spacing w:line="288" w:lineRule="auto"/>
        <w:jc w:val="right"/>
        <w:rPr>
          <w:rFonts w:ascii="宋体" w:hAnsi="宋体" w:cs="宋体"/>
          <w:kern w:val="0"/>
          <w:sz w:val="24"/>
          <w:szCs w:val="24"/>
        </w:rPr>
      </w:pPr>
    </w:p>
    <w:p w:rsidR="008D1A9A" w:rsidRDefault="008D1A9A">
      <w:pPr>
        <w:pStyle w:val="biaogeleft"/>
        <w:spacing w:line="360" w:lineRule="auto"/>
        <w:ind w:firstLine="480"/>
        <w:rPr>
          <w:color w:val="000000"/>
        </w:rPr>
      </w:pPr>
    </w:p>
    <w:p w:rsidR="008D1A9A" w:rsidRDefault="00D6363F">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8D1A9A" w:rsidRDefault="008D1A9A">
      <w:pPr>
        <w:widowControl/>
        <w:jc w:val="left"/>
        <w:rPr>
          <w:rFonts w:ascii="宋体" w:hAnsi="宋体" w:cs="宋体"/>
          <w:color w:val="000000"/>
          <w:kern w:val="0"/>
          <w:sz w:val="24"/>
          <w:szCs w:val="24"/>
        </w:rPr>
      </w:pPr>
    </w:p>
    <w:p w:rsidR="008D1A9A" w:rsidRDefault="00D6363F">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8D1A9A">
        <w:tc>
          <w:tcPr>
            <w:tcW w:w="891" w:type="dxa"/>
            <w:tcBorders>
              <w:top w:val="single" w:sz="8" w:space="0" w:color="000000"/>
              <w:left w:val="single" w:sz="8" w:space="0" w:color="000000"/>
              <w:bottom w:val="single" w:sz="6" w:space="0" w:color="000000"/>
              <w:right w:val="single" w:sz="8" w:space="0" w:color="000000"/>
            </w:tcBorders>
            <w:vAlign w:val="bottom"/>
          </w:tcPr>
          <w:p w:rsidR="008D1A9A" w:rsidRDefault="00D6363F">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8D1A9A" w:rsidRDefault="00D6363F">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8D1A9A" w:rsidRDefault="00D6363F">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8D1A9A" w:rsidRDefault="00D6363F">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49,000,000.00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48.44</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50,789,944.36</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50.21</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468,315.22</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0.46</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892,655.53</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0.89</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D1A9A">
        <w:tc>
          <w:tcPr>
            <w:tcW w:w="89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D1A9A">
        <w:tc>
          <w:tcPr>
            <w:tcW w:w="891" w:type="dxa"/>
            <w:tcBorders>
              <w:top w:val="single" w:sz="8" w:space="0" w:color="000000"/>
              <w:left w:val="single" w:sz="8" w:space="0" w:color="000000"/>
              <w:bottom w:val="single" w:sz="8"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8D1A9A">
        <w:tc>
          <w:tcPr>
            <w:tcW w:w="891" w:type="dxa"/>
            <w:tcBorders>
              <w:top w:val="single" w:sz="8" w:space="0" w:color="000000"/>
              <w:left w:val="single" w:sz="8" w:space="0" w:color="000000"/>
              <w:bottom w:val="single" w:sz="8" w:space="0" w:color="000000"/>
              <w:right w:val="single" w:sz="8" w:space="0" w:color="000000"/>
            </w:tcBorders>
            <w:vAlign w:val="center"/>
          </w:tcPr>
          <w:p w:rsidR="008D1A9A" w:rsidRDefault="00D6363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8D1A9A" w:rsidRDefault="00D6363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101,150,915.11</w:t>
            </w:r>
          </w:p>
        </w:tc>
        <w:tc>
          <w:tcPr>
            <w:tcW w:w="2395" w:type="dxa"/>
            <w:tcBorders>
              <w:top w:val="single" w:sz="8" w:space="0" w:color="000000"/>
              <w:left w:val="single" w:sz="8" w:space="0" w:color="000000"/>
              <w:bottom w:val="single" w:sz="8" w:space="0" w:color="000000"/>
              <w:right w:val="single" w:sz="8" w:space="0" w:color="000000"/>
            </w:tcBorders>
            <w:vAlign w:val="center"/>
          </w:tcPr>
          <w:p w:rsidR="008D1A9A" w:rsidRDefault="00D6363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8D1A9A" w:rsidRDefault="008D1A9A">
      <w:pPr>
        <w:widowControl/>
        <w:jc w:val="left"/>
        <w:rPr>
          <w:rFonts w:ascii="宋体" w:hAnsi="宋体" w:cs="宋体"/>
          <w:color w:val="000000"/>
          <w:kern w:val="0"/>
          <w:sz w:val="24"/>
          <w:szCs w:val="24"/>
        </w:rPr>
      </w:pPr>
    </w:p>
    <w:p w:rsidR="008D1A9A" w:rsidRDefault="00D6363F">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8D1A9A">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8D1A9A" w:rsidRDefault="00D6363F">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8D1A9A" w:rsidRDefault="00D6363F">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8D1A9A" w:rsidRDefault="00D6363F">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8D1A9A" w:rsidRDefault="00D6363F">
            <w:pPr>
              <w:pStyle w:val="biaogecenter"/>
              <w:wordWrap w:val="0"/>
              <w:rPr>
                <w:color w:val="000000"/>
              </w:rPr>
            </w:pPr>
            <w:r>
              <w:rPr>
                <w:rFonts w:hint="eastAsia"/>
                <w:color w:val="000000"/>
              </w:rPr>
              <w:t>占产品资产净值比例（％）</w:t>
            </w:r>
          </w:p>
        </w:tc>
      </w:tr>
      <w:tr w:rsidR="008D1A9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D1A9A" w:rsidRDefault="00D6363F">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D1A9A" w:rsidRDefault="00D6363F">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D1A9A" w:rsidRDefault="00D6363F">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D1A9A" w:rsidRDefault="00D6363F">
            <w:pPr>
              <w:jc w:val="right"/>
              <w:rPr>
                <w:rFonts w:ascii="宋体" w:hAnsi="宋体" w:cs="宋体"/>
                <w:color w:val="000000"/>
                <w:kern w:val="0"/>
                <w:sz w:val="24"/>
                <w:szCs w:val="24"/>
              </w:rPr>
            </w:pPr>
            <w:r>
              <w:rPr>
                <w:rFonts w:ascii="宋体" w:hAnsi="宋体" w:cs="宋体" w:hint="eastAsia"/>
                <w:color w:val="000000"/>
                <w:kern w:val="0"/>
                <w:sz w:val="24"/>
                <w:szCs w:val="24"/>
              </w:rPr>
              <w:t>50,789,944.36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D1A9A" w:rsidRDefault="00D6363F">
            <w:pPr>
              <w:jc w:val="right"/>
              <w:rPr>
                <w:rFonts w:ascii="宋体" w:hAnsi="宋体" w:cs="宋体"/>
                <w:color w:val="000000"/>
                <w:kern w:val="0"/>
                <w:sz w:val="24"/>
                <w:szCs w:val="24"/>
              </w:rPr>
            </w:pPr>
            <w:r>
              <w:rPr>
                <w:rFonts w:ascii="宋体" w:hAnsi="宋体" w:cs="宋体" w:hint="eastAsia"/>
                <w:color w:val="000000"/>
                <w:kern w:val="0"/>
                <w:sz w:val="24"/>
                <w:szCs w:val="24"/>
              </w:rPr>
              <w:t>50.30%</w:t>
            </w:r>
          </w:p>
        </w:tc>
      </w:tr>
      <w:tr w:rsidR="008D1A9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D1A9A" w:rsidRDefault="00D6363F">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8D1A9A" w:rsidRDefault="00D6363F">
            <w:pPr>
              <w:rPr>
                <w:rFonts w:ascii="宋体" w:hAnsi="宋体" w:cs="宋体"/>
                <w:color w:val="000000"/>
                <w:kern w:val="0"/>
                <w:sz w:val="24"/>
                <w:szCs w:val="24"/>
              </w:rPr>
            </w:pPr>
            <w:r>
              <w:rPr>
                <w:rFonts w:ascii="宋体" w:hAnsi="宋体" w:cs="宋体" w:hint="eastAsia"/>
                <w:color w:val="000000"/>
                <w:kern w:val="0"/>
                <w:sz w:val="24"/>
                <w:szCs w:val="24"/>
              </w:rPr>
              <w:t>QTBZZ202009110001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8D1A9A" w:rsidRDefault="00D6363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苏兴化城建</w:t>
            </w:r>
            <w:r>
              <w:rPr>
                <w:rFonts w:ascii="宋体" w:hAnsi="宋体" w:cs="宋体" w:hint="eastAsia"/>
                <w:color w:val="000000"/>
                <w:kern w:val="0"/>
                <w:sz w:val="24"/>
                <w:szCs w:val="24"/>
              </w:rPr>
              <w:t>ZR003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8D1A9A" w:rsidRDefault="00D6363F">
            <w:pPr>
              <w:jc w:val="right"/>
              <w:rPr>
                <w:rFonts w:ascii="宋体" w:hAnsi="宋体" w:cs="宋体"/>
                <w:color w:val="000000"/>
                <w:kern w:val="0"/>
                <w:sz w:val="24"/>
                <w:szCs w:val="24"/>
              </w:rPr>
            </w:pPr>
            <w:r>
              <w:rPr>
                <w:rFonts w:ascii="宋体" w:hAnsi="宋体" w:cs="宋体" w:hint="eastAsia"/>
                <w:color w:val="000000"/>
                <w:kern w:val="0"/>
                <w:sz w:val="24"/>
                <w:szCs w:val="24"/>
              </w:rPr>
              <w:t>49,000,000.00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8D1A9A" w:rsidRDefault="00D6363F">
            <w:pPr>
              <w:jc w:val="right"/>
              <w:rPr>
                <w:rFonts w:ascii="宋体" w:hAnsi="宋体" w:cs="宋体"/>
                <w:color w:val="000000"/>
                <w:kern w:val="0"/>
                <w:sz w:val="24"/>
                <w:szCs w:val="24"/>
              </w:rPr>
            </w:pPr>
            <w:r>
              <w:rPr>
                <w:rFonts w:ascii="宋体" w:hAnsi="宋体" w:cs="宋体" w:hint="eastAsia"/>
                <w:color w:val="000000"/>
                <w:kern w:val="0"/>
                <w:sz w:val="24"/>
                <w:szCs w:val="24"/>
              </w:rPr>
              <w:t>48.52%</w:t>
            </w:r>
          </w:p>
        </w:tc>
      </w:tr>
    </w:tbl>
    <w:p w:rsidR="008D1A9A" w:rsidRDefault="008D1A9A">
      <w:pPr>
        <w:widowControl/>
        <w:jc w:val="left"/>
        <w:rPr>
          <w:rFonts w:ascii="宋体" w:hAnsi="宋体" w:cs="宋体"/>
          <w:b/>
          <w:sz w:val="24"/>
          <w:szCs w:val="24"/>
          <w:shd w:val="clear" w:color="auto" w:fill="FFFFFF"/>
        </w:rPr>
      </w:pPr>
    </w:p>
    <w:p w:rsidR="008D1A9A" w:rsidRDefault="00D6363F">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8D1A9A" w:rsidRDefault="008D1A9A">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8D1A9A">
        <w:tc>
          <w:tcPr>
            <w:tcW w:w="709"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8D1A9A" w:rsidRDefault="00D6363F">
            <w:pPr>
              <w:pStyle w:val="biaogecenter"/>
              <w:wordWrap w:val="0"/>
              <w:rPr>
                <w:shd w:val="clear" w:color="auto" w:fill="FFFFFF"/>
              </w:rPr>
            </w:pPr>
            <w:r>
              <w:rPr>
                <w:rFonts w:hint="eastAsia"/>
                <w:shd w:val="clear" w:color="auto" w:fill="FFFFFF"/>
              </w:rPr>
              <w:t>风险状况</w:t>
            </w:r>
          </w:p>
        </w:tc>
      </w:tr>
      <w:tr w:rsidR="008D1A9A">
        <w:tc>
          <w:tcPr>
            <w:tcW w:w="709"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rPr>
                <w:shd w:val="clear" w:color="auto" w:fill="FFFFFF"/>
              </w:rPr>
            </w:pPr>
            <w:r>
              <w:rPr>
                <w:rFonts w:hint="eastAsia"/>
                <w:shd w:val="clear" w:color="auto" w:fill="FFFFFF"/>
              </w:rPr>
              <w:t>兴化市城市建设投资有限公司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rPr>
                <w:shd w:val="clear" w:color="auto" w:fill="FFFFFF"/>
              </w:rPr>
            </w:pPr>
            <w:r>
              <w:rPr>
                <w:rFonts w:hint="eastAsia"/>
                <w:shd w:val="clear" w:color="auto" w:fill="FFFFFF"/>
              </w:rPr>
              <w:t>20</w:t>
            </w:r>
            <w:r>
              <w:rPr>
                <w:rFonts w:hint="eastAsia"/>
                <w:shd w:val="clear" w:color="auto" w:fill="FFFFFF"/>
              </w:rPr>
              <w:t>苏兴化城建</w:t>
            </w:r>
            <w:r>
              <w:rPr>
                <w:rFonts w:hint="eastAsia"/>
                <w:shd w:val="clear" w:color="auto" w:fill="FFFFFF"/>
              </w:rPr>
              <w:t>ZR003</w:t>
            </w:r>
          </w:p>
        </w:tc>
        <w:tc>
          <w:tcPr>
            <w:tcW w:w="1417"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rPr>
                <w:shd w:val="clear" w:color="auto" w:fill="FFFFFF"/>
              </w:rPr>
            </w:pPr>
            <w:r>
              <w:rPr>
                <w:rFonts w:hint="eastAsia"/>
                <w:shd w:val="clear" w:color="auto" w:fill="FFFFFF"/>
              </w:rPr>
              <w:t>257</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8D1A9A" w:rsidRDefault="00D6363F">
            <w:pPr>
              <w:pStyle w:val="biaogecenter"/>
              <w:wordWrap w:val="0"/>
              <w:rPr>
                <w:shd w:val="clear" w:color="auto" w:fill="FFFFFF"/>
              </w:rPr>
            </w:pPr>
            <w:r>
              <w:rPr>
                <w:rFonts w:hint="eastAsia"/>
                <w:shd w:val="clear" w:color="auto" w:fill="FFFFFF"/>
              </w:rPr>
              <w:t>-</w:t>
            </w:r>
          </w:p>
        </w:tc>
      </w:tr>
    </w:tbl>
    <w:p w:rsidR="008D1A9A" w:rsidRDefault="008D1A9A">
      <w:pPr>
        <w:widowControl/>
        <w:jc w:val="left"/>
        <w:rPr>
          <w:rFonts w:ascii="宋体" w:hAnsi="宋体" w:cs="宋体"/>
          <w:color w:val="000000"/>
          <w:kern w:val="0"/>
          <w:sz w:val="24"/>
          <w:szCs w:val="24"/>
        </w:rPr>
      </w:pPr>
    </w:p>
    <w:p w:rsidR="008D1A9A" w:rsidRDefault="008D1A9A">
      <w:pPr>
        <w:widowControl/>
        <w:jc w:val="left"/>
        <w:rPr>
          <w:rFonts w:ascii="宋体" w:hAnsi="宋体" w:cs="宋体"/>
          <w:color w:val="000000"/>
          <w:kern w:val="0"/>
          <w:sz w:val="24"/>
          <w:szCs w:val="24"/>
        </w:rPr>
      </w:pPr>
    </w:p>
    <w:p w:rsidR="008D1A9A" w:rsidRDefault="00D6363F">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8D1A9A" w:rsidRDefault="00D6363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D1A9A" w:rsidRDefault="00D6363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8D1A9A" w:rsidRDefault="00D6363F">
      <w:pPr>
        <w:pStyle w:val="biaogeright"/>
        <w:rPr>
          <w:b/>
        </w:rPr>
      </w:pPr>
      <w:r>
        <w:rPr>
          <w:rFonts w:hint="eastAsia"/>
          <w:b/>
        </w:rPr>
        <w:t>南京银行股份有限公司</w:t>
      </w:r>
    </w:p>
    <w:p w:rsidR="008D1A9A" w:rsidRDefault="00D6363F">
      <w:pPr>
        <w:pStyle w:val="biaogeright"/>
        <w:rPr>
          <w:b/>
        </w:rPr>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8D1A9A" w:rsidRDefault="008D1A9A">
      <w:pPr>
        <w:pStyle w:val="biaogeright"/>
        <w:rPr>
          <w:color w:val="000000"/>
        </w:rPr>
      </w:pPr>
    </w:p>
    <w:sectPr w:rsidR="008D1A9A" w:rsidSect="008D1A9A">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363F" w:rsidRDefault="00D6363F" w:rsidP="008D1A9A">
      <w:r>
        <w:separator/>
      </w:r>
    </w:p>
  </w:endnote>
  <w:endnote w:type="continuationSeparator" w:id="1">
    <w:p w:rsidR="00D6363F" w:rsidRDefault="00D6363F" w:rsidP="008D1A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A9A" w:rsidRDefault="008D1A9A">
    <w:pPr>
      <w:pStyle w:val="a5"/>
      <w:framePr w:wrap="around" w:vAnchor="text" w:hAnchor="margin" w:xAlign="center" w:y="1"/>
      <w:rPr>
        <w:rStyle w:val="aa"/>
      </w:rPr>
    </w:pPr>
    <w:r>
      <w:fldChar w:fldCharType="begin"/>
    </w:r>
    <w:r w:rsidR="00D6363F">
      <w:rPr>
        <w:rStyle w:val="aa"/>
      </w:rPr>
      <w:instrText xml:space="preserve">PAGE  </w:instrText>
    </w:r>
    <w:r>
      <w:fldChar w:fldCharType="end"/>
    </w:r>
  </w:p>
  <w:p w:rsidR="008D1A9A" w:rsidRDefault="008D1A9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A9A" w:rsidRDefault="008D1A9A">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A32" w:rsidRDefault="00BF4A32">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A9A" w:rsidRDefault="008D1A9A">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A9A" w:rsidRDefault="008D1A9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363F" w:rsidRDefault="00D6363F" w:rsidP="008D1A9A">
      <w:r>
        <w:separator/>
      </w:r>
    </w:p>
  </w:footnote>
  <w:footnote w:type="continuationSeparator" w:id="1">
    <w:p w:rsidR="00D6363F" w:rsidRDefault="00D6363F" w:rsidP="008D1A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A9A" w:rsidRDefault="008D1A9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A32" w:rsidRDefault="00BF4A3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A32" w:rsidRDefault="00BF4A3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A2867"/>
    <w:rsid w:val="000A3711"/>
    <w:rsid w:val="000D5066"/>
    <w:rsid w:val="000E0A5C"/>
    <w:rsid w:val="000E6939"/>
    <w:rsid w:val="000F55F7"/>
    <w:rsid w:val="000F6191"/>
    <w:rsid w:val="00130CE8"/>
    <w:rsid w:val="001430DE"/>
    <w:rsid w:val="00152201"/>
    <w:rsid w:val="00172A27"/>
    <w:rsid w:val="00176636"/>
    <w:rsid w:val="00183C84"/>
    <w:rsid w:val="0018791C"/>
    <w:rsid w:val="001C05F9"/>
    <w:rsid w:val="001C5395"/>
    <w:rsid w:val="001E6991"/>
    <w:rsid w:val="00211F26"/>
    <w:rsid w:val="002143FA"/>
    <w:rsid w:val="002263FC"/>
    <w:rsid w:val="00252E3A"/>
    <w:rsid w:val="0025506A"/>
    <w:rsid w:val="00273005"/>
    <w:rsid w:val="002A3AE9"/>
    <w:rsid w:val="002C196E"/>
    <w:rsid w:val="002D296F"/>
    <w:rsid w:val="002D75D0"/>
    <w:rsid w:val="002E5220"/>
    <w:rsid w:val="002E795C"/>
    <w:rsid w:val="00305714"/>
    <w:rsid w:val="00313E71"/>
    <w:rsid w:val="00321CB7"/>
    <w:rsid w:val="003379A9"/>
    <w:rsid w:val="00350ADF"/>
    <w:rsid w:val="00355623"/>
    <w:rsid w:val="00385B4A"/>
    <w:rsid w:val="00387C78"/>
    <w:rsid w:val="003A0419"/>
    <w:rsid w:val="003B0E9B"/>
    <w:rsid w:val="003C4D3B"/>
    <w:rsid w:val="003E09EA"/>
    <w:rsid w:val="003F0AC3"/>
    <w:rsid w:val="00456251"/>
    <w:rsid w:val="004C1607"/>
    <w:rsid w:val="004C1BE1"/>
    <w:rsid w:val="004D0CA5"/>
    <w:rsid w:val="004E64BD"/>
    <w:rsid w:val="005069D8"/>
    <w:rsid w:val="00522037"/>
    <w:rsid w:val="00525AFD"/>
    <w:rsid w:val="0056162E"/>
    <w:rsid w:val="00563B93"/>
    <w:rsid w:val="00567DB3"/>
    <w:rsid w:val="00575BEA"/>
    <w:rsid w:val="005775D3"/>
    <w:rsid w:val="005B3434"/>
    <w:rsid w:val="005D5943"/>
    <w:rsid w:val="005E2884"/>
    <w:rsid w:val="005E5050"/>
    <w:rsid w:val="005F2C7B"/>
    <w:rsid w:val="005F4D04"/>
    <w:rsid w:val="005F7DA9"/>
    <w:rsid w:val="00604118"/>
    <w:rsid w:val="006054F8"/>
    <w:rsid w:val="0062069D"/>
    <w:rsid w:val="0065419A"/>
    <w:rsid w:val="00654220"/>
    <w:rsid w:val="00663B94"/>
    <w:rsid w:val="00677F66"/>
    <w:rsid w:val="006C7F31"/>
    <w:rsid w:val="006E4E94"/>
    <w:rsid w:val="00730BEE"/>
    <w:rsid w:val="0073101E"/>
    <w:rsid w:val="00735153"/>
    <w:rsid w:val="00745421"/>
    <w:rsid w:val="007A4219"/>
    <w:rsid w:val="00801847"/>
    <w:rsid w:val="0080200C"/>
    <w:rsid w:val="00807E6A"/>
    <w:rsid w:val="00814110"/>
    <w:rsid w:val="0082561A"/>
    <w:rsid w:val="00846B2E"/>
    <w:rsid w:val="00853290"/>
    <w:rsid w:val="0085663C"/>
    <w:rsid w:val="008768AB"/>
    <w:rsid w:val="008926F7"/>
    <w:rsid w:val="008A7510"/>
    <w:rsid w:val="008C3E2B"/>
    <w:rsid w:val="008C78BD"/>
    <w:rsid w:val="008D1A9A"/>
    <w:rsid w:val="008D21AC"/>
    <w:rsid w:val="008F0FA3"/>
    <w:rsid w:val="00900D90"/>
    <w:rsid w:val="00914F7D"/>
    <w:rsid w:val="009354D6"/>
    <w:rsid w:val="00970A98"/>
    <w:rsid w:val="0098740F"/>
    <w:rsid w:val="009A3633"/>
    <w:rsid w:val="009C781F"/>
    <w:rsid w:val="009D5296"/>
    <w:rsid w:val="009E6170"/>
    <w:rsid w:val="00A37451"/>
    <w:rsid w:val="00A4484F"/>
    <w:rsid w:val="00A50042"/>
    <w:rsid w:val="00A76841"/>
    <w:rsid w:val="00A76D4B"/>
    <w:rsid w:val="00A77C47"/>
    <w:rsid w:val="00A9119C"/>
    <w:rsid w:val="00A93680"/>
    <w:rsid w:val="00AA4549"/>
    <w:rsid w:val="00AC5144"/>
    <w:rsid w:val="00AD4642"/>
    <w:rsid w:val="00B13014"/>
    <w:rsid w:val="00B17559"/>
    <w:rsid w:val="00B33B19"/>
    <w:rsid w:val="00B404E6"/>
    <w:rsid w:val="00B4360D"/>
    <w:rsid w:val="00B61EA9"/>
    <w:rsid w:val="00B670D1"/>
    <w:rsid w:val="00B74DCA"/>
    <w:rsid w:val="00B84858"/>
    <w:rsid w:val="00BC02E0"/>
    <w:rsid w:val="00BC3903"/>
    <w:rsid w:val="00BE47E0"/>
    <w:rsid w:val="00BF4A32"/>
    <w:rsid w:val="00BF75C8"/>
    <w:rsid w:val="00C002F6"/>
    <w:rsid w:val="00C05FA9"/>
    <w:rsid w:val="00C1762E"/>
    <w:rsid w:val="00C22DF9"/>
    <w:rsid w:val="00C25123"/>
    <w:rsid w:val="00C30A48"/>
    <w:rsid w:val="00C375A7"/>
    <w:rsid w:val="00C62DF8"/>
    <w:rsid w:val="00C640FB"/>
    <w:rsid w:val="00C84E8E"/>
    <w:rsid w:val="00CB054E"/>
    <w:rsid w:val="00CC52D7"/>
    <w:rsid w:val="00D23AB6"/>
    <w:rsid w:val="00D42895"/>
    <w:rsid w:val="00D50309"/>
    <w:rsid w:val="00D51AA9"/>
    <w:rsid w:val="00D6363F"/>
    <w:rsid w:val="00D7264A"/>
    <w:rsid w:val="00D84E43"/>
    <w:rsid w:val="00D870DF"/>
    <w:rsid w:val="00DB0C2F"/>
    <w:rsid w:val="00DB3BF6"/>
    <w:rsid w:val="00DC31CC"/>
    <w:rsid w:val="00DC728A"/>
    <w:rsid w:val="00DD2F3C"/>
    <w:rsid w:val="00E00813"/>
    <w:rsid w:val="00E1059D"/>
    <w:rsid w:val="00E155DF"/>
    <w:rsid w:val="00E246E1"/>
    <w:rsid w:val="00E560F1"/>
    <w:rsid w:val="00E67CD0"/>
    <w:rsid w:val="00E86516"/>
    <w:rsid w:val="00E944FA"/>
    <w:rsid w:val="00E9797A"/>
    <w:rsid w:val="00EA7ABC"/>
    <w:rsid w:val="00EB2746"/>
    <w:rsid w:val="00EE0436"/>
    <w:rsid w:val="00F03CE4"/>
    <w:rsid w:val="00F1465C"/>
    <w:rsid w:val="00F41324"/>
    <w:rsid w:val="00F57C12"/>
    <w:rsid w:val="00F609FD"/>
    <w:rsid w:val="00F859AB"/>
    <w:rsid w:val="00F950D0"/>
    <w:rsid w:val="00FA2C26"/>
    <w:rsid w:val="00FA6DBD"/>
    <w:rsid w:val="00FE772F"/>
    <w:rsid w:val="030F2BA7"/>
    <w:rsid w:val="04240CEE"/>
    <w:rsid w:val="065551D3"/>
    <w:rsid w:val="06827316"/>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0D1325"/>
    <w:rsid w:val="36341C31"/>
    <w:rsid w:val="368076E6"/>
    <w:rsid w:val="378F5AE0"/>
    <w:rsid w:val="37F709A6"/>
    <w:rsid w:val="39E872E9"/>
    <w:rsid w:val="39FF2E40"/>
    <w:rsid w:val="3ABE1FB8"/>
    <w:rsid w:val="3C753CC7"/>
    <w:rsid w:val="3F2C3B54"/>
    <w:rsid w:val="40990310"/>
    <w:rsid w:val="44F30C78"/>
    <w:rsid w:val="458C47E0"/>
    <w:rsid w:val="459870AF"/>
    <w:rsid w:val="45ED49CE"/>
    <w:rsid w:val="46F0109E"/>
    <w:rsid w:val="47475A63"/>
    <w:rsid w:val="4BCA232B"/>
    <w:rsid w:val="4E276A76"/>
    <w:rsid w:val="506954C1"/>
    <w:rsid w:val="509017BA"/>
    <w:rsid w:val="51482FC3"/>
    <w:rsid w:val="524A776A"/>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A9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8D1A9A"/>
    <w:pPr>
      <w:jc w:val="left"/>
    </w:pPr>
  </w:style>
  <w:style w:type="paragraph" w:styleId="a4">
    <w:name w:val="Balloon Text"/>
    <w:basedOn w:val="a"/>
    <w:link w:val="Char0"/>
    <w:uiPriority w:val="99"/>
    <w:unhideWhenUsed/>
    <w:qFormat/>
    <w:rsid w:val="008D1A9A"/>
    <w:rPr>
      <w:sz w:val="18"/>
      <w:szCs w:val="18"/>
    </w:rPr>
  </w:style>
  <w:style w:type="paragraph" w:styleId="a5">
    <w:name w:val="footer"/>
    <w:basedOn w:val="a"/>
    <w:link w:val="Char1"/>
    <w:uiPriority w:val="99"/>
    <w:unhideWhenUsed/>
    <w:qFormat/>
    <w:rsid w:val="008D1A9A"/>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8D1A9A"/>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8D1A9A"/>
    <w:pPr>
      <w:snapToGrid w:val="0"/>
      <w:jc w:val="left"/>
    </w:pPr>
    <w:rPr>
      <w:sz w:val="18"/>
    </w:rPr>
  </w:style>
  <w:style w:type="paragraph" w:styleId="a8">
    <w:name w:val="Normal (Web)"/>
    <w:basedOn w:val="a"/>
    <w:qFormat/>
    <w:rsid w:val="008D1A9A"/>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8D1A9A"/>
    <w:rPr>
      <w:b/>
      <w:bCs/>
    </w:rPr>
  </w:style>
  <w:style w:type="character" w:styleId="aa">
    <w:name w:val="page number"/>
    <w:basedOn w:val="a0"/>
    <w:uiPriority w:val="99"/>
    <w:unhideWhenUsed/>
    <w:qFormat/>
    <w:rsid w:val="008D1A9A"/>
  </w:style>
  <w:style w:type="character" w:styleId="ab">
    <w:name w:val="annotation reference"/>
    <w:uiPriority w:val="99"/>
    <w:unhideWhenUsed/>
    <w:qFormat/>
    <w:rsid w:val="008D1A9A"/>
    <w:rPr>
      <w:sz w:val="21"/>
      <w:szCs w:val="21"/>
    </w:rPr>
  </w:style>
  <w:style w:type="character" w:styleId="ac">
    <w:name w:val="footnote reference"/>
    <w:uiPriority w:val="99"/>
    <w:unhideWhenUsed/>
    <w:qFormat/>
    <w:rsid w:val="008D1A9A"/>
    <w:rPr>
      <w:vertAlign w:val="superscript"/>
    </w:rPr>
  </w:style>
  <w:style w:type="character" w:customStyle="1" w:styleId="Char0">
    <w:name w:val="批注框文本 Char"/>
    <w:link w:val="a4"/>
    <w:uiPriority w:val="99"/>
    <w:semiHidden/>
    <w:qFormat/>
    <w:rsid w:val="008D1A9A"/>
    <w:rPr>
      <w:kern w:val="2"/>
      <w:sz w:val="18"/>
      <w:szCs w:val="18"/>
    </w:rPr>
  </w:style>
  <w:style w:type="character" w:customStyle="1" w:styleId="Char2">
    <w:name w:val="页眉 Char"/>
    <w:link w:val="a6"/>
    <w:uiPriority w:val="99"/>
    <w:semiHidden/>
    <w:qFormat/>
    <w:locked/>
    <w:rsid w:val="008D1A9A"/>
    <w:rPr>
      <w:rFonts w:ascii="Times New Roman" w:hAnsi="Times New Roman" w:cs="Times New Roman" w:hint="default"/>
      <w:sz w:val="18"/>
      <w:szCs w:val="18"/>
    </w:rPr>
  </w:style>
  <w:style w:type="character" w:customStyle="1" w:styleId="Char3">
    <w:name w:val="批注主题 Char"/>
    <w:link w:val="a9"/>
    <w:uiPriority w:val="99"/>
    <w:semiHidden/>
    <w:qFormat/>
    <w:rsid w:val="008D1A9A"/>
    <w:rPr>
      <w:b/>
      <w:bCs/>
      <w:kern w:val="2"/>
      <w:sz w:val="21"/>
      <w:szCs w:val="22"/>
    </w:rPr>
  </w:style>
  <w:style w:type="character" w:customStyle="1" w:styleId="Char1">
    <w:name w:val="页脚 Char"/>
    <w:link w:val="a5"/>
    <w:uiPriority w:val="99"/>
    <w:semiHidden/>
    <w:qFormat/>
    <w:locked/>
    <w:rsid w:val="008D1A9A"/>
    <w:rPr>
      <w:rFonts w:ascii="Times New Roman" w:hAnsi="Times New Roman" w:cs="Times New Roman" w:hint="default"/>
      <w:sz w:val="18"/>
      <w:szCs w:val="18"/>
    </w:rPr>
  </w:style>
  <w:style w:type="character" w:customStyle="1" w:styleId="Char">
    <w:name w:val="批注文字 Char"/>
    <w:link w:val="a3"/>
    <w:uiPriority w:val="99"/>
    <w:qFormat/>
    <w:rsid w:val="008D1A9A"/>
    <w:rPr>
      <w:kern w:val="2"/>
      <w:sz w:val="21"/>
      <w:szCs w:val="22"/>
    </w:rPr>
  </w:style>
  <w:style w:type="paragraph" w:customStyle="1" w:styleId="zhongyaotishi">
    <w:name w:val="zhongyaotishi"/>
    <w:basedOn w:val="a"/>
    <w:qFormat/>
    <w:rsid w:val="008D1A9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D1A9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D1A9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D1A9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D1A9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D1A9A"/>
    <w:pPr>
      <w:widowControl w:val="0"/>
      <w:jc w:val="center"/>
    </w:pPr>
    <w:rPr>
      <w:kern w:val="2"/>
      <w:sz w:val="33"/>
      <w:szCs w:val="22"/>
    </w:rPr>
  </w:style>
  <w:style w:type="paragraph" w:customStyle="1" w:styleId="biaogeleft">
    <w:name w:val="biaoge_left"/>
    <w:basedOn w:val="a"/>
    <w:qFormat/>
    <w:rsid w:val="008D1A9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D1A9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D1A9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D1A9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D1A9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D1A9A"/>
    <w:pPr>
      <w:widowControl w:val="0"/>
    </w:pPr>
    <w:rPr>
      <w:kern w:val="2"/>
      <w:sz w:val="21"/>
      <w:szCs w:val="22"/>
    </w:rPr>
  </w:style>
  <w:style w:type="paragraph" w:customStyle="1" w:styleId="neirong">
    <w:name w:val="neirong"/>
    <w:basedOn w:val="a"/>
    <w:qFormat/>
    <w:rsid w:val="008D1A9A"/>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8D1A9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759</Words>
  <Characters>4328</Characters>
  <Application>Microsoft Office Word</Application>
  <DocSecurity>0</DocSecurity>
  <Lines>36</Lines>
  <Paragraphs>10</Paragraphs>
  <ScaleCrop>false</ScaleCrop>
  <Company>微软中国</Company>
  <LinksUpToDate>false</LinksUpToDate>
  <CharactersWithSpaces>5077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35</cp:revision>
  <cp:lastPrinted>2019-09-11T00:56:00Z</cp:lastPrinted>
  <dcterms:created xsi:type="dcterms:W3CDTF">2020-12-16T03:30:00Z</dcterms:created>
  <dcterms:modified xsi:type="dcterms:W3CDTF">2021-03-30T02:21:00Z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80CE75AC45B0431891A2AF5FFFFE3348</vt:lpwstr>
  </property>
</Properties>
</file>