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D4" w:rsidRDefault="00672BD4">
      <w:pPr>
        <w:pStyle w:val="dazhangjie"/>
        <w:rPr>
          <w:b/>
          <w:bCs/>
          <w:color w:val="000000"/>
        </w:rPr>
      </w:pPr>
    </w:p>
    <w:p w:rsidR="00672BD4" w:rsidRDefault="00672BD4">
      <w:pPr>
        <w:pStyle w:val="dazhangjie"/>
        <w:rPr>
          <w:b/>
          <w:bCs/>
          <w:color w:val="000000"/>
        </w:rPr>
      </w:pPr>
    </w:p>
    <w:p w:rsidR="00672BD4" w:rsidRDefault="00672BD4">
      <w:pPr>
        <w:pStyle w:val="dazhangjie"/>
        <w:rPr>
          <w:b/>
          <w:bCs/>
          <w:color w:val="000000"/>
        </w:rPr>
      </w:pPr>
    </w:p>
    <w:p w:rsidR="00672BD4" w:rsidRDefault="00F75AD0">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20W392D</w:t>
      </w:r>
      <w:r>
        <w:rPr>
          <w:rFonts w:ascii="黑体" w:eastAsia="黑体" w:hAnsi="黑体"/>
          <w:b/>
          <w:bCs/>
          <w:sz w:val="36"/>
        </w:rPr>
        <w:t>封闭式公募人民币理财产品</w:t>
      </w:r>
    </w:p>
    <w:p w:rsidR="00672BD4" w:rsidRDefault="00F75AD0">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rPr>
          <w:rFonts w:ascii="黑体" w:eastAsia="黑体" w:hAnsi="黑体"/>
          <w:b/>
          <w:bCs/>
          <w:color w:val="000000"/>
          <w:sz w:val="36"/>
        </w:rPr>
      </w:pPr>
    </w:p>
    <w:p w:rsidR="00672BD4" w:rsidRDefault="00672BD4">
      <w:pPr>
        <w:pStyle w:val="dazhangjie"/>
        <w:spacing w:before="240" w:after="120"/>
        <w:ind w:left="0"/>
        <w:jc w:val="both"/>
        <w:rPr>
          <w:rFonts w:ascii="黑体" w:eastAsia="黑体" w:hAnsi="黑体"/>
          <w:b/>
          <w:bCs/>
          <w:color w:val="000000"/>
          <w:sz w:val="36"/>
        </w:rPr>
      </w:pPr>
    </w:p>
    <w:p w:rsidR="00672BD4" w:rsidRDefault="00F75AD0">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672BD4" w:rsidRDefault="00F75AD0">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672BD4" w:rsidRDefault="00672BD4">
      <w:pPr>
        <w:widowControl/>
        <w:jc w:val="left"/>
        <w:rPr>
          <w:rFonts w:ascii="宋体" w:hAnsi="宋体" w:cs="宋体"/>
          <w:color w:val="000000"/>
          <w:kern w:val="0"/>
          <w:sz w:val="24"/>
          <w:szCs w:val="24"/>
        </w:rPr>
        <w:sectPr w:rsidR="00672BD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672BD4" w:rsidRDefault="00672BD4">
      <w:pPr>
        <w:widowControl/>
        <w:jc w:val="left"/>
        <w:rPr>
          <w:rFonts w:ascii="宋体" w:hAnsi="宋体" w:cs="宋体"/>
          <w:color w:val="000000"/>
          <w:kern w:val="0"/>
          <w:sz w:val="24"/>
          <w:szCs w:val="24"/>
        </w:rPr>
      </w:pPr>
    </w:p>
    <w:p w:rsidR="00672BD4" w:rsidRDefault="00F75AD0">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672BD4" w:rsidRDefault="00672BD4">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rPr>
              <w:t>南京银行珠联璧合逸稳</w:t>
            </w:r>
            <w:r>
              <w:rPr>
                <w:rFonts w:hint="eastAsia"/>
              </w:rPr>
              <w:t>20W392D</w:t>
            </w:r>
            <w:r>
              <w:rPr>
                <w:rFonts w:hint="eastAsia"/>
              </w:rPr>
              <w:t>封闭式公募人民币理财产品</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pPr>
            <w:r>
              <w:t>C1086920000027</w:t>
            </w:r>
            <w:r>
              <w:rPr>
                <w:rFonts w:hint="eastAsia"/>
              </w:rPr>
              <w:t>（投资者可依据该编码在中国理财网</w:t>
            </w:r>
            <w:r>
              <w:rPr>
                <w:rFonts w:hint="eastAsia"/>
              </w:rPr>
              <w:t>www.chinawealth.com.cn</w:t>
            </w:r>
            <w:r>
              <w:rPr>
                <w:rFonts w:hint="eastAsia"/>
              </w:rPr>
              <w:t>查询理财产品相关信息）</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rPr>
              <w:t>开放式</w:t>
            </w:r>
            <w:r>
              <w:rPr>
                <w:rFonts w:hint="eastAsia"/>
              </w:rPr>
              <w:t>净值型</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7A5975">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rPr>
              <w:t>2020</w:t>
            </w:r>
            <w:r>
              <w:rPr>
                <w:rFonts w:hint="eastAsia"/>
              </w:rPr>
              <w:t>年</w:t>
            </w:r>
            <w:r>
              <w:rPr>
                <w:rFonts w:hint="eastAsia"/>
              </w:rPr>
              <w:t>09</w:t>
            </w:r>
            <w:r>
              <w:rPr>
                <w:rFonts w:hint="eastAsia"/>
              </w:rPr>
              <w:t>月</w:t>
            </w:r>
            <w:r>
              <w:rPr>
                <w:rFonts w:hint="eastAsia"/>
              </w:rPr>
              <w:t>02</w:t>
            </w:r>
            <w:r>
              <w:rPr>
                <w:rFonts w:hint="eastAsia"/>
              </w:rPr>
              <w:t>日</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highlight w:val="yellow"/>
              </w:rPr>
            </w:pPr>
            <w:r>
              <w:rPr>
                <w:rFonts w:hint="eastAsia"/>
              </w:rPr>
              <w:t>570,732,000.00</w:t>
            </w:r>
            <w:r>
              <w:rPr>
                <w:rFonts w:hint="eastAsia"/>
              </w:rPr>
              <w:t>份</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100.19%</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汇添富基金管理有限公司、中银基金管理有限公司、易方达基金管理有限公司、中融基金管理有限公司</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rPr>
              <w:t>南京银行股份有限公司</w:t>
            </w:r>
          </w:p>
        </w:tc>
      </w:tr>
      <w:tr w:rsidR="00672BD4">
        <w:tc>
          <w:tcPr>
            <w:tcW w:w="281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left"/>
              <w:wordWrap w:val="0"/>
              <w:rPr>
                <w:color w:val="000000"/>
              </w:rPr>
            </w:pPr>
            <w:r>
              <w:rPr>
                <w:rFonts w:hint="eastAsia"/>
              </w:rPr>
              <w:t>南京银行股份有限公司</w:t>
            </w:r>
          </w:p>
        </w:tc>
      </w:tr>
    </w:tbl>
    <w:p w:rsidR="00672BD4" w:rsidRDefault="00672BD4">
      <w:pPr>
        <w:widowControl/>
        <w:jc w:val="left"/>
        <w:rPr>
          <w:rFonts w:ascii="宋体" w:hAnsi="宋体" w:cs="宋体"/>
          <w:color w:val="000000"/>
          <w:kern w:val="0"/>
          <w:sz w:val="24"/>
          <w:szCs w:val="24"/>
        </w:rPr>
      </w:pPr>
    </w:p>
    <w:p w:rsidR="00672BD4" w:rsidRDefault="00672BD4">
      <w:pPr>
        <w:pStyle w:val="dazhangjie"/>
        <w:rPr>
          <w:rFonts w:hAnsi="Calibri"/>
          <w:b/>
          <w:color w:val="000000"/>
        </w:rPr>
      </w:pPr>
    </w:p>
    <w:p w:rsidR="00672BD4" w:rsidRDefault="00F75AD0">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672BD4" w:rsidRDefault="00672BD4">
      <w:pPr>
        <w:widowControl/>
        <w:jc w:val="left"/>
        <w:rPr>
          <w:rFonts w:ascii="宋体" w:hAnsi="宋体" w:cs="宋体"/>
          <w:color w:val="000000"/>
          <w:kern w:val="0"/>
          <w:sz w:val="24"/>
          <w:szCs w:val="24"/>
        </w:rPr>
      </w:pPr>
    </w:p>
    <w:p w:rsidR="00672BD4" w:rsidRDefault="00F75AD0">
      <w:pPr>
        <w:pStyle w:val="zhangjiep"/>
        <w:rPr>
          <w:color w:val="000000"/>
        </w:rPr>
      </w:pPr>
      <w:r>
        <w:rPr>
          <w:rFonts w:hint="eastAsia"/>
          <w:b/>
          <w:bCs/>
          <w:color w:val="000000"/>
        </w:rPr>
        <w:t xml:space="preserve">2.1 </w:t>
      </w:r>
      <w:r>
        <w:rPr>
          <w:rFonts w:hint="eastAsia"/>
          <w:b/>
          <w:bCs/>
          <w:color w:val="000000"/>
        </w:rPr>
        <w:t>主要财务指标</w:t>
      </w:r>
    </w:p>
    <w:p w:rsidR="00672BD4" w:rsidRDefault="00F75AD0">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672BD4">
        <w:tc>
          <w:tcPr>
            <w:tcW w:w="5220"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dazhangjie"/>
              <w:spacing w:before="240" w:after="120"/>
              <w:rPr>
                <w:color w:val="000000"/>
              </w:rPr>
            </w:pPr>
            <w:r>
              <w:t>报告期（</w:t>
            </w:r>
            <w:r>
              <w:rPr>
                <w:rFonts w:hint="eastAsia"/>
              </w:rPr>
              <w:t>2020</w:t>
            </w:r>
            <w:r>
              <w:rPr>
                <w:rFonts w:hint="eastAsia"/>
              </w:rPr>
              <w:t>年</w:t>
            </w:r>
            <w:r>
              <w:rPr>
                <w:rFonts w:hint="eastAsia"/>
              </w:rPr>
              <w:t>09</w:t>
            </w:r>
            <w:r>
              <w:rPr>
                <w:rFonts w:hint="eastAsia"/>
              </w:rPr>
              <w:t>月</w:t>
            </w:r>
            <w:r>
              <w:rPr>
                <w:rFonts w:hint="eastAsia"/>
              </w:rPr>
              <w:t>02</w:t>
            </w:r>
            <w:r>
              <w:rPr>
                <w:rFonts w:hint="eastAsia"/>
              </w:rPr>
              <w:t>日</w:t>
            </w:r>
            <w:r>
              <w:t>- 2020</w:t>
            </w:r>
            <w:r>
              <w:t>年</w:t>
            </w:r>
            <w:r>
              <w:t>12</w:t>
            </w:r>
            <w:r>
              <w:t>月</w:t>
            </w:r>
            <w:r>
              <w:t>31</w:t>
            </w:r>
            <w:r>
              <w:t>日）</w:t>
            </w:r>
          </w:p>
        </w:tc>
      </w:tr>
      <w:tr w:rsidR="00672BD4">
        <w:tc>
          <w:tcPr>
            <w:tcW w:w="5220"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right"/>
              <w:jc w:val="center"/>
              <w:rPr>
                <w:color w:val="000000"/>
                <w:highlight w:val="yellow"/>
              </w:rPr>
            </w:pPr>
            <w:r>
              <w:rPr>
                <w:rFonts w:hint="eastAsia"/>
              </w:rPr>
              <w:t>579,420,389.24</w:t>
            </w:r>
          </w:p>
        </w:tc>
      </w:tr>
      <w:tr w:rsidR="00672BD4">
        <w:tc>
          <w:tcPr>
            <w:tcW w:w="5220"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right"/>
              <w:jc w:val="center"/>
              <w:rPr>
                <w:color w:val="000000"/>
                <w:highlight w:val="yellow"/>
              </w:rPr>
            </w:pPr>
            <w:r>
              <w:rPr>
                <w:rFonts w:hint="eastAsia"/>
              </w:rPr>
              <w:t>1.0152</w:t>
            </w:r>
          </w:p>
        </w:tc>
      </w:tr>
      <w:tr w:rsidR="00672BD4">
        <w:tc>
          <w:tcPr>
            <w:tcW w:w="5220"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right"/>
              <w:jc w:val="center"/>
              <w:rPr>
                <w:color w:val="000000"/>
                <w:highlight w:val="yellow"/>
              </w:rPr>
            </w:pPr>
            <w:r>
              <w:rPr>
                <w:rFonts w:hint="eastAsia"/>
              </w:rPr>
              <w:t>1.0152</w:t>
            </w:r>
          </w:p>
        </w:tc>
      </w:tr>
      <w:tr w:rsidR="00672BD4">
        <w:tc>
          <w:tcPr>
            <w:tcW w:w="5220" w:type="dxa"/>
            <w:vAlign w:val="center"/>
          </w:tcPr>
          <w:p w:rsidR="00672BD4" w:rsidRDefault="00672BD4">
            <w:pPr>
              <w:widowControl/>
              <w:jc w:val="left"/>
              <w:rPr>
                <w:rFonts w:ascii="宋体" w:hAnsi="宋体" w:cs="宋体"/>
                <w:color w:val="000000"/>
                <w:kern w:val="0"/>
                <w:sz w:val="24"/>
                <w:szCs w:val="24"/>
              </w:rPr>
            </w:pPr>
          </w:p>
        </w:tc>
        <w:tc>
          <w:tcPr>
            <w:tcW w:w="3825" w:type="dxa"/>
            <w:vAlign w:val="center"/>
          </w:tcPr>
          <w:p w:rsidR="00672BD4" w:rsidRDefault="00672BD4">
            <w:pPr>
              <w:widowControl/>
              <w:jc w:val="left"/>
              <w:rPr>
                <w:color w:val="000000"/>
                <w:kern w:val="0"/>
                <w:sz w:val="20"/>
                <w:szCs w:val="20"/>
              </w:rPr>
            </w:pPr>
          </w:p>
        </w:tc>
      </w:tr>
    </w:tbl>
    <w:p w:rsidR="00672BD4" w:rsidRDefault="00672BD4">
      <w:pPr>
        <w:pStyle w:val="biaogeleft"/>
        <w:ind w:left="0"/>
        <w:rPr>
          <w:color w:val="000000"/>
        </w:rPr>
      </w:pPr>
    </w:p>
    <w:p w:rsidR="00672BD4" w:rsidRDefault="00672BD4">
      <w:pPr>
        <w:widowControl/>
        <w:jc w:val="left"/>
        <w:rPr>
          <w:rFonts w:ascii="宋体" w:hAnsi="宋体" w:cs="宋体"/>
          <w:color w:val="000000"/>
          <w:kern w:val="0"/>
          <w:sz w:val="24"/>
          <w:szCs w:val="24"/>
        </w:rPr>
      </w:pPr>
    </w:p>
    <w:p w:rsidR="00672BD4" w:rsidRDefault="00F75AD0">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672BD4" w:rsidRDefault="00F75AD0">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672BD4" w:rsidRDefault="00F75AD0">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672BD4" w:rsidRDefault="00F75AD0">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672BD4" w:rsidRDefault="00F75AD0">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672BD4" w:rsidRDefault="00F75AD0">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672BD4" w:rsidRDefault="00F75AD0">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672BD4" w:rsidRDefault="00F75AD0">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672BD4" w:rsidRDefault="00F75AD0">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672BD4" w:rsidRDefault="00F75AD0">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1.0152</w:t>
      </w:r>
      <w:r>
        <w:rPr>
          <w:rFonts w:hint="eastAsia"/>
          <w:color w:val="000000"/>
        </w:rPr>
        <w:t>元。</w:t>
      </w:r>
    </w:p>
    <w:p w:rsidR="00672BD4" w:rsidRDefault="00672BD4">
      <w:pPr>
        <w:widowControl/>
        <w:jc w:val="left"/>
        <w:rPr>
          <w:rFonts w:ascii="宋体" w:hAnsi="宋体" w:cs="宋体"/>
          <w:color w:val="000000"/>
          <w:kern w:val="0"/>
          <w:sz w:val="24"/>
          <w:szCs w:val="24"/>
        </w:rPr>
      </w:pPr>
    </w:p>
    <w:p w:rsidR="00672BD4" w:rsidRDefault="00F75AD0">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672BD4" w:rsidRDefault="00672BD4">
      <w:pPr>
        <w:pStyle w:val="dazhangjie"/>
        <w:rPr>
          <w:rFonts w:hAnsi="Calibri"/>
          <w:b/>
          <w:color w:val="000000"/>
        </w:rPr>
      </w:pPr>
    </w:p>
    <w:p w:rsidR="00672BD4" w:rsidRDefault="00F75AD0">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672BD4" w:rsidRDefault="00F75AD0">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09</w:t>
      </w:r>
      <w:r>
        <w:rPr>
          <w:rFonts w:hint="eastAsia"/>
        </w:rPr>
        <w:t>月</w:t>
      </w:r>
      <w:r>
        <w:rPr>
          <w:rFonts w:hint="eastAsia"/>
        </w:rPr>
        <w:t>02</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672BD4" w:rsidRDefault="00F75AD0">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672BD4" w:rsidRDefault="00F75AD0">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672BD4" w:rsidRDefault="00F75AD0">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672BD4" w:rsidRDefault="00F75AD0">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672BD4" w:rsidRDefault="00672BD4">
      <w:pPr>
        <w:pStyle w:val="biaogeleft"/>
        <w:spacing w:line="360" w:lineRule="auto"/>
        <w:ind w:firstLine="480"/>
        <w:rPr>
          <w:color w:val="000000"/>
        </w:rPr>
      </w:pPr>
    </w:p>
    <w:p w:rsidR="00672BD4" w:rsidRDefault="00F75AD0">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672BD4" w:rsidRDefault="00672BD4">
      <w:pPr>
        <w:widowControl/>
        <w:jc w:val="left"/>
        <w:rPr>
          <w:rFonts w:ascii="宋体" w:hAnsi="宋体" w:cs="宋体"/>
          <w:kern w:val="0"/>
          <w:sz w:val="24"/>
          <w:szCs w:val="24"/>
        </w:rPr>
      </w:pPr>
    </w:p>
    <w:p w:rsidR="00672BD4" w:rsidRDefault="00F75AD0">
      <w:pPr>
        <w:pStyle w:val="zhangjiep"/>
      </w:pPr>
      <w:bookmarkStart w:id="5" w:name="_Toc61271615"/>
      <w:r>
        <w:rPr>
          <w:rFonts w:hint="eastAsia"/>
          <w:b/>
          <w:bCs/>
        </w:rPr>
        <w:t xml:space="preserve">5.1 </w:t>
      </w:r>
      <w:r>
        <w:rPr>
          <w:rFonts w:hint="eastAsia"/>
          <w:b/>
          <w:bCs/>
        </w:rPr>
        <w:t>资产负债表</w:t>
      </w:r>
      <w:bookmarkEnd w:id="5"/>
    </w:p>
    <w:p w:rsidR="00672BD4" w:rsidRDefault="00F75AD0">
      <w:pPr>
        <w:pStyle w:val="biaogeleft"/>
      </w:pPr>
      <w:r>
        <w:rPr>
          <w:rFonts w:hint="eastAsia"/>
        </w:rPr>
        <w:t>会计主体：南京银行珠联璧合逸稳</w:t>
      </w:r>
      <w:r>
        <w:rPr>
          <w:rFonts w:hint="eastAsia"/>
        </w:rPr>
        <w:t>20W392D</w:t>
      </w:r>
      <w:r>
        <w:rPr>
          <w:rFonts w:hint="eastAsia"/>
        </w:rPr>
        <w:t>封闭式公募人民币理财产品</w:t>
      </w:r>
    </w:p>
    <w:p w:rsidR="00672BD4" w:rsidRDefault="00F75AD0">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72BD4" w:rsidRDefault="00F75AD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Ansi="Calibri" w:hint="eastAsia"/>
                <w:color w:val="000000"/>
              </w:rPr>
              <w:t>本期末</w:t>
            </w:r>
            <w:r>
              <w:rPr>
                <w:rFonts w:hAnsi="Calibri" w:hint="eastAsia"/>
                <w:color w:val="000000"/>
              </w:rPr>
              <w:t> </w:t>
            </w:r>
          </w:p>
          <w:p w:rsidR="00672BD4" w:rsidRDefault="00F75AD0">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 </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739,990.29</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42,952,226.71</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42,952,226.71</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1,967,429.55</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2,894,915.07</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108,000,000.00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424,008,974.22</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580,563,535.84</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本期末</w:t>
            </w:r>
            <w:r>
              <w:rPr>
                <w:rFonts w:hint="eastAsia"/>
              </w:rPr>
              <w:t> </w:t>
            </w:r>
          </w:p>
          <w:p w:rsidR="00672BD4" w:rsidRDefault="00F75AD0">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 </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636,226.02</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31,811.76</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318,112.50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156,996.32</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1,143,146.60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 </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570,732,000.00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0.00</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8,688,389.24</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579,420,389.24</w:t>
            </w:r>
          </w:p>
        </w:tc>
      </w:tr>
      <w:tr w:rsidR="00672BD4">
        <w:tc>
          <w:tcPr>
            <w:tcW w:w="3660"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cs="Arial" w:hint="eastAsia"/>
                <w:color w:val="000000"/>
              </w:rPr>
              <w:t>580,563,535.84</w:t>
            </w:r>
          </w:p>
        </w:tc>
      </w:tr>
    </w:tbl>
    <w:p w:rsidR="00672BD4" w:rsidRDefault="00672BD4">
      <w:pPr>
        <w:widowControl/>
        <w:jc w:val="left"/>
        <w:rPr>
          <w:rFonts w:ascii="宋体" w:hAnsi="宋体" w:cs="宋体"/>
          <w:kern w:val="0"/>
          <w:sz w:val="24"/>
          <w:szCs w:val="24"/>
        </w:rPr>
      </w:pPr>
    </w:p>
    <w:p w:rsidR="00672BD4" w:rsidRDefault="00F75AD0">
      <w:pPr>
        <w:pStyle w:val="zhangjiep"/>
      </w:pPr>
      <w:bookmarkStart w:id="6" w:name="_Toc61427888"/>
      <w:r>
        <w:rPr>
          <w:rFonts w:hint="eastAsia"/>
          <w:b/>
          <w:bCs/>
        </w:rPr>
        <w:t xml:space="preserve">5.2 </w:t>
      </w:r>
      <w:r>
        <w:rPr>
          <w:rFonts w:hint="eastAsia"/>
          <w:b/>
          <w:bCs/>
        </w:rPr>
        <w:t>利润表</w:t>
      </w:r>
      <w:bookmarkEnd w:id="6"/>
    </w:p>
    <w:p w:rsidR="00672BD4" w:rsidRDefault="00F75AD0">
      <w:pPr>
        <w:pStyle w:val="biaogeleft"/>
      </w:pPr>
      <w:r>
        <w:rPr>
          <w:rFonts w:hint="eastAsia"/>
        </w:rPr>
        <w:t>会计主体：南京银行珠联璧合逸稳</w:t>
      </w:r>
      <w:r>
        <w:rPr>
          <w:rFonts w:hint="eastAsia"/>
        </w:rPr>
        <w:t>20W392D</w:t>
      </w:r>
      <w:r>
        <w:rPr>
          <w:rFonts w:hint="eastAsia"/>
        </w:rPr>
        <w:t>封闭式公募人民币理财产品</w:t>
      </w:r>
    </w:p>
    <w:p w:rsidR="00672BD4" w:rsidRDefault="00F75AD0">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72BD4" w:rsidRDefault="00F75AD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672BD4">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09</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672BD4">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672BD4" w:rsidRDefault="00672BD4">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672BD4" w:rsidRDefault="00672BD4">
            <w:pPr>
              <w:widowControl/>
              <w:jc w:val="left"/>
              <w:rPr>
                <w:rFonts w:asciiTheme="minorEastAsia" w:eastAsiaTheme="minorEastAsia" w:hAnsiTheme="minorEastAsia" w:cs="宋体"/>
                <w:kern w:val="0"/>
                <w:sz w:val="24"/>
                <w:szCs w:val="24"/>
              </w:rPr>
            </w:pP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b/>
                <w:bCs/>
                <w:color w:val="000000"/>
              </w:rPr>
              <w:t>9,881,109.33</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1,941,397.48</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31,324.53</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1,910,072.95</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ascii="Arial" w:hAnsi="Arial" w:cs="Arial"/>
                <w:color w:val="000000"/>
              </w:rPr>
              <w:t xml:space="preserve">　</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319,944.54</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319,944.54</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4,936,378.79</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 xml:space="preserve">　</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2,683,388.52</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b/>
                <w:bCs/>
                <w:color w:val="000000"/>
              </w:rPr>
              <w:t>1,192,720.09</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754,738.71</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37,737.48</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377,368.75</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3,000.00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19,875.15</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color w:val="000000"/>
              </w:rPr>
              <w:t>0.00</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b/>
                <w:bCs/>
                <w:color w:val="000000"/>
              </w:rPr>
              <w:t>8,688,389.24</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ascii="Arial" w:hAnsi="Arial" w:cs="Arial"/>
                <w:color w:val="000000"/>
              </w:rPr>
              <w:t xml:space="preserve">　</w:t>
            </w:r>
          </w:p>
        </w:tc>
      </w:tr>
      <w:tr w:rsidR="00672BD4">
        <w:tc>
          <w:tcPr>
            <w:tcW w:w="2969"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rPr>
                <w:rFonts w:asciiTheme="minorEastAsia" w:eastAsiaTheme="minorEastAsia" w:hAnsiTheme="minorEastAsia"/>
              </w:rPr>
            </w:pPr>
            <w:r>
              <w:rPr>
                <w:rFonts w:cs="Arial" w:hint="eastAsia"/>
                <w:b/>
                <w:bCs/>
                <w:color w:val="000000"/>
              </w:rPr>
              <w:t>8,688,389.24</w:t>
            </w:r>
          </w:p>
        </w:tc>
      </w:tr>
    </w:tbl>
    <w:p w:rsidR="00672BD4" w:rsidRDefault="00672BD4">
      <w:pPr>
        <w:widowControl/>
        <w:jc w:val="left"/>
        <w:rPr>
          <w:rFonts w:ascii="宋体" w:hAnsi="宋体" w:cs="宋体"/>
          <w:kern w:val="0"/>
          <w:sz w:val="24"/>
          <w:szCs w:val="24"/>
        </w:rPr>
      </w:pPr>
    </w:p>
    <w:p w:rsidR="00672BD4" w:rsidRDefault="00F75AD0">
      <w:pPr>
        <w:pStyle w:val="zhangjiep"/>
      </w:pPr>
      <w:bookmarkStart w:id="7" w:name="_Toc61427889"/>
      <w:r>
        <w:rPr>
          <w:rFonts w:hint="eastAsia"/>
          <w:b/>
          <w:bCs/>
        </w:rPr>
        <w:t xml:space="preserve">5.3 </w:t>
      </w:r>
      <w:r>
        <w:rPr>
          <w:rFonts w:hint="eastAsia"/>
          <w:b/>
          <w:bCs/>
        </w:rPr>
        <w:t>所有者权益（基金净值）变动表</w:t>
      </w:r>
      <w:bookmarkEnd w:id="7"/>
    </w:p>
    <w:p w:rsidR="00672BD4" w:rsidRDefault="00F75AD0">
      <w:pPr>
        <w:pStyle w:val="biaogeleft"/>
      </w:pPr>
      <w:r>
        <w:rPr>
          <w:rFonts w:hint="eastAsia"/>
        </w:rPr>
        <w:t>会计主体：南京银行珠联璧合逸稳</w:t>
      </w:r>
      <w:r>
        <w:rPr>
          <w:rFonts w:hint="eastAsia"/>
        </w:rPr>
        <w:t>20W392D</w:t>
      </w:r>
      <w:r>
        <w:rPr>
          <w:rFonts w:hint="eastAsia"/>
        </w:rPr>
        <w:t>封闭式公募人民币理财产品</w:t>
      </w:r>
    </w:p>
    <w:p w:rsidR="00672BD4" w:rsidRDefault="00F75AD0">
      <w:pPr>
        <w:pStyle w:val="biaogeleft"/>
      </w:pPr>
      <w:r>
        <w:rPr>
          <w:rFonts w:hint="eastAsia"/>
        </w:rPr>
        <w:t>本报告期：</w:t>
      </w:r>
      <w:r>
        <w:rPr>
          <w:rFonts w:hint="eastAsia"/>
        </w:rPr>
        <w:t>2020</w:t>
      </w:r>
      <w:r>
        <w:rPr>
          <w:rFonts w:hint="eastAsia"/>
        </w:rPr>
        <w:t>年</w:t>
      </w:r>
      <w:r>
        <w:rPr>
          <w:rFonts w:hint="eastAsia"/>
        </w:rPr>
        <w:t>09</w:t>
      </w:r>
      <w:r>
        <w:rPr>
          <w:rFonts w:hint="eastAsia"/>
        </w:rPr>
        <w:t>月</w:t>
      </w:r>
      <w:r>
        <w:rPr>
          <w:rFonts w:hint="eastAsia"/>
        </w:rPr>
        <w:t>02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672BD4" w:rsidRDefault="00F75AD0">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672BD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本期</w:t>
            </w:r>
            <w:r>
              <w:rPr>
                <w:rFonts w:hint="eastAsia"/>
              </w:rPr>
              <w:t> </w:t>
            </w:r>
          </w:p>
          <w:p w:rsidR="00672BD4" w:rsidRDefault="00F75AD0">
            <w:pPr>
              <w:pStyle w:val="biaogecenter"/>
              <w:wordWrap w:val="0"/>
            </w:pPr>
            <w:r>
              <w:rPr>
                <w:rFonts w:hint="eastAsia"/>
              </w:rPr>
              <w:t>2020</w:t>
            </w:r>
            <w:r>
              <w:rPr>
                <w:rFonts w:hint="eastAsia"/>
              </w:rPr>
              <w:t>年</w:t>
            </w:r>
            <w:r>
              <w:rPr>
                <w:rFonts w:hint="eastAsia"/>
              </w:rPr>
              <w:t>09</w:t>
            </w:r>
            <w:r>
              <w:rPr>
                <w:rFonts w:hint="eastAsia"/>
              </w:rPr>
              <w:t>月</w:t>
            </w:r>
            <w:r>
              <w:rPr>
                <w:rFonts w:hint="eastAsia"/>
              </w:rPr>
              <w:t>02</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672BD4">
        <w:tc>
          <w:tcPr>
            <w:tcW w:w="2116" w:type="dxa"/>
            <w:vMerge/>
            <w:tcBorders>
              <w:top w:val="single" w:sz="8" w:space="0" w:color="000000"/>
              <w:left w:val="single" w:sz="8" w:space="0" w:color="000000"/>
              <w:bottom w:val="single" w:sz="8" w:space="0" w:color="000000"/>
              <w:right w:val="single" w:sz="8" w:space="0" w:color="000000"/>
            </w:tcBorders>
            <w:vAlign w:val="center"/>
          </w:tcPr>
          <w:p w:rsidR="00672BD4" w:rsidRDefault="00672BD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所有者权益合计</w:t>
            </w:r>
            <w:r>
              <w:rPr>
                <w:rFonts w:hint="eastAsia"/>
              </w:rPr>
              <w:t> </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570,732,000.00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570,732,000.00</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8,688,389.24</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8,688,389.24</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w:t>
            </w:r>
          </w:p>
        </w:tc>
      </w:tr>
      <w:tr w:rsidR="00672BD4">
        <w:tc>
          <w:tcPr>
            <w:tcW w:w="211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570,732,000.00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8,688,389.24</w:t>
            </w:r>
          </w:p>
        </w:tc>
        <w:tc>
          <w:tcPr>
            <w:tcW w:w="2484"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right"/>
              <w:wordWrap w:val="0"/>
            </w:pPr>
            <w:r>
              <w:rPr>
                <w:rFonts w:hint="eastAsia"/>
              </w:rPr>
              <w:t>579,420,389.24</w:t>
            </w:r>
          </w:p>
        </w:tc>
      </w:tr>
    </w:tbl>
    <w:p w:rsidR="00672BD4" w:rsidRDefault="00672BD4">
      <w:pPr>
        <w:widowControl/>
        <w:autoSpaceDE w:val="0"/>
        <w:autoSpaceDN w:val="0"/>
        <w:adjustRightInd w:val="0"/>
        <w:spacing w:line="288" w:lineRule="auto"/>
        <w:jc w:val="right"/>
        <w:rPr>
          <w:rFonts w:ascii="宋体" w:hAnsi="宋体" w:cs="宋体"/>
          <w:kern w:val="0"/>
          <w:sz w:val="24"/>
          <w:szCs w:val="24"/>
        </w:rPr>
      </w:pPr>
    </w:p>
    <w:p w:rsidR="00672BD4" w:rsidRDefault="00672BD4">
      <w:pPr>
        <w:pStyle w:val="biaogeleft"/>
        <w:spacing w:line="360" w:lineRule="auto"/>
        <w:ind w:firstLine="480"/>
        <w:rPr>
          <w:color w:val="000000"/>
        </w:rPr>
      </w:pPr>
    </w:p>
    <w:p w:rsidR="00672BD4" w:rsidRDefault="00F75AD0">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672BD4" w:rsidRDefault="00672BD4">
      <w:pPr>
        <w:widowControl/>
        <w:jc w:val="left"/>
        <w:rPr>
          <w:rFonts w:ascii="宋体" w:hAnsi="宋体" w:cs="宋体"/>
          <w:color w:val="000000"/>
          <w:kern w:val="0"/>
          <w:sz w:val="24"/>
          <w:szCs w:val="24"/>
        </w:rPr>
      </w:pPr>
    </w:p>
    <w:p w:rsidR="00672BD4" w:rsidRDefault="00F75AD0">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672BD4">
        <w:tc>
          <w:tcPr>
            <w:tcW w:w="891" w:type="dxa"/>
            <w:tcBorders>
              <w:top w:val="single" w:sz="8" w:space="0" w:color="000000"/>
              <w:left w:val="single" w:sz="8" w:space="0" w:color="000000"/>
              <w:bottom w:val="single" w:sz="6" w:space="0" w:color="000000"/>
              <w:right w:val="single" w:sz="8" w:space="0" w:color="000000"/>
            </w:tcBorders>
            <w:vAlign w:val="bottom"/>
          </w:tcPr>
          <w:p w:rsidR="00672BD4" w:rsidRDefault="00F75AD0">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672BD4" w:rsidRDefault="00F75AD0">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672BD4" w:rsidRDefault="00F75AD0">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672BD4" w:rsidRDefault="00F75AD0">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42,952,226.71</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7.40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278,000,000.00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47.88</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254,008,974.22</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43.75</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739,990.29</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0.13</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1,967,429.55</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0.34</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2,894,915.07</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672BD4">
        <w:tc>
          <w:tcPr>
            <w:tcW w:w="891"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580,563,535.84</w:t>
            </w:r>
          </w:p>
        </w:tc>
        <w:tc>
          <w:tcPr>
            <w:tcW w:w="2395" w:type="dxa"/>
            <w:tcBorders>
              <w:top w:val="single" w:sz="8" w:space="0" w:color="000000"/>
              <w:left w:val="single" w:sz="8" w:space="0" w:color="000000"/>
              <w:bottom w:val="single" w:sz="8" w:space="0" w:color="000000"/>
              <w:right w:val="single" w:sz="8" w:space="0" w:color="000000"/>
            </w:tcBorders>
            <w:vAlign w:val="center"/>
          </w:tcPr>
          <w:p w:rsidR="00672BD4" w:rsidRDefault="00F75AD0">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672BD4" w:rsidRDefault="00672BD4">
      <w:pPr>
        <w:widowControl/>
        <w:jc w:val="left"/>
        <w:rPr>
          <w:rFonts w:ascii="宋体" w:hAnsi="宋体" w:cs="宋体"/>
          <w:color w:val="000000"/>
          <w:kern w:val="0"/>
          <w:sz w:val="24"/>
          <w:szCs w:val="24"/>
        </w:rPr>
      </w:pPr>
    </w:p>
    <w:p w:rsidR="00672BD4" w:rsidRDefault="00F75AD0">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672BD4">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672BD4" w:rsidRDefault="00F75AD0">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672BD4" w:rsidRDefault="00F75AD0">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672BD4" w:rsidRDefault="00F75AD0">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672BD4" w:rsidRDefault="00F75AD0">
            <w:pPr>
              <w:pStyle w:val="biaogecenter"/>
              <w:wordWrap w:val="0"/>
              <w:rPr>
                <w:color w:val="000000"/>
              </w:rPr>
            </w:pPr>
            <w:r>
              <w:rPr>
                <w:rFonts w:hint="eastAsia"/>
                <w:color w:val="000000"/>
              </w:rPr>
              <w:t>占产品资产净值比例（％）</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ZZGJT202007150001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中融基金</w:t>
            </w:r>
            <w:r>
              <w:rPr>
                <w:rFonts w:ascii="宋体" w:hAnsi="宋体" w:cs="宋体" w:hint="eastAsia"/>
                <w:color w:val="000000"/>
                <w:kern w:val="0"/>
                <w:sz w:val="24"/>
                <w:szCs w:val="24"/>
              </w:rPr>
              <w:t>-</w:t>
            </w:r>
            <w:r>
              <w:rPr>
                <w:rFonts w:ascii="宋体" w:hAnsi="宋体" w:cs="宋体" w:hint="eastAsia"/>
                <w:color w:val="000000"/>
                <w:kern w:val="0"/>
                <w:sz w:val="24"/>
                <w:szCs w:val="24"/>
              </w:rPr>
              <w:t>鑫福</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254,008,974.22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43.84%</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QTBZZ202009110001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苏兴化城建</w:t>
            </w:r>
            <w:r>
              <w:rPr>
                <w:rFonts w:ascii="宋体" w:hAnsi="宋体" w:cs="宋体" w:hint="eastAsia"/>
                <w:color w:val="000000"/>
                <w:kern w:val="0"/>
                <w:sz w:val="24"/>
                <w:szCs w:val="24"/>
              </w:rPr>
              <w:t>ZR003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108,000,000.00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18.64%</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20088163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常州新航</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17.26%</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20088149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无锡惠憬</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70,000,000.00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12.08%</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002351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易方达裕祥回报债券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15,489,163.39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2.67%</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001035</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中银恒利半年定期开放债券</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15,075,786.69</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2.60%</w:t>
            </w:r>
          </w:p>
        </w:tc>
      </w:tr>
      <w:tr w:rsidR="00672BD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672BD4" w:rsidRDefault="00F75AD0">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470018</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rPr>
                <w:rFonts w:ascii="宋体" w:hAnsi="宋体" w:cs="宋体"/>
                <w:color w:val="000000"/>
                <w:kern w:val="0"/>
                <w:sz w:val="24"/>
                <w:szCs w:val="24"/>
              </w:rPr>
            </w:pPr>
            <w:r>
              <w:rPr>
                <w:rFonts w:ascii="宋体" w:hAnsi="宋体" w:cs="宋体" w:hint="eastAsia"/>
                <w:color w:val="000000"/>
                <w:kern w:val="0"/>
                <w:sz w:val="24"/>
                <w:szCs w:val="24"/>
              </w:rPr>
              <w:t>汇添富双利债券</w:t>
            </w:r>
            <w:r>
              <w:rPr>
                <w:rFonts w:ascii="宋体" w:hAnsi="宋体" w:cs="宋体" w:hint="eastAsia"/>
                <w:color w:val="000000"/>
                <w:kern w:val="0"/>
                <w:sz w:val="24"/>
                <w:szCs w:val="24"/>
              </w:rPr>
              <w:t>A</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12,387,276.63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672BD4" w:rsidRDefault="00F75AD0">
            <w:pPr>
              <w:jc w:val="right"/>
              <w:rPr>
                <w:rFonts w:ascii="宋体" w:hAnsi="宋体" w:cs="宋体"/>
                <w:color w:val="000000"/>
                <w:kern w:val="0"/>
                <w:sz w:val="24"/>
                <w:szCs w:val="24"/>
              </w:rPr>
            </w:pPr>
            <w:r>
              <w:rPr>
                <w:rFonts w:ascii="宋体" w:hAnsi="宋体" w:cs="宋体" w:hint="eastAsia"/>
                <w:color w:val="000000"/>
                <w:kern w:val="0"/>
                <w:sz w:val="24"/>
                <w:szCs w:val="24"/>
              </w:rPr>
              <w:t>2.14%</w:t>
            </w:r>
          </w:p>
        </w:tc>
      </w:tr>
    </w:tbl>
    <w:p w:rsidR="00672BD4" w:rsidRDefault="00672BD4">
      <w:pPr>
        <w:widowControl/>
        <w:jc w:val="left"/>
        <w:rPr>
          <w:rFonts w:ascii="宋体" w:hAnsi="宋体" w:cs="宋体"/>
          <w:b/>
          <w:sz w:val="24"/>
          <w:szCs w:val="24"/>
          <w:shd w:val="clear" w:color="auto" w:fill="FFFFFF"/>
        </w:rPr>
      </w:pPr>
    </w:p>
    <w:p w:rsidR="00672BD4" w:rsidRDefault="00F75AD0">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672BD4" w:rsidRDefault="00672BD4">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672BD4">
        <w:tc>
          <w:tcPr>
            <w:tcW w:w="709"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风险状况</w:t>
            </w:r>
          </w:p>
        </w:tc>
      </w:tr>
      <w:tr w:rsidR="00672BD4">
        <w:tc>
          <w:tcPr>
            <w:tcW w:w="70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常州新航建设发展集团有限公司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20</w:t>
            </w:r>
            <w:r>
              <w:rPr>
                <w:rFonts w:hint="eastAsia"/>
                <w:shd w:val="clear" w:color="auto" w:fill="FFFFFF"/>
              </w:rPr>
              <w:t>常州新航</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253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w:t>
            </w:r>
          </w:p>
        </w:tc>
      </w:tr>
      <w:tr w:rsidR="00672BD4">
        <w:tc>
          <w:tcPr>
            <w:tcW w:w="70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无锡惠憬城市发展有限公司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20</w:t>
            </w:r>
            <w:r>
              <w:rPr>
                <w:rFonts w:hint="eastAsia"/>
                <w:shd w:val="clear" w:color="auto" w:fill="FFFFFF"/>
              </w:rPr>
              <w:t>无锡惠憬</w:t>
            </w:r>
            <w:r>
              <w:rPr>
                <w:rFonts w:hint="eastAsia"/>
                <w:shd w:val="clear" w:color="auto" w:fill="FFFFFF"/>
              </w:rPr>
              <w:t>02</w:t>
            </w:r>
          </w:p>
        </w:tc>
        <w:tc>
          <w:tcPr>
            <w:tcW w:w="1417"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232</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w:t>
            </w:r>
          </w:p>
        </w:tc>
      </w:tr>
      <w:tr w:rsidR="00672BD4">
        <w:tc>
          <w:tcPr>
            <w:tcW w:w="709"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兴化市城市建设投资有限公司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20</w:t>
            </w:r>
            <w:r>
              <w:rPr>
                <w:rFonts w:hint="eastAsia"/>
                <w:shd w:val="clear" w:color="auto" w:fill="FFFFFF"/>
              </w:rPr>
              <w:t>苏兴化城建</w:t>
            </w:r>
            <w:r>
              <w:rPr>
                <w:rFonts w:hint="eastAsia"/>
                <w:shd w:val="clear" w:color="auto" w:fill="FFFFFF"/>
              </w:rPr>
              <w:t>ZR003</w:t>
            </w:r>
          </w:p>
        </w:tc>
        <w:tc>
          <w:tcPr>
            <w:tcW w:w="1417"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257</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672BD4" w:rsidRDefault="00F75AD0">
            <w:pPr>
              <w:pStyle w:val="biaogecenter"/>
              <w:wordWrap w:val="0"/>
              <w:rPr>
                <w:shd w:val="clear" w:color="auto" w:fill="FFFFFF"/>
              </w:rPr>
            </w:pPr>
            <w:r>
              <w:rPr>
                <w:rFonts w:hint="eastAsia"/>
                <w:shd w:val="clear" w:color="auto" w:fill="FFFFFF"/>
              </w:rPr>
              <w:t>-</w:t>
            </w:r>
          </w:p>
        </w:tc>
      </w:tr>
    </w:tbl>
    <w:p w:rsidR="00672BD4" w:rsidRDefault="00672BD4">
      <w:pPr>
        <w:widowControl/>
        <w:jc w:val="left"/>
        <w:rPr>
          <w:rFonts w:ascii="宋体" w:hAnsi="宋体" w:cs="宋体"/>
          <w:color w:val="000000"/>
          <w:kern w:val="0"/>
          <w:sz w:val="24"/>
          <w:szCs w:val="24"/>
        </w:rPr>
      </w:pPr>
    </w:p>
    <w:p w:rsidR="00672BD4" w:rsidRDefault="00672BD4">
      <w:pPr>
        <w:widowControl/>
        <w:jc w:val="left"/>
        <w:rPr>
          <w:rFonts w:ascii="宋体" w:hAnsi="宋体" w:cs="宋体"/>
          <w:color w:val="000000"/>
          <w:kern w:val="0"/>
          <w:sz w:val="24"/>
          <w:szCs w:val="24"/>
        </w:rPr>
      </w:pPr>
    </w:p>
    <w:p w:rsidR="00672BD4" w:rsidRDefault="00F75AD0">
      <w:pPr>
        <w:pStyle w:val="dazhangjie"/>
        <w:rPr>
          <w:color w:val="000000"/>
        </w:rPr>
      </w:pPr>
      <w:r>
        <w:rPr>
          <w:rFonts w:hint="eastAsia"/>
          <w:b/>
          <w:bCs/>
          <w:color w:val="000000"/>
        </w:rPr>
        <w:lastRenderedPageBreak/>
        <w:t>§</w:t>
      </w:r>
      <w:r>
        <w:rPr>
          <w:rFonts w:hint="eastAsia"/>
          <w:b/>
          <w:bCs/>
          <w:color w:val="000000"/>
        </w:rPr>
        <w:t xml:space="preserve">7 </w:t>
      </w:r>
      <w:r>
        <w:rPr>
          <w:rFonts w:hint="eastAsia"/>
          <w:b/>
          <w:bCs/>
          <w:color w:val="000000"/>
        </w:rPr>
        <w:t>关联交易情况</w:t>
      </w:r>
    </w:p>
    <w:p w:rsidR="00672BD4" w:rsidRDefault="00F75AD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672BD4" w:rsidRDefault="00F75AD0">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672BD4" w:rsidRDefault="00672BD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672BD4" w:rsidRDefault="00672BD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672BD4" w:rsidRDefault="00672BD4">
      <w:pPr>
        <w:widowControl/>
        <w:jc w:val="left"/>
        <w:rPr>
          <w:rFonts w:ascii="宋体" w:hAnsi="宋体" w:cs="宋体"/>
          <w:color w:val="000000"/>
          <w:kern w:val="0"/>
          <w:sz w:val="24"/>
          <w:szCs w:val="24"/>
        </w:rPr>
      </w:pPr>
    </w:p>
    <w:p w:rsidR="00672BD4" w:rsidRDefault="00672BD4">
      <w:pPr>
        <w:widowControl/>
        <w:jc w:val="left"/>
        <w:rPr>
          <w:rFonts w:ascii="宋体" w:hAnsi="宋体" w:cs="宋体"/>
          <w:color w:val="000000"/>
          <w:kern w:val="0"/>
          <w:sz w:val="24"/>
          <w:szCs w:val="24"/>
        </w:rPr>
      </w:pPr>
    </w:p>
    <w:p w:rsidR="00672BD4" w:rsidRDefault="00672BD4">
      <w:pPr>
        <w:widowControl/>
        <w:jc w:val="left"/>
        <w:rPr>
          <w:rFonts w:ascii="宋体" w:hAnsi="宋体" w:cs="宋体"/>
          <w:color w:val="000000"/>
          <w:kern w:val="0"/>
          <w:sz w:val="24"/>
          <w:szCs w:val="24"/>
        </w:rPr>
      </w:pPr>
    </w:p>
    <w:p w:rsidR="00672BD4" w:rsidRDefault="00672BD4">
      <w:pPr>
        <w:widowControl/>
        <w:jc w:val="left"/>
        <w:rPr>
          <w:color w:val="000000"/>
        </w:rPr>
      </w:pPr>
    </w:p>
    <w:p w:rsidR="00672BD4" w:rsidRDefault="00F75AD0">
      <w:pPr>
        <w:pStyle w:val="biaogeright"/>
        <w:rPr>
          <w:b/>
        </w:rPr>
      </w:pPr>
      <w:r>
        <w:rPr>
          <w:rFonts w:hint="eastAsia"/>
          <w:b/>
        </w:rPr>
        <w:t>南京银行股份有限公司</w:t>
      </w:r>
    </w:p>
    <w:p w:rsidR="00672BD4" w:rsidRDefault="00F75AD0">
      <w:pPr>
        <w:pStyle w:val="biaogeright"/>
        <w:rPr>
          <w:b/>
        </w:rPr>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672BD4" w:rsidRDefault="00672BD4">
      <w:pPr>
        <w:pStyle w:val="biaogeright"/>
        <w:rPr>
          <w:color w:val="000000"/>
        </w:rPr>
      </w:pPr>
    </w:p>
    <w:sectPr w:rsidR="00672BD4" w:rsidSect="00672BD4">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AD0" w:rsidRDefault="00F75AD0" w:rsidP="00672BD4">
      <w:r>
        <w:separator/>
      </w:r>
    </w:p>
  </w:endnote>
  <w:endnote w:type="continuationSeparator" w:id="1">
    <w:p w:rsidR="00F75AD0" w:rsidRDefault="00F75AD0" w:rsidP="00672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D4" w:rsidRDefault="00672BD4">
    <w:pPr>
      <w:pStyle w:val="a5"/>
      <w:framePr w:wrap="around" w:vAnchor="text" w:hAnchor="margin" w:xAlign="center" w:y="1"/>
      <w:rPr>
        <w:rStyle w:val="aa"/>
      </w:rPr>
    </w:pPr>
    <w:r>
      <w:fldChar w:fldCharType="begin"/>
    </w:r>
    <w:r w:rsidR="00F75AD0">
      <w:rPr>
        <w:rStyle w:val="aa"/>
      </w:rPr>
      <w:instrText xml:space="preserve">PAGE  </w:instrText>
    </w:r>
    <w:r>
      <w:fldChar w:fldCharType="end"/>
    </w:r>
  </w:p>
  <w:p w:rsidR="00672BD4" w:rsidRDefault="00672BD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D4" w:rsidRDefault="00672BD4">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75" w:rsidRDefault="007A5975">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D4" w:rsidRDefault="00672BD4">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D4" w:rsidRDefault="00672BD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AD0" w:rsidRDefault="00F75AD0" w:rsidP="00672BD4">
      <w:r>
        <w:separator/>
      </w:r>
    </w:p>
  </w:footnote>
  <w:footnote w:type="continuationSeparator" w:id="1">
    <w:p w:rsidR="00F75AD0" w:rsidRDefault="00F75AD0" w:rsidP="00672B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BD4" w:rsidRDefault="00672BD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75" w:rsidRDefault="007A5975">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975" w:rsidRDefault="007A5975">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65D9B"/>
    <w:rsid w:val="00072777"/>
    <w:rsid w:val="0008202E"/>
    <w:rsid w:val="000A23DD"/>
    <w:rsid w:val="000A28F3"/>
    <w:rsid w:val="000A3711"/>
    <w:rsid w:val="000C0109"/>
    <w:rsid w:val="000D5066"/>
    <w:rsid w:val="000F6191"/>
    <w:rsid w:val="00130CE8"/>
    <w:rsid w:val="00152201"/>
    <w:rsid w:val="00171332"/>
    <w:rsid w:val="00172A27"/>
    <w:rsid w:val="00176636"/>
    <w:rsid w:val="00183C84"/>
    <w:rsid w:val="001C05F9"/>
    <w:rsid w:val="001C5395"/>
    <w:rsid w:val="00211F26"/>
    <w:rsid w:val="002263FC"/>
    <w:rsid w:val="002A3AE9"/>
    <w:rsid w:val="002C196E"/>
    <w:rsid w:val="002D296F"/>
    <w:rsid w:val="002D75D0"/>
    <w:rsid w:val="002E795C"/>
    <w:rsid w:val="00300FA6"/>
    <w:rsid w:val="00305714"/>
    <w:rsid w:val="00313E71"/>
    <w:rsid w:val="00321CB7"/>
    <w:rsid w:val="003379A9"/>
    <w:rsid w:val="00350ADF"/>
    <w:rsid w:val="00355623"/>
    <w:rsid w:val="003A0419"/>
    <w:rsid w:val="003B057D"/>
    <w:rsid w:val="003B3138"/>
    <w:rsid w:val="003C4D3B"/>
    <w:rsid w:val="003E09EA"/>
    <w:rsid w:val="003F0AC3"/>
    <w:rsid w:val="004148E9"/>
    <w:rsid w:val="00435633"/>
    <w:rsid w:val="00456251"/>
    <w:rsid w:val="004861DC"/>
    <w:rsid w:val="004C1607"/>
    <w:rsid w:val="004C1BE1"/>
    <w:rsid w:val="004D2C79"/>
    <w:rsid w:val="004D571B"/>
    <w:rsid w:val="005069D8"/>
    <w:rsid w:val="00530D04"/>
    <w:rsid w:val="0056162E"/>
    <w:rsid w:val="00563B93"/>
    <w:rsid w:val="00567DB3"/>
    <w:rsid w:val="00575BEA"/>
    <w:rsid w:val="005916E8"/>
    <w:rsid w:val="005A7241"/>
    <w:rsid w:val="005B3434"/>
    <w:rsid w:val="005E2884"/>
    <w:rsid w:val="005E5050"/>
    <w:rsid w:val="005F2C7B"/>
    <w:rsid w:val="005F4D04"/>
    <w:rsid w:val="005F7DA9"/>
    <w:rsid w:val="006054F8"/>
    <w:rsid w:val="0065419A"/>
    <w:rsid w:val="00654220"/>
    <w:rsid w:val="00663B94"/>
    <w:rsid w:val="00664CC8"/>
    <w:rsid w:val="00672BD4"/>
    <w:rsid w:val="00677F66"/>
    <w:rsid w:val="006A6531"/>
    <w:rsid w:val="006C7F31"/>
    <w:rsid w:val="006E4E94"/>
    <w:rsid w:val="00730BEE"/>
    <w:rsid w:val="0073101E"/>
    <w:rsid w:val="00735153"/>
    <w:rsid w:val="00745421"/>
    <w:rsid w:val="007A4219"/>
    <w:rsid w:val="007A5975"/>
    <w:rsid w:val="0080200C"/>
    <w:rsid w:val="00814110"/>
    <w:rsid w:val="0082561A"/>
    <w:rsid w:val="00846B2E"/>
    <w:rsid w:val="00853290"/>
    <w:rsid w:val="0085663C"/>
    <w:rsid w:val="008768AB"/>
    <w:rsid w:val="008926F7"/>
    <w:rsid w:val="008A7510"/>
    <w:rsid w:val="008B21D6"/>
    <w:rsid w:val="008C78BD"/>
    <w:rsid w:val="008F0FA3"/>
    <w:rsid w:val="008F216C"/>
    <w:rsid w:val="00900D90"/>
    <w:rsid w:val="00913F9B"/>
    <w:rsid w:val="00925767"/>
    <w:rsid w:val="0092799A"/>
    <w:rsid w:val="009308AA"/>
    <w:rsid w:val="009354D6"/>
    <w:rsid w:val="00964994"/>
    <w:rsid w:val="00970A98"/>
    <w:rsid w:val="009C781F"/>
    <w:rsid w:val="009D5296"/>
    <w:rsid w:val="009E6170"/>
    <w:rsid w:val="00A0329A"/>
    <w:rsid w:val="00A37451"/>
    <w:rsid w:val="00A4484F"/>
    <w:rsid w:val="00A66C32"/>
    <w:rsid w:val="00A76D4B"/>
    <w:rsid w:val="00A77C47"/>
    <w:rsid w:val="00A9119C"/>
    <w:rsid w:val="00AA4549"/>
    <w:rsid w:val="00AC5144"/>
    <w:rsid w:val="00B13014"/>
    <w:rsid w:val="00B17559"/>
    <w:rsid w:val="00B33B19"/>
    <w:rsid w:val="00B404E6"/>
    <w:rsid w:val="00B4360D"/>
    <w:rsid w:val="00B61EA9"/>
    <w:rsid w:val="00B670D1"/>
    <w:rsid w:val="00B74DCA"/>
    <w:rsid w:val="00BA2B68"/>
    <w:rsid w:val="00BC02E0"/>
    <w:rsid w:val="00BC3903"/>
    <w:rsid w:val="00BE1711"/>
    <w:rsid w:val="00BE47E0"/>
    <w:rsid w:val="00BF4FAA"/>
    <w:rsid w:val="00BF75C8"/>
    <w:rsid w:val="00C1762E"/>
    <w:rsid w:val="00C22DF9"/>
    <w:rsid w:val="00C25123"/>
    <w:rsid w:val="00C30A48"/>
    <w:rsid w:val="00C375A7"/>
    <w:rsid w:val="00C62DF8"/>
    <w:rsid w:val="00C640FB"/>
    <w:rsid w:val="00CB054E"/>
    <w:rsid w:val="00CC52D7"/>
    <w:rsid w:val="00D23AB6"/>
    <w:rsid w:val="00D42895"/>
    <w:rsid w:val="00D50309"/>
    <w:rsid w:val="00D51AA9"/>
    <w:rsid w:val="00D67ABB"/>
    <w:rsid w:val="00D719A9"/>
    <w:rsid w:val="00D7264A"/>
    <w:rsid w:val="00D84E43"/>
    <w:rsid w:val="00D870DF"/>
    <w:rsid w:val="00D9290A"/>
    <w:rsid w:val="00DB0C2F"/>
    <w:rsid w:val="00DB3BF6"/>
    <w:rsid w:val="00DC31CC"/>
    <w:rsid w:val="00DC728A"/>
    <w:rsid w:val="00DD2F3C"/>
    <w:rsid w:val="00E1059D"/>
    <w:rsid w:val="00E155DF"/>
    <w:rsid w:val="00E246E1"/>
    <w:rsid w:val="00E24FFC"/>
    <w:rsid w:val="00E3300F"/>
    <w:rsid w:val="00E560F1"/>
    <w:rsid w:val="00E944FA"/>
    <w:rsid w:val="00E94E5B"/>
    <w:rsid w:val="00E9797A"/>
    <w:rsid w:val="00EA7ABC"/>
    <w:rsid w:val="00EB2746"/>
    <w:rsid w:val="00EE0436"/>
    <w:rsid w:val="00F1465C"/>
    <w:rsid w:val="00F41324"/>
    <w:rsid w:val="00F57C12"/>
    <w:rsid w:val="00F609FD"/>
    <w:rsid w:val="00F75AD0"/>
    <w:rsid w:val="00F859AB"/>
    <w:rsid w:val="00F950D0"/>
    <w:rsid w:val="00FA2C26"/>
    <w:rsid w:val="00FB5084"/>
    <w:rsid w:val="00FF211C"/>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5F0977D3"/>
    <w:rsid w:val="602D020F"/>
    <w:rsid w:val="60EA4BD2"/>
    <w:rsid w:val="62BD595C"/>
    <w:rsid w:val="66F47EBC"/>
    <w:rsid w:val="681903E9"/>
    <w:rsid w:val="68823415"/>
    <w:rsid w:val="6898111C"/>
    <w:rsid w:val="68A21F24"/>
    <w:rsid w:val="6A485270"/>
    <w:rsid w:val="6A970E7E"/>
    <w:rsid w:val="6B7C7E6C"/>
    <w:rsid w:val="6D05415D"/>
    <w:rsid w:val="6F66394D"/>
    <w:rsid w:val="73193673"/>
    <w:rsid w:val="742938C1"/>
    <w:rsid w:val="74543F24"/>
    <w:rsid w:val="74BE328D"/>
    <w:rsid w:val="77B45190"/>
    <w:rsid w:val="797670FD"/>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2BD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72BD4"/>
    <w:pPr>
      <w:jc w:val="left"/>
    </w:pPr>
  </w:style>
  <w:style w:type="paragraph" w:styleId="a4">
    <w:name w:val="Balloon Text"/>
    <w:basedOn w:val="a"/>
    <w:link w:val="Char0"/>
    <w:uiPriority w:val="99"/>
    <w:unhideWhenUsed/>
    <w:qFormat/>
    <w:rsid w:val="00672BD4"/>
    <w:rPr>
      <w:sz w:val="18"/>
      <w:szCs w:val="18"/>
    </w:rPr>
  </w:style>
  <w:style w:type="paragraph" w:styleId="a5">
    <w:name w:val="footer"/>
    <w:basedOn w:val="a"/>
    <w:link w:val="Char1"/>
    <w:uiPriority w:val="99"/>
    <w:unhideWhenUsed/>
    <w:qFormat/>
    <w:rsid w:val="00672BD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72BD4"/>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672BD4"/>
    <w:pPr>
      <w:snapToGrid w:val="0"/>
      <w:jc w:val="left"/>
    </w:pPr>
    <w:rPr>
      <w:sz w:val="18"/>
    </w:rPr>
  </w:style>
  <w:style w:type="paragraph" w:styleId="a8">
    <w:name w:val="Normal (Web)"/>
    <w:basedOn w:val="a"/>
    <w:qFormat/>
    <w:rsid w:val="00672BD4"/>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672BD4"/>
    <w:rPr>
      <w:b/>
      <w:bCs/>
    </w:rPr>
  </w:style>
  <w:style w:type="character" w:styleId="aa">
    <w:name w:val="page number"/>
    <w:basedOn w:val="a0"/>
    <w:uiPriority w:val="99"/>
    <w:unhideWhenUsed/>
    <w:qFormat/>
    <w:rsid w:val="00672BD4"/>
  </w:style>
  <w:style w:type="character" w:styleId="ab">
    <w:name w:val="annotation reference"/>
    <w:uiPriority w:val="99"/>
    <w:unhideWhenUsed/>
    <w:qFormat/>
    <w:rsid w:val="00672BD4"/>
    <w:rPr>
      <w:sz w:val="21"/>
      <w:szCs w:val="21"/>
    </w:rPr>
  </w:style>
  <w:style w:type="character" w:styleId="ac">
    <w:name w:val="footnote reference"/>
    <w:uiPriority w:val="99"/>
    <w:unhideWhenUsed/>
    <w:qFormat/>
    <w:rsid w:val="00672BD4"/>
    <w:rPr>
      <w:vertAlign w:val="superscript"/>
    </w:rPr>
  </w:style>
  <w:style w:type="character" w:customStyle="1" w:styleId="Char0">
    <w:name w:val="批注框文本 Char"/>
    <w:link w:val="a4"/>
    <w:uiPriority w:val="99"/>
    <w:semiHidden/>
    <w:qFormat/>
    <w:rsid w:val="00672BD4"/>
    <w:rPr>
      <w:kern w:val="2"/>
      <w:sz w:val="18"/>
      <w:szCs w:val="18"/>
    </w:rPr>
  </w:style>
  <w:style w:type="character" w:customStyle="1" w:styleId="Char2">
    <w:name w:val="页眉 Char"/>
    <w:link w:val="a6"/>
    <w:uiPriority w:val="99"/>
    <w:semiHidden/>
    <w:qFormat/>
    <w:locked/>
    <w:rsid w:val="00672BD4"/>
    <w:rPr>
      <w:rFonts w:ascii="Times New Roman" w:hAnsi="Times New Roman" w:cs="Times New Roman" w:hint="default"/>
      <w:sz w:val="18"/>
      <w:szCs w:val="18"/>
    </w:rPr>
  </w:style>
  <w:style w:type="character" w:customStyle="1" w:styleId="Char3">
    <w:name w:val="批注主题 Char"/>
    <w:link w:val="a9"/>
    <w:uiPriority w:val="99"/>
    <w:semiHidden/>
    <w:qFormat/>
    <w:rsid w:val="00672BD4"/>
    <w:rPr>
      <w:b/>
      <w:bCs/>
      <w:kern w:val="2"/>
      <w:sz w:val="21"/>
      <w:szCs w:val="22"/>
    </w:rPr>
  </w:style>
  <w:style w:type="character" w:customStyle="1" w:styleId="Char1">
    <w:name w:val="页脚 Char"/>
    <w:link w:val="a5"/>
    <w:uiPriority w:val="99"/>
    <w:semiHidden/>
    <w:qFormat/>
    <w:locked/>
    <w:rsid w:val="00672BD4"/>
    <w:rPr>
      <w:rFonts w:ascii="Times New Roman" w:hAnsi="Times New Roman" w:cs="Times New Roman" w:hint="default"/>
      <w:sz w:val="18"/>
      <w:szCs w:val="18"/>
    </w:rPr>
  </w:style>
  <w:style w:type="character" w:customStyle="1" w:styleId="Char">
    <w:name w:val="批注文字 Char"/>
    <w:link w:val="a3"/>
    <w:uiPriority w:val="99"/>
    <w:qFormat/>
    <w:rsid w:val="00672BD4"/>
    <w:rPr>
      <w:kern w:val="2"/>
      <w:sz w:val="21"/>
      <w:szCs w:val="22"/>
    </w:rPr>
  </w:style>
  <w:style w:type="paragraph" w:customStyle="1" w:styleId="zhongyaotishi">
    <w:name w:val="zhongyaotishi"/>
    <w:basedOn w:val="a"/>
    <w:qFormat/>
    <w:rsid w:val="00672BD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672BD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672BD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672BD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672BD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672BD4"/>
    <w:pPr>
      <w:widowControl w:val="0"/>
      <w:jc w:val="center"/>
    </w:pPr>
    <w:rPr>
      <w:kern w:val="2"/>
      <w:sz w:val="33"/>
      <w:szCs w:val="22"/>
    </w:rPr>
  </w:style>
  <w:style w:type="paragraph" w:customStyle="1" w:styleId="biaogeleft">
    <w:name w:val="biaoge_left"/>
    <w:basedOn w:val="a"/>
    <w:qFormat/>
    <w:rsid w:val="00672BD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672BD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672BD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672BD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672BD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672BD4"/>
    <w:pPr>
      <w:widowControl w:val="0"/>
    </w:pPr>
    <w:rPr>
      <w:kern w:val="2"/>
      <w:sz w:val="21"/>
      <w:szCs w:val="22"/>
    </w:rPr>
  </w:style>
  <w:style w:type="paragraph" w:customStyle="1" w:styleId="neirong">
    <w:name w:val="neirong"/>
    <w:basedOn w:val="a"/>
    <w:qFormat/>
    <w:rsid w:val="00672BD4"/>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672BD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10</Pages>
  <Words>801</Words>
  <Characters>4570</Characters>
  <Application>Microsoft Office Word</Application>
  <DocSecurity>0</DocSecurity>
  <Lines>38</Lines>
  <Paragraphs>10</Paragraphs>
  <ScaleCrop>false</ScaleCrop>
  <Company>微软中国</Company>
  <LinksUpToDate>false</LinksUpToDate>
  <CharactersWithSpaces>5361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942A0004872A4CCA945A1A634BD17E35</vt:lpwstr>
  </property>
</Properties>
</file>