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0D8" w:rsidRDefault="001A70D8">
      <w:pPr>
        <w:pStyle w:val="dazhangjie"/>
        <w:rPr>
          <w:b/>
          <w:bCs/>
          <w:color w:val="000000"/>
        </w:rPr>
      </w:pPr>
    </w:p>
    <w:p w:rsidR="001A70D8" w:rsidRDefault="001A70D8">
      <w:pPr>
        <w:pStyle w:val="dazhangjie"/>
        <w:rPr>
          <w:b/>
          <w:bCs/>
          <w:color w:val="000000"/>
        </w:rPr>
      </w:pPr>
    </w:p>
    <w:p w:rsidR="001A70D8" w:rsidRDefault="001A70D8">
      <w:pPr>
        <w:pStyle w:val="dazhangjie"/>
        <w:rPr>
          <w:b/>
          <w:bCs/>
          <w:color w:val="000000"/>
        </w:rPr>
      </w:pPr>
    </w:p>
    <w:p w:rsidR="001A70D8" w:rsidRDefault="005F6DFA">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hint="eastAsia"/>
          <w:b/>
          <w:bCs/>
          <w:sz w:val="36"/>
        </w:rPr>
        <w:t>17W394D</w:t>
      </w:r>
      <w:r>
        <w:rPr>
          <w:rFonts w:ascii="黑体" w:eastAsia="黑体" w:hAnsi="黑体" w:hint="eastAsia"/>
          <w:b/>
          <w:bCs/>
          <w:sz w:val="36"/>
        </w:rPr>
        <w:t>封闭式公募人民币理财产品</w:t>
      </w:r>
    </w:p>
    <w:p w:rsidR="001A70D8" w:rsidRDefault="005F6DFA">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rPr>
          <w:rFonts w:ascii="黑体" w:eastAsia="黑体" w:hAnsi="黑体"/>
          <w:b/>
          <w:bCs/>
          <w:color w:val="000000"/>
          <w:sz w:val="36"/>
        </w:rPr>
      </w:pPr>
    </w:p>
    <w:p w:rsidR="001A70D8" w:rsidRDefault="001A70D8">
      <w:pPr>
        <w:pStyle w:val="dazhangjie"/>
        <w:spacing w:before="240" w:after="120"/>
        <w:ind w:left="0"/>
        <w:jc w:val="both"/>
        <w:rPr>
          <w:rFonts w:ascii="黑体" w:eastAsia="黑体" w:hAnsi="黑体"/>
          <w:b/>
          <w:bCs/>
          <w:color w:val="000000"/>
          <w:sz w:val="36"/>
        </w:rPr>
      </w:pPr>
    </w:p>
    <w:p w:rsidR="001A70D8" w:rsidRDefault="005F6DFA">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1A70D8" w:rsidRDefault="005F6DFA">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1A70D8" w:rsidRDefault="001A70D8">
      <w:pPr>
        <w:widowControl/>
        <w:jc w:val="left"/>
        <w:rPr>
          <w:rFonts w:ascii="宋体" w:hAnsi="宋体" w:cs="宋体"/>
          <w:color w:val="000000"/>
          <w:kern w:val="0"/>
          <w:sz w:val="24"/>
          <w:szCs w:val="24"/>
        </w:rPr>
        <w:sectPr w:rsidR="001A70D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1A70D8" w:rsidRDefault="001A70D8">
      <w:pPr>
        <w:widowControl/>
        <w:jc w:val="left"/>
        <w:rPr>
          <w:rFonts w:ascii="宋体" w:hAnsi="宋体" w:cs="宋体"/>
          <w:color w:val="000000"/>
          <w:kern w:val="0"/>
          <w:sz w:val="24"/>
          <w:szCs w:val="24"/>
        </w:rPr>
      </w:pPr>
    </w:p>
    <w:p w:rsidR="001A70D8" w:rsidRDefault="005F6DFA">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1A70D8" w:rsidRDefault="001A70D8">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rPr>
              <w:t>南京银行珠联璧合逸稳</w:t>
            </w:r>
            <w:r>
              <w:rPr>
                <w:rFonts w:hint="eastAsia"/>
              </w:rPr>
              <w:t>17W394D</w:t>
            </w:r>
            <w:r>
              <w:rPr>
                <w:rFonts w:hint="eastAsia"/>
              </w:rPr>
              <w:t>封闭式公募人民币理财产品</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pPr>
            <w:r>
              <w:t>C1086920000024</w:t>
            </w:r>
            <w:r>
              <w:rPr>
                <w:rFonts w:hint="eastAsia"/>
              </w:rPr>
              <w:t>（投资者可依据该编码在中国理财网</w:t>
            </w:r>
            <w:r>
              <w:rPr>
                <w:rFonts w:hint="eastAsia"/>
              </w:rPr>
              <w:t>www.chinawealth.com.cn</w:t>
            </w:r>
            <w:r>
              <w:rPr>
                <w:rFonts w:hint="eastAsia"/>
              </w:rPr>
              <w:t>查询理财产品相关信息）</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rPr>
              <w:t>开放式</w:t>
            </w:r>
            <w:r>
              <w:rPr>
                <w:rFonts w:hint="eastAsia"/>
              </w:rPr>
              <w:t>净值型</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F87134">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rPr>
              <w:t>2020</w:t>
            </w:r>
            <w:r>
              <w:rPr>
                <w:rFonts w:hint="eastAsia"/>
              </w:rPr>
              <w:t>年</w:t>
            </w:r>
            <w:r>
              <w:rPr>
                <w:rFonts w:hint="eastAsia"/>
              </w:rPr>
              <w:t>08</w:t>
            </w:r>
            <w:r>
              <w:rPr>
                <w:rFonts w:hint="eastAsia"/>
              </w:rPr>
              <w:t>月</w:t>
            </w:r>
            <w:r>
              <w:rPr>
                <w:rFonts w:hint="eastAsia"/>
              </w:rPr>
              <w:t>26</w:t>
            </w:r>
            <w:r>
              <w:rPr>
                <w:rFonts w:hint="eastAsia"/>
              </w:rPr>
              <w:t>日</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highlight w:val="yellow"/>
              </w:rPr>
            </w:pPr>
            <w:r>
              <w:rPr>
                <w:rFonts w:hint="eastAsia"/>
              </w:rPr>
              <w:t>599,524,000.00</w:t>
            </w:r>
            <w:r>
              <w:rPr>
                <w:rFonts w:hint="eastAsia"/>
              </w:rPr>
              <w:t>份</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100.24%</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汇添富基金管理有限公司、鹏华基金管理有限公司、鑫元基金管理有限公司、易方达基金管理有限公司</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rPr>
              <w:t>南京银行股份有限公司</w:t>
            </w:r>
          </w:p>
        </w:tc>
      </w:tr>
      <w:tr w:rsidR="001A70D8">
        <w:tc>
          <w:tcPr>
            <w:tcW w:w="281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left"/>
              <w:wordWrap w:val="0"/>
              <w:rPr>
                <w:color w:val="000000"/>
              </w:rPr>
            </w:pPr>
            <w:r>
              <w:rPr>
                <w:rFonts w:hint="eastAsia"/>
              </w:rPr>
              <w:t>南京银行股份有限公司</w:t>
            </w:r>
          </w:p>
        </w:tc>
      </w:tr>
    </w:tbl>
    <w:p w:rsidR="001A70D8" w:rsidRDefault="001A70D8">
      <w:pPr>
        <w:widowControl/>
        <w:jc w:val="left"/>
        <w:rPr>
          <w:rFonts w:ascii="宋体" w:hAnsi="宋体" w:cs="宋体"/>
          <w:color w:val="000000"/>
          <w:kern w:val="0"/>
          <w:sz w:val="24"/>
          <w:szCs w:val="24"/>
        </w:rPr>
      </w:pPr>
    </w:p>
    <w:p w:rsidR="001A70D8" w:rsidRDefault="001A70D8">
      <w:pPr>
        <w:pStyle w:val="dazhangjie"/>
        <w:rPr>
          <w:rFonts w:hAnsi="Calibri"/>
          <w:b/>
          <w:color w:val="000000"/>
        </w:rPr>
      </w:pPr>
    </w:p>
    <w:p w:rsidR="001A70D8" w:rsidRDefault="005F6DFA">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1A70D8" w:rsidRDefault="001A70D8">
      <w:pPr>
        <w:widowControl/>
        <w:jc w:val="left"/>
        <w:rPr>
          <w:rFonts w:ascii="宋体" w:hAnsi="宋体" w:cs="宋体"/>
          <w:color w:val="000000"/>
          <w:kern w:val="0"/>
          <w:sz w:val="24"/>
          <w:szCs w:val="24"/>
        </w:rPr>
      </w:pPr>
    </w:p>
    <w:p w:rsidR="001A70D8" w:rsidRDefault="005F6DFA">
      <w:pPr>
        <w:pStyle w:val="zhangjiep"/>
        <w:rPr>
          <w:color w:val="000000"/>
        </w:rPr>
      </w:pPr>
      <w:r>
        <w:rPr>
          <w:rFonts w:hint="eastAsia"/>
          <w:b/>
          <w:bCs/>
          <w:color w:val="000000"/>
        </w:rPr>
        <w:t xml:space="preserve">2.1 </w:t>
      </w:r>
      <w:r>
        <w:rPr>
          <w:rFonts w:hint="eastAsia"/>
          <w:b/>
          <w:bCs/>
          <w:color w:val="000000"/>
        </w:rPr>
        <w:t>主要财务指标</w:t>
      </w:r>
    </w:p>
    <w:p w:rsidR="001A70D8" w:rsidRDefault="005F6DF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1A70D8">
        <w:tc>
          <w:tcPr>
            <w:tcW w:w="5220"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dazhangjie"/>
              <w:spacing w:before="240" w:after="120"/>
              <w:rPr>
                <w:color w:val="000000"/>
              </w:rPr>
            </w:pPr>
            <w:r>
              <w:t>报告期（</w:t>
            </w:r>
            <w:r>
              <w:rPr>
                <w:rFonts w:hint="eastAsia"/>
              </w:rPr>
              <w:t>2020</w:t>
            </w:r>
            <w:r>
              <w:rPr>
                <w:rFonts w:hint="eastAsia"/>
              </w:rPr>
              <w:t>年</w:t>
            </w:r>
            <w:r>
              <w:rPr>
                <w:rFonts w:hint="eastAsia"/>
              </w:rPr>
              <w:t>08</w:t>
            </w:r>
            <w:r>
              <w:rPr>
                <w:rFonts w:hint="eastAsia"/>
              </w:rPr>
              <w:t>月</w:t>
            </w:r>
            <w:r>
              <w:rPr>
                <w:rFonts w:hint="eastAsia"/>
              </w:rPr>
              <w:t>26</w:t>
            </w:r>
            <w:r>
              <w:rPr>
                <w:rFonts w:hint="eastAsia"/>
              </w:rPr>
              <w:t>日</w:t>
            </w:r>
            <w:r>
              <w:t>- 2020</w:t>
            </w:r>
            <w:r>
              <w:t>年</w:t>
            </w:r>
            <w:r>
              <w:t>12</w:t>
            </w:r>
            <w:r>
              <w:t>月</w:t>
            </w:r>
            <w:r>
              <w:t>31</w:t>
            </w:r>
            <w:r>
              <w:t>日）</w:t>
            </w:r>
          </w:p>
        </w:tc>
      </w:tr>
      <w:tr w:rsidR="001A70D8">
        <w:tc>
          <w:tcPr>
            <w:tcW w:w="5220"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right"/>
              <w:jc w:val="center"/>
              <w:rPr>
                <w:color w:val="000000"/>
                <w:highlight w:val="yellow"/>
              </w:rPr>
            </w:pPr>
            <w:r>
              <w:rPr>
                <w:rFonts w:hint="eastAsia"/>
              </w:rPr>
              <w:t>609,781,726.43</w:t>
            </w:r>
          </w:p>
        </w:tc>
      </w:tr>
      <w:tr w:rsidR="001A70D8">
        <w:tc>
          <w:tcPr>
            <w:tcW w:w="5220"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right"/>
              <w:jc w:val="center"/>
              <w:rPr>
                <w:color w:val="000000"/>
                <w:highlight w:val="yellow"/>
              </w:rPr>
            </w:pPr>
            <w:r>
              <w:rPr>
                <w:rFonts w:hint="eastAsia"/>
              </w:rPr>
              <w:t>1.0171</w:t>
            </w:r>
          </w:p>
        </w:tc>
      </w:tr>
      <w:tr w:rsidR="001A70D8">
        <w:tc>
          <w:tcPr>
            <w:tcW w:w="5220"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right"/>
              <w:jc w:val="center"/>
              <w:rPr>
                <w:color w:val="000000"/>
                <w:highlight w:val="yellow"/>
              </w:rPr>
            </w:pPr>
            <w:r>
              <w:rPr>
                <w:rFonts w:hint="eastAsia"/>
              </w:rPr>
              <w:t>1.0171</w:t>
            </w:r>
          </w:p>
        </w:tc>
      </w:tr>
      <w:tr w:rsidR="001A70D8">
        <w:tc>
          <w:tcPr>
            <w:tcW w:w="5220" w:type="dxa"/>
            <w:vAlign w:val="center"/>
          </w:tcPr>
          <w:p w:rsidR="001A70D8" w:rsidRDefault="001A70D8">
            <w:pPr>
              <w:widowControl/>
              <w:jc w:val="left"/>
              <w:rPr>
                <w:rFonts w:ascii="宋体" w:hAnsi="宋体" w:cs="宋体"/>
                <w:color w:val="000000"/>
                <w:kern w:val="0"/>
                <w:sz w:val="24"/>
                <w:szCs w:val="24"/>
              </w:rPr>
            </w:pPr>
          </w:p>
        </w:tc>
        <w:tc>
          <w:tcPr>
            <w:tcW w:w="3825" w:type="dxa"/>
            <w:vAlign w:val="center"/>
          </w:tcPr>
          <w:p w:rsidR="001A70D8" w:rsidRDefault="001A70D8">
            <w:pPr>
              <w:widowControl/>
              <w:jc w:val="left"/>
              <w:rPr>
                <w:color w:val="000000"/>
                <w:kern w:val="0"/>
                <w:sz w:val="20"/>
                <w:szCs w:val="20"/>
              </w:rPr>
            </w:pPr>
          </w:p>
        </w:tc>
      </w:tr>
    </w:tbl>
    <w:p w:rsidR="001A70D8" w:rsidRDefault="001A70D8">
      <w:pPr>
        <w:pStyle w:val="biaogeleft"/>
        <w:ind w:left="0"/>
        <w:rPr>
          <w:color w:val="000000"/>
        </w:rPr>
      </w:pPr>
    </w:p>
    <w:p w:rsidR="001A70D8" w:rsidRDefault="001A70D8">
      <w:pPr>
        <w:widowControl/>
        <w:jc w:val="left"/>
        <w:rPr>
          <w:rFonts w:ascii="宋体" w:hAnsi="宋体" w:cs="宋体"/>
          <w:color w:val="000000"/>
          <w:kern w:val="0"/>
          <w:sz w:val="24"/>
          <w:szCs w:val="24"/>
        </w:rPr>
      </w:pPr>
    </w:p>
    <w:p w:rsidR="001A70D8" w:rsidRDefault="005F6DFA">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1A70D8" w:rsidRDefault="005F6DFA">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1A70D8" w:rsidRDefault="005F6DFA">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1A70D8" w:rsidRDefault="005F6DFA">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1A70D8" w:rsidRDefault="005F6DFA">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1A70D8" w:rsidRDefault="005F6DFA">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报告期内，本产品在投资上以帮客户实现稳定收益为目标，主要投资于定制债券专户及搭配南京银行优质客户的非标债权资，其中专户最终投向以江浙地区城投的非公开债券为主，力求产品净值稳步增长。</w:t>
      </w:r>
      <w:bookmarkEnd w:id="0"/>
    </w:p>
    <w:p w:rsidR="001A70D8" w:rsidRDefault="005F6DFA">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1A70D8" w:rsidRDefault="005F6DFA">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w:t>
      </w:r>
      <w:r>
        <w:rPr>
          <w:rFonts w:ascii="宋体" w:hAnsi="宋体" w:hint="eastAsia"/>
          <w:sz w:val="24"/>
          <w:szCs w:val="24"/>
        </w:rPr>
        <w:t>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1A70D8" w:rsidRDefault="005F6DFA">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1A70D8" w:rsidRDefault="005F6DFA">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1.0171</w:t>
      </w:r>
      <w:r>
        <w:rPr>
          <w:rFonts w:hint="eastAsia"/>
          <w:color w:val="000000"/>
        </w:rPr>
        <w:t>元。</w:t>
      </w:r>
    </w:p>
    <w:p w:rsidR="001A70D8" w:rsidRDefault="001A70D8">
      <w:pPr>
        <w:widowControl/>
        <w:jc w:val="left"/>
        <w:rPr>
          <w:rFonts w:ascii="宋体" w:hAnsi="宋体" w:cs="宋体"/>
          <w:color w:val="000000"/>
          <w:kern w:val="0"/>
          <w:sz w:val="24"/>
          <w:szCs w:val="24"/>
        </w:rPr>
      </w:pPr>
    </w:p>
    <w:p w:rsidR="001A70D8" w:rsidRDefault="005F6DFA">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1A70D8" w:rsidRDefault="001A70D8">
      <w:pPr>
        <w:pStyle w:val="dazhangjie"/>
        <w:rPr>
          <w:rFonts w:hAnsi="Calibri"/>
          <w:b/>
          <w:color w:val="000000"/>
        </w:rPr>
      </w:pPr>
    </w:p>
    <w:p w:rsidR="001A70D8" w:rsidRDefault="005F6DFA">
      <w:pPr>
        <w:pStyle w:val="a8"/>
        <w:rPr>
          <w:b/>
          <w:color w:val="000000"/>
        </w:rPr>
      </w:pPr>
      <w:r>
        <w:rPr>
          <w:rFonts w:hint="eastAsia"/>
          <w:b/>
          <w:color w:val="000000"/>
        </w:rPr>
        <w:t>4.1</w:t>
      </w:r>
      <w:r>
        <w:rPr>
          <w:rFonts w:hint="eastAsia"/>
          <w:b/>
          <w:color w:val="000000"/>
        </w:rPr>
        <w:t>报告期内托管人遵规守信情况声明</w:t>
      </w:r>
    </w:p>
    <w:p w:rsidR="001A70D8" w:rsidRDefault="005F6DFA">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8</w:t>
      </w:r>
      <w:r>
        <w:rPr>
          <w:rFonts w:hint="eastAsia"/>
        </w:rPr>
        <w:t>月</w:t>
      </w:r>
      <w:r>
        <w:rPr>
          <w:rFonts w:hint="eastAsia"/>
        </w:rPr>
        <w:t>26</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1A70D8" w:rsidRDefault="005F6DFA">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1A70D8" w:rsidRDefault="005F6DFA">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1A70D8" w:rsidRDefault="005F6DFA">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w:t>
      </w:r>
      <w:r>
        <w:rPr>
          <w:rFonts w:cs="Times New Roman" w:hint="eastAsia"/>
          <w:b/>
          <w:color w:val="000000"/>
        </w:rPr>
        <w:t>内容的真实、准确和完整发表意见</w:t>
      </w:r>
    </w:p>
    <w:p w:rsidR="001A70D8" w:rsidRDefault="005F6DFA">
      <w:pPr>
        <w:pStyle w:val="biaogeleft"/>
        <w:spacing w:line="360" w:lineRule="auto"/>
        <w:ind w:firstLine="480"/>
      </w:pPr>
      <w:bookmarkStart w:id="4"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rsidR="001A70D8" w:rsidRDefault="001A70D8">
      <w:pPr>
        <w:pStyle w:val="biaogeleft"/>
        <w:spacing w:line="360" w:lineRule="auto"/>
        <w:ind w:firstLine="480"/>
        <w:rPr>
          <w:color w:val="000000"/>
        </w:rPr>
      </w:pPr>
    </w:p>
    <w:p w:rsidR="001A70D8" w:rsidRDefault="005F6DFA">
      <w:pPr>
        <w:pStyle w:val="dazhangjie"/>
      </w:pPr>
      <w:bookmarkStart w:id="5"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5"/>
    </w:p>
    <w:p w:rsidR="001A70D8" w:rsidRDefault="001A70D8">
      <w:pPr>
        <w:widowControl/>
        <w:jc w:val="left"/>
        <w:rPr>
          <w:rFonts w:ascii="宋体" w:hAnsi="宋体" w:cs="宋体"/>
          <w:kern w:val="0"/>
          <w:sz w:val="24"/>
          <w:szCs w:val="24"/>
        </w:rPr>
      </w:pPr>
    </w:p>
    <w:p w:rsidR="001A70D8" w:rsidRDefault="005F6DFA">
      <w:pPr>
        <w:pStyle w:val="zhangjiep"/>
      </w:pPr>
      <w:bookmarkStart w:id="6" w:name="_Toc61271615"/>
      <w:r>
        <w:rPr>
          <w:rFonts w:hint="eastAsia"/>
          <w:b/>
          <w:bCs/>
        </w:rPr>
        <w:t xml:space="preserve">5.1 </w:t>
      </w:r>
      <w:r>
        <w:rPr>
          <w:rFonts w:hint="eastAsia"/>
          <w:b/>
          <w:bCs/>
        </w:rPr>
        <w:t>资产负债表</w:t>
      </w:r>
      <w:bookmarkEnd w:id="6"/>
    </w:p>
    <w:p w:rsidR="001A70D8" w:rsidRDefault="005F6DFA">
      <w:pPr>
        <w:pStyle w:val="biaogeleft"/>
      </w:pPr>
      <w:r>
        <w:rPr>
          <w:rFonts w:hint="eastAsia"/>
        </w:rPr>
        <w:t>会计主体：南京银行珠联璧合逸稳</w:t>
      </w:r>
      <w:r>
        <w:rPr>
          <w:rFonts w:hint="eastAsia"/>
        </w:rPr>
        <w:t>17W394D</w:t>
      </w:r>
      <w:r>
        <w:rPr>
          <w:rFonts w:hint="eastAsia"/>
        </w:rPr>
        <w:t>封闭式公募人民币理财产品</w:t>
      </w:r>
    </w:p>
    <w:p w:rsidR="001A70D8" w:rsidRDefault="005F6DFA">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1A70D8" w:rsidRDefault="005F6DF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Ansi="Calibri" w:hint="eastAsia"/>
                <w:color w:val="000000"/>
              </w:rPr>
              <w:t>本期末</w:t>
            </w:r>
            <w:r>
              <w:rPr>
                <w:rFonts w:hAnsi="Calibri" w:hint="eastAsia"/>
                <w:color w:val="000000"/>
              </w:rPr>
              <w:t> </w:t>
            </w:r>
          </w:p>
          <w:p w:rsidR="001A70D8" w:rsidRDefault="005F6DFA">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 </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693,964.03</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60,991,543.91</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60,991,543.91</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6,435,690.69</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290,000,000.00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253,135,991.51</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611,257,190.14</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本期末</w:t>
            </w:r>
            <w:r>
              <w:rPr>
                <w:rFonts w:hint="eastAsia"/>
              </w:rPr>
              <w:t> </w:t>
            </w:r>
          </w:p>
          <w:p w:rsidR="001A70D8" w:rsidRDefault="005F6DFA">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 </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838,677.76</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41,934.08</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419,339.52</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175,512.35</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1,475,463.71</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 </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599,524,000.00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0.00</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10,257,726.43</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609,781,726.43</w:t>
            </w:r>
          </w:p>
        </w:tc>
      </w:tr>
      <w:tr w:rsidR="001A70D8">
        <w:tc>
          <w:tcPr>
            <w:tcW w:w="3660"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cs="Arial" w:hint="eastAsia"/>
                <w:color w:val="000000"/>
              </w:rPr>
              <w:t>611,257,190.14</w:t>
            </w:r>
          </w:p>
        </w:tc>
      </w:tr>
    </w:tbl>
    <w:p w:rsidR="001A70D8" w:rsidRDefault="001A70D8">
      <w:pPr>
        <w:widowControl/>
        <w:jc w:val="left"/>
        <w:rPr>
          <w:rFonts w:ascii="宋体" w:hAnsi="宋体" w:cs="宋体"/>
          <w:kern w:val="0"/>
          <w:sz w:val="24"/>
          <w:szCs w:val="24"/>
        </w:rPr>
      </w:pPr>
    </w:p>
    <w:p w:rsidR="001A70D8" w:rsidRDefault="005F6DFA">
      <w:pPr>
        <w:pStyle w:val="zhangjiep"/>
      </w:pPr>
      <w:bookmarkStart w:id="7" w:name="_Toc61428208"/>
      <w:r>
        <w:rPr>
          <w:rFonts w:hint="eastAsia"/>
          <w:b/>
          <w:bCs/>
        </w:rPr>
        <w:t xml:space="preserve">5.2 </w:t>
      </w:r>
      <w:r>
        <w:rPr>
          <w:rFonts w:hint="eastAsia"/>
          <w:b/>
          <w:bCs/>
        </w:rPr>
        <w:t>利润表</w:t>
      </w:r>
      <w:bookmarkEnd w:id="7"/>
    </w:p>
    <w:p w:rsidR="001A70D8" w:rsidRDefault="005F6DFA">
      <w:pPr>
        <w:pStyle w:val="biaogeleft"/>
      </w:pPr>
      <w:r>
        <w:rPr>
          <w:rFonts w:hint="eastAsia"/>
        </w:rPr>
        <w:t>会计主体：南京银行珠联璧合逸稳</w:t>
      </w:r>
      <w:r>
        <w:rPr>
          <w:rFonts w:hint="eastAsia"/>
        </w:rPr>
        <w:t>17W394D</w:t>
      </w:r>
      <w:r>
        <w:rPr>
          <w:rFonts w:hint="eastAsia"/>
        </w:rPr>
        <w:t>封闭式公募人民币理财产品</w:t>
      </w:r>
    </w:p>
    <w:p w:rsidR="001A70D8" w:rsidRDefault="005F6DFA">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26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1A70D8" w:rsidRDefault="005F6DF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1A70D8">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26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1A70D8">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1A70D8" w:rsidRDefault="001A70D8">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1A70D8" w:rsidRDefault="001A70D8">
            <w:pPr>
              <w:widowControl/>
              <w:jc w:val="left"/>
              <w:rPr>
                <w:rFonts w:asciiTheme="minorEastAsia" w:eastAsiaTheme="minorEastAsia" w:hAnsiTheme="minorEastAsia" w:cs="宋体"/>
                <w:kern w:val="0"/>
                <w:sz w:val="24"/>
                <w:szCs w:val="24"/>
              </w:rPr>
            </w:pP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b/>
                <w:bCs/>
                <w:color w:val="000000"/>
              </w:rPr>
              <w:t>11,585,147.68</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5,842,122.41</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10,495.55</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5,831,626.86</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ascii="Arial" w:hAnsi="Arial" w:cs="Arial"/>
                <w:color w:val="000000"/>
              </w:rPr>
              <w:t xml:space="preserve">　</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641,457.15</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641,457.15</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5,101,568.12</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 xml:space="preserve">　</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b/>
                <w:bCs/>
                <w:color w:val="000000"/>
              </w:rPr>
              <w:t>1,327,421.25</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838,677.76</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41,934.08</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419,339.52</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3,000.00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24,469.89</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color w:val="000000"/>
              </w:rPr>
              <w:t>0.00</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b/>
                <w:bCs/>
                <w:color w:val="000000"/>
              </w:rPr>
              <w:t>10,257,726.43</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ascii="Arial" w:hAnsi="Arial" w:cs="Arial"/>
                <w:color w:val="000000"/>
              </w:rPr>
              <w:t xml:space="preserve">　</w:t>
            </w:r>
          </w:p>
        </w:tc>
      </w:tr>
      <w:tr w:rsidR="001A70D8">
        <w:tc>
          <w:tcPr>
            <w:tcW w:w="2969"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rPr>
                <w:rFonts w:asciiTheme="minorEastAsia" w:eastAsiaTheme="minorEastAsia" w:hAnsiTheme="minorEastAsia"/>
              </w:rPr>
            </w:pPr>
            <w:r>
              <w:rPr>
                <w:rFonts w:cs="Arial" w:hint="eastAsia"/>
                <w:b/>
                <w:bCs/>
                <w:color w:val="000000"/>
              </w:rPr>
              <w:t>10,257,726.43</w:t>
            </w:r>
          </w:p>
        </w:tc>
      </w:tr>
    </w:tbl>
    <w:p w:rsidR="001A70D8" w:rsidRDefault="001A70D8">
      <w:pPr>
        <w:widowControl/>
        <w:jc w:val="left"/>
        <w:rPr>
          <w:rFonts w:ascii="宋体" w:hAnsi="宋体" w:cs="宋体"/>
          <w:kern w:val="0"/>
          <w:sz w:val="24"/>
          <w:szCs w:val="24"/>
        </w:rPr>
      </w:pPr>
    </w:p>
    <w:p w:rsidR="001A70D8" w:rsidRDefault="005F6DFA">
      <w:pPr>
        <w:pStyle w:val="zhangjiep"/>
      </w:pPr>
      <w:bookmarkStart w:id="8" w:name="_Toc61428209"/>
      <w:r>
        <w:rPr>
          <w:rFonts w:hint="eastAsia"/>
          <w:b/>
          <w:bCs/>
        </w:rPr>
        <w:t xml:space="preserve">5.3 </w:t>
      </w:r>
      <w:r>
        <w:rPr>
          <w:rFonts w:hint="eastAsia"/>
          <w:b/>
          <w:bCs/>
        </w:rPr>
        <w:t>所有者权益（基金净值）变动表</w:t>
      </w:r>
      <w:bookmarkEnd w:id="8"/>
    </w:p>
    <w:p w:rsidR="001A70D8" w:rsidRDefault="005F6DFA">
      <w:pPr>
        <w:pStyle w:val="biaogeleft"/>
      </w:pPr>
      <w:r>
        <w:rPr>
          <w:rFonts w:hint="eastAsia"/>
        </w:rPr>
        <w:t>会计主体：南京银行珠联璧合逸稳</w:t>
      </w:r>
      <w:r>
        <w:rPr>
          <w:rFonts w:hint="eastAsia"/>
        </w:rPr>
        <w:t>17W394D</w:t>
      </w:r>
      <w:r>
        <w:rPr>
          <w:rFonts w:hint="eastAsia"/>
        </w:rPr>
        <w:t>封闭式公募人民币理财产品</w:t>
      </w:r>
    </w:p>
    <w:p w:rsidR="001A70D8" w:rsidRDefault="005F6DFA">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26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1A70D8" w:rsidRDefault="005F6DF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1A70D8">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本期</w:t>
            </w:r>
            <w:r>
              <w:rPr>
                <w:rFonts w:hint="eastAsia"/>
              </w:rPr>
              <w:t> </w:t>
            </w:r>
          </w:p>
          <w:p w:rsidR="001A70D8" w:rsidRDefault="005F6DFA">
            <w:pPr>
              <w:pStyle w:val="biaogecenter"/>
              <w:wordWrap w:val="0"/>
            </w:pPr>
            <w:r>
              <w:rPr>
                <w:rFonts w:hint="eastAsia"/>
              </w:rPr>
              <w:t>2020</w:t>
            </w:r>
            <w:r>
              <w:rPr>
                <w:rFonts w:hint="eastAsia"/>
              </w:rPr>
              <w:t>年</w:t>
            </w:r>
            <w:r>
              <w:rPr>
                <w:rFonts w:hint="eastAsia"/>
              </w:rPr>
              <w:t>08</w:t>
            </w:r>
            <w:r>
              <w:rPr>
                <w:rFonts w:hint="eastAsia"/>
              </w:rPr>
              <w:t>月</w:t>
            </w:r>
            <w:r>
              <w:rPr>
                <w:rFonts w:hint="eastAsia"/>
              </w:rPr>
              <w:t>26</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1A70D8">
        <w:tc>
          <w:tcPr>
            <w:tcW w:w="2116" w:type="dxa"/>
            <w:vMerge/>
            <w:tcBorders>
              <w:top w:val="single" w:sz="8" w:space="0" w:color="000000"/>
              <w:left w:val="single" w:sz="8" w:space="0" w:color="000000"/>
              <w:bottom w:val="single" w:sz="8" w:space="0" w:color="000000"/>
              <w:right w:val="single" w:sz="8" w:space="0" w:color="000000"/>
            </w:tcBorders>
            <w:vAlign w:val="center"/>
          </w:tcPr>
          <w:p w:rsidR="001A70D8" w:rsidRDefault="001A70D8">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pPr>
            <w:r>
              <w:rPr>
                <w:rFonts w:hint="eastAsia"/>
              </w:rPr>
              <w:t>所有者权益合计</w:t>
            </w:r>
            <w:r>
              <w:rPr>
                <w:rFonts w:hint="eastAsia"/>
              </w:rPr>
              <w:t> </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lastRenderedPageBreak/>
              <w:t>599,524,000.00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599,524,000.00</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10,257,726.43</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10,257,726.43</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w:t>
            </w:r>
          </w:p>
        </w:tc>
      </w:tr>
      <w:tr w:rsidR="001A70D8">
        <w:tc>
          <w:tcPr>
            <w:tcW w:w="211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599,524,000.00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10,257,726.43</w:t>
            </w:r>
          </w:p>
        </w:tc>
        <w:tc>
          <w:tcPr>
            <w:tcW w:w="2484"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right"/>
              <w:wordWrap w:val="0"/>
            </w:pPr>
            <w:r>
              <w:rPr>
                <w:rFonts w:hint="eastAsia"/>
              </w:rPr>
              <w:t>609,781,726.43</w:t>
            </w:r>
          </w:p>
        </w:tc>
      </w:tr>
    </w:tbl>
    <w:p w:rsidR="001A70D8" w:rsidRDefault="001A70D8">
      <w:pPr>
        <w:widowControl/>
        <w:autoSpaceDE w:val="0"/>
        <w:autoSpaceDN w:val="0"/>
        <w:adjustRightInd w:val="0"/>
        <w:spacing w:line="288" w:lineRule="auto"/>
        <w:jc w:val="right"/>
        <w:rPr>
          <w:rFonts w:ascii="宋体" w:hAnsi="宋体" w:cs="宋体"/>
          <w:kern w:val="0"/>
          <w:sz w:val="24"/>
          <w:szCs w:val="24"/>
        </w:rPr>
      </w:pPr>
    </w:p>
    <w:p w:rsidR="001A70D8" w:rsidRDefault="001A70D8">
      <w:pPr>
        <w:pStyle w:val="biaogeleft"/>
        <w:spacing w:line="360" w:lineRule="auto"/>
        <w:ind w:firstLine="480"/>
        <w:rPr>
          <w:color w:val="000000"/>
        </w:rPr>
      </w:pPr>
    </w:p>
    <w:p w:rsidR="001A70D8" w:rsidRDefault="005F6DFA">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1A70D8" w:rsidRDefault="001A70D8">
      <w:pPr>
        <w:widowControl/>
        <w:jc w:val="left"/>
        <w:rPr>
          <w:rFonts w:ascii="宋体" w:hAnsi="宋体" w:cs="宋体"/>
          <w:color w:val="000000"/>
          <w:kern w:val="0"/>
          <w:sz w:val="24"/>
          <w:szCs w:val="24"/>
        </w:rPr>
      </w:pPr>
    </w:p>
    <w:p w:rsidR="001A70D8" w:rsidRDefault="005F6DFA">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1A70D8">
        <w:tc>
          <w:tcPr>
            <w:tcW w:w="891" w:type="dxa"/>
            <w:tcBorders>
              <w:top w:val="single" w:sz="8" w:space="0" w:color="000000"/>
              <w:left w:val="single" w:sz="8" w:space="0" w:color="000000"/>
              <w:bottom w:val="single" w:sz="6" w:space="0" w:color="000000"/>
              <w:right w:val="single" w:sz="8" w:space="0" w:color="000000"/>
            </w:tcBorders>
            <w:vAlign w:val="bottom"/>
          </w:tcPr>
          <w:p w:rsidR="001A70D8" w:rsidRDefault="005F6DFA">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1A70D8" w:rsidRDefault="005F6DFA">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1A70D8" w:rsidRDefault="005F6DFA">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1A70D8" w:rsidRDefault="005F6DFA">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60,991,543.91</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9.98</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47.44</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253,135,991.51</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41.41</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693,964.03</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0.11</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6,435,690.69</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1.06</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1A70D8">
        <w:tc>
          <w:tcPr>
            <w:tcW w:w="891"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611,257,190.14</w:t>
            </w:r>
          </w:p>
        </w:tc>
        <w:tc>
          <w:tcPr>
            <w:tcW w:w="2395" w:type="dxa"/>
            <w:tcBorders>
              <w:top w:val="single" w:sz="8" w:space="0" w:color="000000"/>
              <w:left w:val="single" w:sz="8" w:space="0" w:color="000000"/>
              <w:bottom w:val="single" w:sz="8" w:space="0" w:color="000000"/>
              <w:right w:val="single" w:sz="8" w:space="0" w:color="000000"/>
            </w:tcBorders>
            <w:vAlign w:val="center"/>
          </w:tcPr>
          <w:p w:rsidR="001A70D8" w:rsidRDefault="005F6DFA">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1A70D8" w:rsidRDefault="001A70D8">
      <w:pPr>
        <w:widowControl/>
        <w:jc w:val="left"/>
        <w:rPr>
          <w:rFonts w:ascii="宋体" w:hAnsi="宋体" w:cs="宋体"/>
          <w:color w:val="000000"/>
          <w:kern w:val="0"/>
          <w:sz w:val="24"/>
          <w:szCs w:val="24"/>
        </w:rPr>
      </w:pPr>
    </w:p>
    <w:p w:rsidR="001A70D8" w:rsidRDefault="005F6DFA">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1A70D8">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1A70D8" w:rsidRDefault="005F6DF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1A70D8" w:rsidRDefault="005F6DF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1A70D8" w:rsidRDefault="005F6DFA">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1A70D8" w:rsidRDefault="005F6DFA">
            <w:pPr>
              <w:pStyle w:val="biaogecenter"/>
              <w:wordWrap w:val="0"/>
              <w:rPr>
                <w:color w:val="000000"/>
              </w:rPr>
            </w:pPr>
            <w:r>
              <w:rPr>
                <w:rFonts w:hint="eastAsia"/>
                <w:color w:val="000000"/>
              </w:rPr>
              <w:t>占产品资产净值比例（％）</w:t>
            </w:r>
          </w:p>
        </w:tc>
      </w:tr>
      <w:tr w:rsidR="001A70D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A70D8" w:rsidRDefault="005F6DFA">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QTBZZ202008270001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浙湖州高新</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290,000,000.00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47.56%</w:t>
            </w:r>
          </w:p>
        </w:tc>
      </w:tr>
      <w:tr w:rsidR="001A70D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A70D8" w:rsidRDefault="005F6DF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253,135,991.51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41.51%</w:t>
            </w:r>
          </w:p>
        </w:tc>
      </w:tr>
      <w:tr w:rsidR="001A70D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A70D8" w:rsidRDefault="005F6DFA">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470018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汇添富双利债券</w:t>
            </w:r>
            <w:r>
              <w:rPr>
                <w:rFonts w:ascii="宋体" w:hAnsi="宋体" w:cs="宋体" w:hint="eastAsia"/>
                <w:color w:val="000000"/>
                <w:kern w:val="0"/>
                <w:sz w:val="24"/>
                <w:szCs w:val="24"/>
              </w:rPr>
              <w:t>A</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30,761,027.48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5.04%</w:t>
            </w:r>
          </w:p>
        </w:tc>
      </w:tr>
      <w:tr w:rsidR="001A70D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A70D8" w:rsidRDefault="005F6DFA">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002351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易方达裕祥回报债券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15,519,593.97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2.55%</w:t>
            </w:r>
          </w:p>
        </w:tc>
      </w:tr>
      <w:tr w:rsidR="001A70D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1A70D8" w:rsidRDefault="005F6DFA">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000338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rPr>
                <w:rFonts w:ascii="宋体" w:hAnsi="宋体" w:cs="宋体"/>
                <w:color w:val="000000"/>
                <w:kern w:val="0"/>
                <w:sz w:val="24"/>
                <w:szCs w:val="24"/>
              </w:rPr>
            </w:pPr>
            <w:r>
              <w:rPr>
                <w:rFonts w:ascii="宋体" w:hAnsi="宋体" w:cs="宋体" w:hint="eastAsia"/>
                <w:color w:val="000000"/>
                <w:kern w:val="0"/>
                <w:sz w:val="24"/>
                <w:szCs w:val="24"/>
              </w:rPr>
              <w:t>鹏华双债保利债券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14,710,922.46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1A70D8" w:rsidRDefault="005F6DFA">
            <w:pPr>
              <w:jc w:val="right"/>
              <w:rPr>
                <w:rFonts w:ascii="宋体" w:hAnsi="宋体" w:cs="宋体"/>
                <w:color w:val="000000"/>
                <w:kern w:val="0"/>
                <w:sz w:val="24"/>
                <w:szCs w:val="24"/>
              </w:rPr>
            </w:pPr>
            <w:r>
              <w:rPr>
                <w:rFonts w:ascii="宋体" w:hAnsi="宋体" w:cs="宋体" w:hint="eastAsia"/>
                <w:color w:val="000000"/>
                <w:kern w:val="0"/>
                <w:sz w:val="24"/>
                <w:szCs w:val="24"/>
              </w:rPr>
              <w:t>2.41%</w:t>
            </w:r>
          </w:p>
        </w:tc>
      </w:tr>
    </w:tbl>
    <w:p w:rsidR="001A70D8" w:rsidRDefault="001A70D8">
      <w:pPr>
        <w:widowControl/>
        <w:jc w:val="left"/>
        <w:rPr>
          <w:rFonts w:ascii="宋体" w:hAnsi="宋体" w:cs="宋体"/>
          <w:b/>
          <w:sz w:val="24"/>
          <w:szCs w:val="24"/>
          <w:shd w:val="clear" w:color="auto" w:fill="FFFFFF"/>
        </w:rPr>
      </w:pPr>
    </w:p>
    <w:p w:rsidR="001A70D8" w:rsidRDefault="005F6DF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1A70D8" w:rsidRDefault="001A70D8">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1A70D8">
        <w:tc>
          <w:tcPr>
            <w:tcW w:w="709"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风险状况</w:t>
            </w:r>
          </w:p>
        </w:tc>
      </w:tr>
      <w:tr w:rsidR="001A70D8">
        <w:tc>
          <w:tcPr>
            <w:tcW w:w="709"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湖州莫干山高新集团有限公司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20</w:t>
            </w:r>
            <w:r>
              <w:rPr>
                <w:rFonts w:hint="eastAsia"/>
                <w:shd w:val="clear" w:color="auto" w:fill="FFFFFF"/>
              </w:rPr>
              <w:t>浙湖州高新</w:t>
            </w:r>
            <w:r>
              <w:rPr>
                <w:rFonts w:hint="eastAsia"/>
                <w:shd w:val="clear" w:color="auto" w:fill="FFFFFF"/>
              </w:rPr>
              <w:t>ZR002</w:t>
            </w:r>
            <w:bookmarkStart w:id="9" w:name="_GoBack"/>
            <w:bookmarkEnd w:id="9"/>
          </w:p>
        </w:tc>
        <w:tc>
          <w:tcPr>
            <w:tcW w:w="1417"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231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1A70D8" w:rsidRDefault="005F6DFA">
            <w:pPr>
              <w:pStyle w:val="biaogecenter"/>
              <w:wordWrap w:val="0"/>
              <w:rPr>
                <w:shd w:val="clear" w:color="auto" w:fill="FFFFFF"/>
              </w:rPr>
            </w:pPr>
            <w:r>
              <w:rPr>
                <w:rFonts w:hint="eastAsia"/>
                <w:shd w:val="clear" w:color="auto" w:fill="FFFFFF"/>
              </w:rPr>
              <w:t>-</w:t>
            </w:r>
          </w:p>
        </w:tc>
      </w:tr>
    </w:tbl>
    <w:p w:rsidR="001A70D8" w:rsidRDefault="001A70D8">
      <w:pPr>
        <w:widowControl/>
        <w:jc w:val="left"/>
        <w:rPr>
          <w:rFonts w:ascii="宋体" w:hAnsi="宋体" w:cs="宋体"/>
          <w:color w:val="000000"/>
          <w:kern w:val="0"/>
          <w:sz w:val="24"/>
          <w:szCs w:val="24"/>
        </w:rPr>
      </w:pPr>
    </w:p>
    <w:p w:rsidR="001A70D8" w:rsidRDefault="001A70D8">
      <w:pPr>
        <w:widowControl/>
        <w:jc w:val="left"/>
        <w:rPr>
          <w:rFonts w:ascii="宋体" w:hAnsi="宋体" w:cs="宋体"/>
          <w:color w:val="000000"/>
          <w:kern w:val="0"/>
          <w:sz w:val="24"/>
          <w:szCs w:val="24"/>
        </w:rPr>
      </w:pPr>
    </w:p>
    <w:p w:rsidR="001A70D8" w:rsidRDefault="005F6DFA">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1A70D8" w:rsidRDefault="005F6DF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1A70D8" w:rsidRDefault="005F6DF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1A70D8" w:rsidRDefault="001A70D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1A70D8" w:rsidRDefault="001A70D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1A70D8" w:rsidRDefault="001A70D8">
      <w:pPr>
        <w:widowControl/>
        <w:jc w:val="left"/>
        <w:rPr>
          <w:rFonts w:ascii="宋体" w:hAnsi="宋体" w:cs="宋体"/>
          <w:color w:val="000000"/>
          <w:kern w:val="0"/>
          <w:sz w:val="24"/>
          <w:szCs w:val="24"/>
        </w:rPr>
      </w:pPr>
    </w:p>
    <w:p w:rsidR="001A70D8" w:rsidRDefault="001A70D8">
      <w:pPr>
        <w:widowControl/>
        <w:jc w:val="left"/>
        <w:rPr>
          <w:rFonts w:ascii="宋体" w:hAnsi="宋体" w:cs="宋体"/>
          <w:color w:val="000000"/>
          <w:kern w:val="0"/>
          <w:sz w:val="24"/>
          <w:szCs w:val="24"/>
        </w:rPr>
      </w:pPr>
    </w:p>
    <w:p w:rsidR="001A70D8" w:rsidRDefault="001A70D8">
      <w:pPr>
        <w:widowControl/>
        <w:jc w:val="left"/>
        <w:rPr>
          <w:rFonts w:ascii="宋体" w:hAnsi="宋体" w:cs="宋体"/>
          <w:color w:val="000000"/>
          <w:kern w:val="0"/>
          <w:sz w:val="24"/>
          <w:szCs w:val="24"/>
        </w:rPr>
      </w:pPr>
    </w:p>
    <w:p w:rsidR="001A70D8" w:rsidRDefault="001A70D8">
      <w:pPr>
        <w:widowControl/>
        <w:jc w:val="left"/>
        <w:rPr>
          <w:b/>
          <w:color w:val="000000"/>
        </w:rPr>
      </w:pPr>
    </w:p>
    <w:p w:rsidR="001A70D8" w:rsidRDefault="005F6DFA">
      <w:pPr>
        <w:pStyle w:val="biaogeright"/>
        <w:rPr>
          <w:b/>
        </w:rPr>
      </w:pPr>
      <w:r>
        <w:rPr>
          <w:rFonts w:hint="eastAsia"/>
          <w:b/>
        </w:rPr>
        <w:t>南京银行股份有限公司</w:t>
      </w:r>
    </w:p>
    <w:p w:rsidR="001A70D8" w:rsidRDefault="005F6DFA">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1A70D8" w:rsidRDefault="001A70D8">
      <w:pPr>
        <w:pStyle w:val="biaogeright"/>
        <w:rPr>
          <w:color w:val="000000"/>
        </w:rPr>
      </w:pPr>
    </w:p>
    <w:sectPr w:rsidR="001A70D8" w:rsidSect="001A70D8">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DFA" w:rsidRDefault="005F6DFA" w:rsidP="001A70D8">
      <w:r>
        <w:separator/>
      </w:r>
    </w:p>
  </w:endnote>
  <w:endnote w:type="continuationSeparator" w:id="1">
    <w:p w:rsidR="005F6DFA" w:rsidRDefault="005F6DFA" w:rsidP="001A7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0D8" w:rsidRDefault="001A70D8">
    <w:pPr>
      <w:pStyle w:val="a5"/>
      <w:framePr w:wrap="around" w:vAnchor="text" w:hAnchor="margin" w:xAlign="center" w:y="1"/>
      <w:rPr>
        <w:rStyle w:val="aa"/>
      </w:rPr>
    </w:pPr>
    <w:r>
      <w:fldChar w:fldCharType="begin"/>
    </w:r>
    <w:r w:rsidR="005F6DFA">
      <w:rPr>
        <w:rStyle w:val="aa"/>
      </w:rPr>
      <w:instrText xml:space="preserve">PAGE  </w:instrText>
    </w:r>
    <w:r>
      <w:fldChar w:fldCharType="end"/>
    </w:r>
  </w:p>
  <w:p w:rsidR="001A70D8" w:rsidRDefault="001A70D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0D8" w:rsidRDefault="001A70D8">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134" w:rsidRDefault="00F87134">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0D8" w:rsidRDefault="001A70D8">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0D8" w:rsidRDefault="001A70D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DFA" w:rsidRDefault="005F6DFA" w:rsidP="001A70D8">
      <w:r>
        <w:separator/>
      </w:r>
    </w:p>
  </w:footnote>
  <w:footnote w:type="continuationSeparator" w:id="1">
    <w:p w:rsidR="005F6DFA" w:rsidRDefault="005F6DFA" w:rsidP="001A7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0D8" w:rsidRDefault="001A70D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134" w:rsidRDefault="00F8713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134" w:rsidRDefault="00F8713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624"/>
    <w:rsid w:val="00061725"/>
    <w:rsid w:val="00072777"/>
    <w:rsid w:val="000A31D3"/>
    <w:rsid w:val="000A3711"/>
    <w:rsid w:val="000D5066"/>
    <w:rsid w:val="000F6191"/>
    <w:rsid w:val="00130CE8"/>
    <w:rsid w:val="00152201"/>
    <w:rsid w:val="00170246"/>
    <w:rsid w:val="00172A27"/>
    <w:rsid w:val="00176636"/>
    <w:rsid w:val="00183C84"/>
    <w:rsid w:val="001A70D8"/>
    <w:rsid w:val="001C05F9"/>
    <w:rsid w:val="001C5395"/>
    <w:rsid w:val="00211F26"/>
    <w:rsid w:val="002263FC"/>
    <w:rsid w:val="00251A52"/>
    <w:rsid w:val="002767BA"/>
    <w:rsid w:val="00287506"/>
    <w:rsid w:val="002A3AE9"/>
    <w:rsid w:val="002C196E"/>
    <w:rsid w:val="002D296F"/>
    <w:rsid w:val="002D5BF5"/>
    <w:rsid w:val="002D75D0"/>
    <w:rsid w:val="002E795C"/>
    <w:rsid w:val="002F41B5"/>
    <w:rsid w:val="00305714"/>
    <w:rsid w:val="00313E71"/>
    <w:rsid w:val="0031433D"/>
    <w:rsid w:val="00321CB7"/>
    <w:rsid w:val="003379A9"/>
    <w:rsid w:val="00350ADF"/>
    <w:rsid w:val="00355623"/>
    <w:rsid w:val="003A0419"/>
    <w:rsid w:val="003C4D3B"/>
    <w:rsid w:val="003D53D9"/>
    <w:rsid w:val="003E09EA"/>
    <w:rsid w:val="003F0AC3"/>
    <w:rsid w:val="00416F60"/>
    <w:rsid w:val="00456251"/>
    <w:rsid w:val="00493519"/>
    <w:rsid w:val="004C1607"/>
    <w:rsid w:val="004C1BE1"/>
    <w:rsid w:val="004C5571"/>
    <w:rsid w:val="005069D8"/>
    <w:rsid w:val="00514AFC"/>
    <w:rsid w:val="0056162E"/>
    <w:rsid w:val="00563B93"/>
    <w:rsid w:val="00567DB3"/>
    <w:rsid w:val="00575BEA"/>
    <w:rsid w:val="005B3434"/>
    <w:rsid w:val="005E2884"/>
    <w:rsid w:val="005E5050"/>
    <w:rsid w:val="005E5EB9"/>
    <w:rsid w:val="005F2C7B"/>
    <w:rsid w:val="005F4D04"/>
    <w:rsid w:val="005F6DFA"/>
    <w:rsid w:val="005F7863"/>
    <w:rsid w:val="005F7DA9"/>
    <w:rsid w:val="006054F8"/>
    <w:rsid w:val="0065419A"/>
    <w:rsid w:val="00654220"/>
    <w:rsid w:val="00663B94"/>
    <w:rsid w:val="00677F66"/>
    <w:rsid w:val="006A07E2"/>
    <w:rsid w:val="006C1DC2"/>
    <w:rsid w:val="006C7F31"/>
    <w:rsid w:val="006D4BC4"/>
    <w:rsid w:val="006D6804"/>
    <w:rsid w:val="006E4E94"/>
    <w:rsid w:val="0071769F"/>
    <w:rsid w:val="0071772E"/>
    <w:rsid w:val="00730BEE"/>
    <w:rsid w:val="0073101E"/>
    <w:rsid w:val="00735153"/>
    <w:rsid w:val="00745421"/>
    <w:rsid w:val="007A4219"/>
    <w:rsid w:val="007D5850"/>
    <w:rsid w:val="0080200C"/>
    <w:rsid w:val="00814110"/>
    <w:rsid w:val="0082561A"/>
    <w:rsid w:val="00846B2E"/>
    <w:rsid w:val="00853290"/>
    <w:rsid w:val="0085663C"/>
    <w:rsid w:val="008768AB"/>
    <w:rsid w:val="00884A8E"/>
    <w:rsid w:val="008926F7"/>
    <w:rsid w:val="008A7510"/>
    <w:rsid w:val="008C78BD"/>
    <w:rsid w:val="008F0FA3"/>
    <w:rsid w:val="00900D90"/>
    <w:rsid w:val="009354D6"/>
    <w:rsid w:val="009369C2"/>
    <w:rsid w:val="00970A98"/>
    <w:rsid w:val="00984204"/>
    <w:rsid w:val="009C781F"/>
    <w:rsid w:val="009D04F3"/>
    <w:rsid w:val="009D5296"/>
    <w:rsid w:val="009E6170"/>
    <w:rsid w:val="00A37451"/>
    <w:rsid w:val="00A40C8B"/>
    <w:rsid w:val="00A4484F"/>
    <w:rsid w:val="00A76D4B"/>
    <w:rsid w:val="00A77C47"/>
    <w:rsid w:val="00A9119C"/>
    <w:rsid w:val="00AA4549"/>
    <w:rsid w:val="00AC5144"/>
    <w:rsid w:val="00AD15A0"/>
    <w:rsid w:val="00AF1F8D"/>
    <w:rsid w:val="00B13014"/>
    <w:rsid w:val="00B17559"/>
    <w:rsid w:val="00B33B19"/>
    <w:rsid w:val="00B404E6"/>
    <w:rsid w:val="00B4360D"/>
    <w:rsid w:val="00B61EA9"/>
    <w:rsid w:val="00B670D1"/>
    <w:rsid w:val="00B74DCA"/>
    <w:rsid w:val="00BA2719"/>
    <w:rsid w:val="00BC02E0"/>
    <w:rsid w:val="00BC3903"/>
    <w:rsid w:val="00BE47E0"/>
    <w:rsid w:val="00BF75C8"/>
    <w:rsid w:val="00C1762E"/>
    <w:rsid w:val="00C22DF9"/>
    <w:rsid w:val="00C25123"/>
    <w:rsid w:val="00C30A48"/>
    <w:rsid w:val="00C375A7"/>
    <w:rsid w:val="00C56E72"/>
    <w:rsid w:val="00C62DF8"/>
    <w:rsid w:val="00C640FB"/>
    <w:rsid w:val="00CB054E"/>
    <w:rsid w:val="00CC52D7"/>
    <w:rsid w:val="00D00E1F"/>
    <w:rsid w:val="00D205D9"/>
    <w:rsid w:val="00D23AB6"/>
    <w:rsid w:val="00D250C9"/>
    <w:rsid w:val="00D42895"/>
    <w:rsid w:val="00D50309"/>
    <w:rsid w:val="00D51AA9"/>
    <w:rsid w:val="00D7264A"/>
    <w:rsid w:val="00D84E43"/>
    <w:rsid w:val="00D870DF"/>
    <w:rsid w:val="00DA5269"/>
    <w:rsid w:val="00DB0C2F"/>
    <w:rsid w:val="00DB3BF6"/>
    <w:rsid w:val="00DC31CC"/>
    <w:rsid w:val="00DC728A"/>
    <w:rsid w:val="00DD0023"/>
    <w:rsid w:val="00DD2F3C"/>
    <w:rsid w:val="00DF528A"/>
    <w:rsid w:val="00E1059D"/>
    <w:rsid w:val="00E155DF"/>
    <w:rsid w:val="00E246E1"/>
    <w:rsid w:val="00E560F1"/>
    <w:rsid w:val="00E944FA"/>
    <w:rsid w:val="00E9797A"/>
    <w:rsid w:val="00EA7ABC"/>
    <w:rsid w:val="00EB2746"/>
    <w:rsid w:val="00EE0436"/>
    <w:rsid w:val="00F1465C"/>
    <w:rsid w:val="00F41324"/>
    <w:rsid w:val="00F57C12"/>
    <w:rsid w:val="00F609FD"/>
    <w:rsid w:val="00F859AB"/>
    <w:rsid w:val="00F87134"/>
    <w:rsid w:val="00F950D0"/>
    <w:rsid w:val="00FA2C26"/>
    <w:rsid w:val="030F2BA7"/>
    <w:rsid w:val="04240CEE"/>
    <w:rsid w:val="065551D3"/>
    <w:rsid w:val="06C37561"/>
    <w:rsid w:val="087050C8"/>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6F59AE"/>
    <w:rsid w:val="24914F4C"/>
    <w:rsid w:val="2555668E"/>
    <w:rsid w:val="25AF3A81"/>
    <w:rsid w:val="25B229C2"/>
    <w:rsid w:val="26FD4196"/>
    <w:rsid w:val="28CD1EA7"/>
    <w:rsid w:val="2945121F"/>
    <w:rsid w:val="2986009C"/>
    <w:rsid w:val="29F7636C"/>
    <w:rsid w:val="32955A2A"/>
    <w:rsid w:val="350229F7"/>
    <w:rsid w:val="35902749"/>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5F2230"/>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0D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A70D8"/>
    <w:pPr>
      <w:jc w:val="left"/>
    </w:pPr>
  </w:style>
  <w:style w:type="paragraph" w:styleId="a4">
    <w:name w:val="Balloon Text"/>
    <w:basedOn w:val="a"/>
    <w:link w:val="Char0"/>
    <w:uiPriority w:val="99"/>
    <w:unhideWhenUsed/>
    <w:qFormat/>
    <w:rsid w:val="001A70D8"/>
    <w:rPr>
      <w:sz w:val="18"/>
      <w:szCs w:val="18"/>
    </w:rPr>
  </w:style>
  <w:style w:type="paragraph" w:styleId="a5">
    <w:name w:val="footer"/>
    <w:basedOn w:val="a"/>
    <w:link w:val="Char1"/>
    <w:uiPriority w:val="99"/>
    <w:unhideWhenUsed/>
    <w:qFormat/>
    <w:rsid w:val="001A70D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A70D8"/>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1A70D8"/>
    <w:pPr>
      <w:snapToGrid w:val="0"/>
      <w:jc w:val="left"/>
    </w:pPr>
    <w:rPr>
      <w:sz w:val="18"/>
    </w:rPr>
  </w:style>
  <w:style w:type="paragraph" w:styleId="a8">
    <w:name w:val="Normal (Web)"/>
    <w:basedOn w:val="a"/>
    <w:qFormat/>
    <w:rsid w:val="001A70D8"/>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1A70D8"/>
    <w:rPr>
      <w:b/>
      <w:bCs/>
    </w:rPr>
  </w:style>
  <w:style w:type="character" w:styleId="aa">
    <w:name w:val="page number"/>
    <w:basedOn w:val="a0"/>
    <w:uiPriority w:val="99"/>
    <w:unhideWhenUsed/>
    <w:qFormat/>
    <w:rsid w:val="001A70D8"/>
  </w:style>
  <w:style w:type="character" w:styleId="ab">
    <w:name w:val="annotation reference"/>
    <w:uiPriority w:val="99"/>
    <w:unhideWhenUsed/>
    <w:qFormat/>
    <w:rsid w:val="001A70D8"/>
    <w:rPr>
      <w:sz w:val="21"/>
      <w:szCs w:val="21"/>
    </w:rPr>
  </w:style>
  <w:style w:type="character" w:styleId="ac">
    <w:name w:val="footnote reference"/>
    <w:uiPriority w:val="99"/>
    <w:unhideWhenUsed/>
    <w:qFormat/>
    <w:rsid w:val="001A70D8"/>
    <w:rPr>
      <w:vertAlign w:val="superscript"/>
    </w:rPr>
  </w:style>
  <w:style w:type="character" w:customStyle="1" w:styleId="Char0">
    <w:name w:val="批注框文本 Char"/>
    <w:link w:val="a4"/>
    <w:uiPriority w:val="99"/>
    <w:semiHidden/>
    <w:qFormat/>
    <w:rsid w:val="001A70D8"/>
    <w:rPr>
      <w:kern w:val="2"/>
      <w:sz w:val="18"/>
      <w:szCs w:val="18"/>
    </w:rPr>
  </w:style>
  <w:style w:type="character" w:customStyle="1" w:styleId="Char2">
    <w:name w:val="页眉 Char"/>
    <w:link w:val="a6"/>
    <w:uiPriority w:val="99"/>
    <w:semiHidden/>
    <w:qFormat/>
    <w:locked/>
    <w:rsid w:val="001A70D8"/>
    <w:rPr>
      <w:rFonts w:ascii="Times New Roman" w:hAnsi="Times New Roman" w:cs="Times New Roman" w:hint="default"/>
      <w:sz w:val="18"/>
      <w:szCs w:val="18"/>
    </w:rPr>
  </w:style>
  <w:style w:type="character" w:customStyle="1" w:styleId="Char3">
    <w:name w:val="批注主题 Char"/>
    <w:link w:val="a9"/>
    <w:uiPriority w:val="99"/>
    <w:semiHidden/>
    <w:qFormat/>
    <w:rsid w:val="001A70D8"/>
    <w:rPr>
      <w:b/>
      <w:bCs/>
      <w:kern w:val="2"/>
      <w:sz w:val="21"/>
      <w:szCs w:val="22"/>
    </w:rPr>
  </w:style>
  <w:style w:type="character" w:customStyle="1" w:styleId="Char1">
    <w:name w:val="页脚 Char"/>
    <w:link w:val="a5"/>
    <w:uiPriority w:val="99"/>
    <w:semiHidden/>
    <w:qFormat/>
    <w:locked/>
    <w:rsid w:val="001A70D8"/>
    <w:rPr>
      <w:rFonts w:ascii="Times New Roman" w:hAnsi="Times New Roman" w:cs="Times New Roman" w:hint="default"/>
      <w:sz w:val="18"/>
      <w:szCs w:val="18"/>
    </w:rPr>
  </w:style>
  <w:style w:type="character" w:customStyle="1" w:styleId="Char">
    <w:name w:val="批注文字 Char"/>
    <w:link w:val="a3"/>
    <w:uiPriority w:val="99"/>
    <w:qFormat/>
    <w:rsid w:val="001A70D8"/>
    <w:rPr>
      <w:kern w:val="2"/>
      <w:sz w:val="21"/>
      <w:szCs w:val="22"/>
    </w:rPr>
  </w:style>
  <w:style w:type="paragraph" w:customStyle="1" w:styleId="zhongyaotishi">
    <w:name w:val="zhongyaotishi"/>
    <w:basedOn w:val="a"/>
    <w:qFormat/>
    <w:rsid w:val="001A70D8"/>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A70D8"/>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A70D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A70D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A70D8"/>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A70D8"/>
    <w:pPr>
      <w:widowControl w:val="0"/>
      <w:jc w:val="center"/>
    </w:pPr>
    <w:rPr>
      <w:kern w:val="2"/>
      <w:sz w:val="33"/>
      <w:szCs w:val="22"/>
    </w:rPr>
  </w:style>
  <w:style w:type="paragraph" w:customStyle="1" w:styleId="biaogeleft">
    <w:name w:val="biaoge_left"/>
    <w:basedOn w:val="a"/>
    <w:qFormat/>
    <w:rsid w:val="001A70D8"/>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A70D8"/>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A70D8"/>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A70D8"/>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A70D8"/>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A70D8"/>
    <w:pPr>
      <w:widowControl w:val="0"/>
    </w:pPr>
    <w:rPr>
      <w:kern w:val="2"/>
      <w:sz w:val="21"/>
      <w:szCs w:val="22"/>
    </w:rPr>
  </w:style>
  <w:style w:type="paragraph" w:customStyle="1" w:styleId="neirong">
    <w:name w:val="neirong"/>
    <w:basedOn w:val="a"/>
    <w:qFormat/>
    <w:rsid w:val="001A70D8"/>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1A70D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795</Words>
  <Characters>4535</Characters>
  <Application>Microsoft Office Word</Application>
  <DocSecurity>0</DocSecurity>
  <Lines>37</Lines>
  <Paragraphs>10</Paragraphs>
  <ScaleCrop>false</ScaleCrop>
  <Company>微软中国</Company>
  <LinksUpToDate>false</LinksUpToDate>
  <CharactersWithSpaces>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32</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FC855810CCAB47B197B6600359846F61</vt:lpwstr>
  </property>
</Properties>
</file>