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6E0" w:rsidRDefault="007716E0">
      <w:pPr>
        <w:pStyle w:val="dazhangjie"/>
        <w:rPr>
          <w:b/>
          <w:bCs/>
          <w:color w:val="000000"/>
        </w:rPr>
      </w:pPr>
    </w:p>
    <w:p w:rsidR="007716E0" w:rsidRDefault="007716E0">
      <w:pPr>
        <w:pStyle w:val="dazhangjie"/>
        <w:rPr>
          <w:b/>
          <w:bCs/>
          <w:color w:val="000000"/>
        </w:rPr>
      </w:pPr>
    </w:p>
    <w:p w:rsidR="007716E0" w:rsidRDefault="007716E0">
      <w:pPr>
        <w:pStyle w:val="dazhangjie"/>
        <w:rPr>
          <w:b/>
          <w:bCs/>
          <w:color w:val="000000"/>
        </w:rPr>
      </w:pPr>
    </w:p>
    <w:p w:rsidR="007716E0" w:rsidRDefault="006447F1">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15W762D</w:t>
      </w:r>
      <w:r>
        <w:rPr>
          <w:rFonts w:ascii="黑体" w:eastAsia="黑体" w:hAnsi="黑体"/>
          <w:b/>
          <w:bCs/>
          <w:sz w:val="36"/>
        </w:rPr>
        <w:t>封闭式公募人民币理财产品</w:t>
      </w:r>
    </w:p>
    <w:p w:rsidR="007716E0" w:rsidRDefault="006447F1">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rPr>
          <w:rFonts w:ascii="黑体" w:eastAsia="黑体" w:hAnsi="黑体"/>
          <w:b/>
          <w:bCs/>
          <w:color w:val="000000"/>
          <w:sz w:val="36"/>
        </w:rPr>
      </w:pPr>
    </w:p>
    <w:p w:rsidR="007716E0" w:rsidRDefault="007716E0">
      <w:pPr>
        <w:pStyle w:val="dazhangjie"/>
        <w:spacing w:before="240" w:after="120"/>
        <w:ind w:left="0"/>
        <w:jc w:val="both"/>
        <w:rPr>
          <w:rFonts w:ascii="黑体" w:eastAsia="黑体" w:hAnsi="黑体"/>
          <w:b/>
          <w:bCs/>
          <w:color w:val="000000"/>
          <w:sz w:val="36"/>
        </w:rPr>
      </w:pPr>
    </w:p>
    <w:p w:rsidR="007716E0" w:rsidRDefault="006447F1">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716E0" w:rsidRDefault="006447F1">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716E0" w:rsidRDefault="007716E0">
      <w:pPr>
        <w:widowControl/>
        <w:jc w:val="left"/>
        <w:rPr>
          <w:rFonts w:ascii="宋体" w:hAnsi="宋体" w:cs="宋体"/>
          <w:color w:val="000000"/>
          <w:kern w:val="0"/>
          <w:sz w:val="24"/>
          <w:szCs w:val="24"/>
        </w:rPr>
        <w:sectPr w:rsidR="007716E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716E0" w:rsidRDefault="007716E0">
      <w:pPr>
        <w:widowControl/>
        <w:jc w:val="left"/>
        <w:rPr>
          <w:rFonts w:ascii="宋体" w:hAnsi="宋体" w:cs="宋体"/>
          <w:color w:val="000000"/>
          <w:kern w:val="0"/>
          <w:sz w:val="24"/>
          <w:szCs w:val="24"/>
        </w:rPr>
      </w:pPr>
    </w:p>
    <w:p w:rsidR="007716E0" w:rsidRDefault="006447F1">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716E0" w:rsidRDefault="007716E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南京银行珠联璧合逸稳</w:t>
            </w:r>
            <w:r>
              <w:rPr>
                <w:rFonts w:hint="eastAsia"/>
              </w:rPr>
              <w:t>15W762D</w:t>
            </w:r>
            <w:r>
              <w:rPr>
                <w:rFonts w:hint="eastAsia"/>
              </w:rPr>
              <w:t>封闭式公募人民币理财产品</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pPr>
            <w:r>
              <w:t>C1086920000020</w:t>
            </w:r>
            <w:r>
              <w:rPr>
                <w:rFonts w:hint="eastAsia"/>
              </w:rPr>
              <w:t>（投资者可依据该编码在中国理财网</w:t>
            </w:r>
            <w:r>
              <w:rPr>
                <w:rFonts w:hint="eastAsia"/>
              </w:rPr>
              <w:t>www.chinawealth.com.cn</w:t>
            </w:r>
            <w:r>
              <w:rPr>
                <w:rFonts w:hint="eastAsia"/>
              </w:rPr>
              <w:t>查询理财产品相关信息）</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开放式</w:t>
            </w:r>
            <w:r>
              <w:rPr>
                <w:rFonts w:hint="eastAsia"/>
              </w:rPr>
              <w:t>净值型</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A4186B">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2020</w:t>
            </w:r>
            <w:r>
              <w:rPr>
                <w:rFonts w:hint="eastAsia"/>
              </w:rPr>
              <w:t>年</w:t>
            </w:r>
            <w:r>
              <w:rPr>
                <w:rFonts w:hint="eastAsia"/>
              </w:rPr>
              <w:t>08</w:t>
            </w:r>
            <w:r>
              <w:rPr>
                <w:rFonts w:hint="eastAsia"/>
              </w:rPr>
              <w:t>月</w:t>
            </w:r>
            <w:r>
              <w:rPr>
                <w:rFonts w:hint="eastAsia"/>
              </w:rPr>
              <w:t>19</w:t>
            </w:r>
            <w:r>
              <w:rPr>
                <w:rFonts w:hint="eastAsia"/>
              </w:rPr>
              <w:t>日</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highlight w:val="yellow"/>
              </w:rPr>
            </w:pPr>
            <w:r>
              <w:rPr>
                <w:rFonts w:hint="eastAsia"/>
              </w:rPr>
              <w:t>74,496,000.00</w:t>
            </w:r>
            <w:r>
              <w:rPr>
                <w:rFonts w:hint="eastAsia"/>
              </w:rPr>
              <w:t>份</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100.16%</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鑫元基金管理有限公司</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南京银行股份有限公司</w:t>
            </w:r>
          </w:p>
        </w:tc>
      </w:tr>
      <w:tr w:rsidR="007716E0">
        <w:tc>
          <w:tcPr>
            <w:tcW w:w="281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left"/>
              <w:wordWrap w:val="0"/>
              <w:rPr>
                <w:color w:val="000000"/>
              </w:rPr>
            </w:pPr>
            <w:r>
              <w:rPr>
                <w:rFonts w:hint="eastAsia"/>
              </w:rPr>
              <w:t>南京银行股份有限公司</w:t>
            </w:r>
          </w:p>
        </w:tc>
      </w:tr>
    </w:tbl>
    <w:p w:rsidR="007716E0" w:rsidRDefault="007716E0">
      <w:pPr>
        <w:widowControl/>
        <w:jc w:val="left"/>
        <w:rPr>
          <w:rFonts w:ascii="宋体" w:hAnsi="宋体" w:cs="宋体"/>
          <w:color w:val="000000"/>
          <w:kern w:val="0"/>
          <w:sz w:val="24"/>
          <w:szCs w:val="24"/>
        </w:rPr>
      </w:pPr>
    </w:p>
    <w:p w:rsidR="007716E0" w:rsidRDefault="007716E0">
      <w:pPr>
        <w:pStyle w:val="dazhangjie"/>
        <w:rPr>
          <w:rFonts w:hAnsi="Calibri"/>
          <w:b/>
          <w:color w:val="000000"/>
        </w:rPr>
      </w:pPr>
    </w:p>
    <w:p w:rsidR="007716E0" w:rsidRDefault="006447F1">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716E0" w:rsidRDefault="007716E0">
      <w:pPr>
        <w:widowControl/>
        <w:jc w:val="left"/>
        <w:rPr>
          <w:rFonts w:ascii="宋体" w:hAnsi="宋体" w:cs="宋体"/>
          <w:color w:val="000000"/>
          <w:kern w:val="0"/>
          <w:sz w:val="24"/>
          <w:szCs w:val="24"/>
        </w:rPr>
      </w:pPr>
    </w:p>
    <w:p w:rsidR="007716E0" w:rsidRDefault="006447F1">
      <w:pPr>
        <w:pStyle w:val="zhangjiep"/>
        <w:rPr>
          <w:color w:val="000000"/>
        </w:rPr>
      </w:pPr>
      <w:r>
        <w:rPr>
          <w:rFonts w:hint="eastAsia"/>
          <w:b/>
          <w:bCs/>
          <w:color w:val="000000"/>
        </w:rPr>
        <w:t xml:space="preserve">2.1 </w:t>
      </w:r>
      <w:r>
        <w:rPr>
          <w:rFonts w:hint="eastAsia"/>
          <w:b/>
          <w:bCs/>
          <w:color w:val="000000"/>
        </w:rPr>
        <w:t>主要财务指标</w:t>
      </w:r>
    </w:p>
    <w:p w:rsidR="007716E0" w:rsidRDefault="006447F1">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716E0">
        <w:tc>
          <w:tcPr>
            <w:tcW w:w="5220"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dazhangjie"/>
              <w:spacing w:before="240" w:after="120"/>
              <w:rPr>
                <w:color w:val="000000"/>
              </w:rPr>
            </w:pPr>
            <w:r>
              <w:t>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w:t>
            </w:r>
            <w:r>
              <w:t>- 2020</w:t>
            </w:r>
            <w:r>
              <w:t>年</w:t>
            </w:r>
            <w:r>
              <w:t>12</w:t>
            </w:r>
            <w:r>
              <w:t>月</w:t>
            </w:r>
            <w:r>
              <w:t>31</w:t>
            </w:r>
            <w:r>
              <w:t>日）</w:t>
            </w:r>
          </w:p>
        </w:tc>
      </w:tr>
      <w:tr w:rsidR="007716E0">
        <w:tc>
          <w:tcPr>
            <w:tcW w:w="5220"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right"/>
              <w:jc w:val="center"/>
              <w:rPr>
                <w:color w:val="000000"/>
                <w:highlight w:val="yellow"/>
              </w:rPr>
            </w:pPr>
            <w:r>
              <w:rPr>
                <w:rFonts w:hint="eastAsia"/>
              </w:rPr>
              <w:t>75,807,097.66</w:t>
            </w:r>
          </w:p>
        </w:tc>
      </w:tr>
      <w:tr w:rsidR="007716E0">
        <w:tc>
          <w:tcPr>
            <w:tcW w:w="5220"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right"/>
              <w:jc w:val="center"/>
              <w:rPr>
                <w:color w:val="000000"/>
                <w:highlight w:val="yellow"/>
              </w:rPr>
            </w:pPr>
            <w:r>
              <w:rPr>
                <w:rFonts w:hint="eastAsia"/>
              </w:rPr>
              <w:t>1.0176</w:t>
            </w:r>
          </w:p>
        </w:tc>
      </w:tr>
      <w:tr w:rsidR="007716E0">
        <w:tc>
          <w:tcPr>
            <w:tcW w:w="5220"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right"/>
              <w:jc w:val="center"/>
              <w:rPr>
                <w:color w:val="000000"/>
                <w:highlight w:val="yellow"/>
              </w:rPr>
            </w:pPr>
            <w:r>
              <w:rPr>
                <w:rFonts w:hint="eastAsia"/>
              </w:rPr>
              <w:t>1.0176</w:t>
            </w:r>
          </w:p>
        </w:tc>
      </w:tr>
      <w:tr w:rsidR="007716E0">
        <w:tc>
          <w:tcPr>
            <w:tcW w:w="5220" w:type="dxa"/>
            <w:vAlign w:val="center"/>
          </w:tcPr>
          <w:p w:rsidR="007716E0" w:rsidRDefault="007716E0">
            <w:pPr>
              <w:widowControl/>
              <w:jc w:val="left"/>
              <w:rPr>
                <w:rFonts w:ascii="宋体" w:hAnsi="宋体" w:cs="宋体"/>
                <w:color w:val="000000"/>
                <w:kern w:val="0"/>
                <w:sz w:val="24"/>
                <w:szCs w:val="24"/>
              </w:rPr>
            </w:pPr>
          </w:p>
        </w:tc>
        <w:tc>
          <w:tcPr>
            <w:tcW w:w="3825" w:type="dxa"/>
            <w:vAlign w:val="center"/>
          </w:tcPr>
          <w:p w:rsidR="007716E0" w:rsidRDefault="007716E0">
            <w:pPr>
              <w:widowControl/>
              <w:jc w:val="left"/>
              <w:rPr>
                <w:color w:val="000000"/>
                <w:kern w:val="0"/>
                <w:sz w:val="20"/>
                <w:szCs w:val="20"/>
              </w:rPr>
            </w:pPr>
          </w:p>
        </w:tc>
      </w:tr>
    </w:tbl>
    <w:p w:rsidR="007716E0" w:rsidRDefault="007716E0">
      <w:pPr>
        <w:pStyle w:val="biaogeleft"/>
        <w:ind w:left="0"/>
        <w:rPr>
          <w:color w:val="000000"/>
        </w:rPr>
      </w:pPr>
    </w:p>
    <w:p w:rsidR="007716E0" w:rsidRDefault="007716E0">
      <w:pPr>
        <w:widowControl/>
        <w:jc w:val="left"/>
        <w:rPr>
          <w:rFonts w:ascii="宋体" w:hAnsi="宋体" w:cs="宋体"/>
          <w:color w:val="000000"/>
          <w:kern w:val="0"/>
          <w:sz w:val="24"/>
          <w:szCs w:val="24"/>
        </w:rPr>
      </w:pPr>
    </w:p>
    <w:p w:rsidR="007716E0" w:rsidRDefault="006447F1">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716E0" w:rsidRDefault="006447F1">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7716E0" w:rsidRDefault="006447F1">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7716E0" w:rsidRDefault="006447F1">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7716E0" w:rsidRDefault="006447F1">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716E0" w:rsidRDefault="006447F1">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7716E0" w:rsidRDefault="006447F1">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716E0" w:rsidRDefault="006447F1">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7716E0" w:rsidRDefault="006447F1">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7716E0" w:rsidRDefault="006447F1">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1.0176</w:t>
      </w:r>
      <w:r>
        <w:rPr>
          <w:rFonts w:hint="eastAsia"/>
          <w:color w:val="000000"/>
        </w:rPr>
        <w:t>元。</w:t>
      </w:r>
    </w:p>
    <w:p w:rsidR="007716E0" w:rsidRDefault="007716E0">
      <w:pPr>
        <w:widowControl/>
        <w:jc w:val="left"/>
        <w:rPr>
          <w:rFonts w:ascii="宋体" w:hAnsi="宋体" w:cs="宋体"/>
          <w:color w:val="000000"/>
          <w:kern w:val="0"/>
          <w:sz w:val="24"/>
          <w:szCs w:val="24"/>
        </w:rPr>
      </w:pPr>
    </w:p>
    <w:p w:rsidR="007716E0" w:rsidRDefault="006447F1">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716E0" w:rsidRDefault="007716E0">
      <w:pPr>
        <w:pStyle w:val="dazhangjie"/>
        <w:rPr>
          <w:rFonts w:hAnsi="Calibri"/>
          <w:b/>
          <w:color w:val="000000"/>
        </w:rPr>
      </w:pPr>
    </w:p>
    <w:p w:rsidR="007716E0" w:rsidRDefault="006447F1">
      <w:pPr>
        <w:pStyle w:val="a8"/>
        <w:rPr>
          <w:b/>
          <w:color w:val="000000"/>
        </w:rPr>
      </w:pPr>
      <w:r>
        <w:rPr>
          <w:rFonts w:hint="eastAsia"/>
          <w:b/>
          <w:color w:val="000000"/>
        </w:rPr>
        <w:t>4.1</w:t>
      </w:r>
      <w:r>
        <w:rPr>
          <w:rFonts w:hint="eastAsia"/>
          <w:b/>
          <w:color w:val="000000"/>
        </w:rPr>
        <w:t>报告期内托管人遵规守信情况声明</w:t>
      </w:r>
    </w:p>
    <w:p w:rsidR="007716E0" w:rsidRDefault="006447F1">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8</w:t>
      </w:r>
      <w:r>
        <w:rPr>
          <w:rFonts w:hint="eastAsia"/>
        </w:rPr>
        <w:t>月</w:t>
      </w:r>
      <w:r>
        <w:rPr>
          <w:rFonts w:hint="eastAsia"/>
        </w:rPr>
        <w:t>19</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7716E0" w:rsidRDefault="006447F1">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716E0" w:rsidRDefault="006447F1">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7716E0" w:rsidRDefault="006447F1">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7716E0" w:rsidRDefault="006447F1">
      <w:pPr>
        <w:pStyle w:val="biaogeleft"/>
        <w:spacing w:line="360" w:lineRule="auto"/>
        <w:ind w:firstLine="480"/>
      </w:pPr>
      <w:bookmarkStart w:id="5"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rsidR="007716E0" w:rsidRDefault="007716E0">
      <w:pPr>
        <w:pStyle w:val="biaogeleft"/>
        <w:spacing w:line="360" w:lineRule="auto"/>
        <w:ind w:firstLine="480"/>
        <w:rPr>
          <w:color w:val="000000"/>
        </w:rPr>
      </w:pPr>
    </w:p>
    <w:p w:rsidR="007716E0" w:rsidRDefault="006447F1">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7716E0" w:rsidRDefault="007716E0">
      <w:pPr>
        <w:widowControl/>
        <w:jc w:val="left"/>
        <w:rPr>
          <w:rFonts w:ascii="宋体" w:hAnsi="宋体" w:cs="宋体"/>
          <w:kern w:val="0"/>
          <w:sz w:val="24"/>
          <w:szCs w:val="24"/>
        </w:rPr>
      </w:pPr>
    </w:p>
    <w:p w:rsidR="007716E0" w:rsidRDefault="006447F1">
      <w:pPr>
        <w:pStyle w:val="zhangjiep"/>
      </w:pPr>
      <w:bookmarkStart w:id="7" w:name="_Toc61271615"/>
      <w:r>
        <w:rPr>
          <w:rFonts w:hint="eastAsia"/>
          <w:b/>
          <w:bCs/>
        </w:rPr>
        <w:t xml:space="preserve">5.1 </w:t>
      </w:r>
      <w:r>
        <w:rPr>
          <w:rFonts w:hint="eastAsia"/>
          <w:b/>
          <w:bCs/>
        </w:rPr>
        <w:t>资产负债表</w:t>
      </w:r>
      <w:bookmarkEnd w:id="7"/>
    </w:p>
    <w:p w:rsidR="007716E0" w:rsidRDefault="006447F1">
      <w:pPr>
        <w:pStyle w:val="biaogeleft"/>
      </w:pPr>
      <w:r>
        <w:rPr>
          <w:rFonts w:hint="eastAsia"/>
        </w:rPr>
        <w:t>会计主体：南京银行珠联璧合逸稳</w:t>
      </w:r>
      <w:r>
        <w:rPr>
          <w:rFonts w:hint="eastAsia"/>
        </w:rPr>
        <w:t>15W762D</w:t>
      </w:r>
      <w:r>
        <w:rPr>
          <w:rFonts w:hint="eastAsia"/>
        </w:rPr>
        <w:t>封闭式公募人民币理财产品</w:t>
      </w:r>
    </w:p>
    <w:p w:rsidR="007716E0" w:rsidRDefault="006447F1">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716E0" w:rsidRDefault="006447F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Ansi="Calibri" w:hint="eastAsia"/>
                <w:color w:val="000000"/>
              </w:rPr>
              <w:t>本期末</w:t>
            </w:r>
            <w:r>
              <w:rPr>
                <w:rFonts w:hAnsi="Calibri" w:hint="eastAsia"/>
                <w:color w:val="000000"/>
              </w:rPr>
              <w:t> </w:t>
            </w:r>
          </w:p>
          <w:p w:rsidR="007716E0" w:rsidRDefault="006447F1">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 </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53,562.99</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pPr>
            <w:r>
              <w:rPr>
                <w:rFonts w:cs="Arial" w:hint="eastAsia"/>
                <w:color w:val="000000"/>
              </w:rPr>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780,704.36</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35,000,000.00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40,098,178.20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75,932,445.55</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本期末</w:t>
            </w:r>
            <w:r>
              <w:rPr>
                <w:rFonts w:hint="eastAsia"/>
              </w:rPr>
              <w:t> </w:t>
            </w:r>
          </w:p>
          <w:p w:rsidR="007716E0" w:rsidRDefault="006447F1">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 </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62,283.24</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4,152.42</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41,522.16</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17,390.07</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lastRenderedPageBreak/>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125,347.89</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 </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74,496,000.00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0.00</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1,311,097.66</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75,807,097.66</w:t>
            </w:r>
          </w:p>
        </w:tc>
      </w:tr>
      <w:tr w:rsidR="007716E0">
        <w:tc>
          <w:tcPr>
            <w:tcW w:w="3660"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cs="Arial" w:hint="eastAsia"/>
                <w:color w:val="000000"/>
              </w:rPr>
              <w:t>75,932,445.55</w:t>
            </w:r>
          </w:p>
        </w:tc>
      </w:tr>
    </w:tbl>
    <w:p w:rsidR="007716E0" w:rsidRDefault="007716E0">
      <w:pPr>
        <w:widowControl/>
        <w:jc w:val="left"/>
        <w:rPr>
          <w:rFonts w:ascii="宋体" w:hAnsi="宋体" w:cs="宋体"/>
          <w:kern w:val="0"/>
          <w:sz w:val="24"/>
          <w:szCs w:val="24"/>
        </w:rPr>
      </w:pPr>
    </w:p>
    <w:p w:rsidR="007716E0" w:rsidRDefault="006447F1">
      <w:pPr>
        <w:pStyle w:val="zhangjiep"/>
      </w:pPr>
      <w:bookmarkStart w:id="8" w:name="_Toc61428272"/>
      <w:r>
        <w:rPr>
          <w:rFonts w:hint="eastAsia"/>
          <w:b/>
          <w:bCs/>
        </w:rPr>
        <w:t xml:space="preserve">5.2 </w:t>
      </w:r>
      <w:r>
        <w:rPr>
          <w:rFonts w:hint="eastAsia"/>
          <w:b/>
          <w:bCs/>
        </w:rPr>
        <w:t>利润表</w:t>
      </w:r>
      <w:bookmarkEnd w:id="8"/>
    </w:p>
    <w:p w:rsidR="007716E0" w:rsidRDefault="006447F1">
      <w:pPr>
        <w:pStyle w:val="biaogeleft"/>
      </w:pPr>
      <w:r>
        <w:rPr>
          <w:rFonts w:hint="eastAsia"/>
        </w:rPr>
        <w:t>会计主体：南京银行珠联璧合逸稳</w:t>
      </w:r>
      <w:r>
        <w:rPr>
          <w:rFonts w:hint="eastAsia"/>
        </w:rPr>
        <w:t>15W762D</w:t>
      </w:r>
      <w:r>
        <w:rPr>
          <w:rFonts w:hint="eastAsia"/>
        </w:rPr>
        <w:t>封闭式公募人民币理财产品</w:t>
      </w:r>
    </w:p>
    <w:p w:rsidR="007716E0" w:rsidRDefault="006447F1">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716E0" w:rsidRDefault="006447F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716E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716E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716E0" w:rsidRDefault="007716E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716E0" w:rsidRDefault="007716E0">
            <w:pPr>
              <w:widowControl/>
              <w:jc w:val="left"/>
              <w:rPr>
                <w:rFonts w:asciiTheme="minorEastAsia" w:eastAsiaTheme="minorEastAsia" w:hAnsiTheme="minorEastAsia" w:cs="宋体"/>
                <w:kern w:val="0"/>
                <w:sz w:val="24"/>
                <w:szCs w:val="24"/>
              </w:rPr>
            </w:pP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b/>
                <w:bCs/>
                <w:color w:val="000000"/>
              </w:rPr>
              <w:t>1,456,711.63</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758,533.43</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573.26</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757,960.17</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ascii="Arial" w:hAnsi="Arial" w:cs="Arial"/>
                <w:color w:val="000000"/>
              </w:rPr>
              <w:t xml:space="preserve">　</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698,178.20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 xml:space="preserve">　</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b/>
                <w:bCs/>
                <w:color w:val="000000"/>
              </w:rPr>
              <w:t>145,613.97</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82,433.70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5,495.85</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54,955.80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2,728.62</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color w:val="000000"/>
              </w:rPr>
              <w:t>0.00</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b/>
                <w:bCs/>
                <w:color w:val="000000"/>
              </w:rPr>
              <w:t>1,311,097.66</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ascii="Arial" w:hAnsi="Arial" w:cs="Arial"/>
                <w:color w:val="000000"/>
              </w:rPr>
              <w:t xml:space="preserve">　</w:t>
            </w:r>
          </w:p>
        </w:tc>
      </w:tr>
      <w:tr w:rsidR="007716E0">
        <w:tc>
          <w:tcPr>
            <w:tcW w:w="2969"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rPr>
                <w:rFonts w:asciiTheme="minorEastAsia" w:eastAsiaTheme="minorEastAsia" w:hAnsiTheme="minorEastAsia"/>
              </w:rPr>
            </w:pPr>
            <w:r>
              <w:rPr>
                <w:rFonts w:cs="Arial" w:hint="eastAsia"/>
                <w:b/>
                <w:bCs/>
                <w:color w:val="000000"/>
              </w:rPr>
              <w:t>1,311,097.66</w:t>
            </w:r>
          </w:p>
        </w:tc>
      </w:tr>
    </w:tbl>
    <w:p w:rsidR="007716E0" w:rsidRDefault="007716E0">
      <w:pPr>
        <w:widowControl/>
        <w:jc w:val="left"/>
        <w:rPr>
          <w:rFonts w:ascii="宋体" w:hAnsi="宋体" w:cs="宋体"/>
          <w:kern w:val="0"/>
          <w:sz w:val="24"/>
          <w:szCs w:val="24"/>
        </w:rPr>
      </w:pPr>
    </w:p>
    <w:p w:rsidR="007716E0" w:rsidRDefault="006447F1">
      <w:pPr>
        <w:pStyle w:val="zhangjiep"/>
      </w:pPr>
      <w:bookmarkStart w:id="9" w:name="_Toc61428273"/>
      <w:r>
        <w:rPr>
          <w:rFonts w:hint="eastAsia"/>
          <w:b/>
          <w:bCs/>
        </w:rPr>
        <w:t xml:space="preserve">5.3 </w:t>
      </w:r>
      <w:r>
        <w:rPr>
          <w:rFonts w:hint="eastAsia"/>
          <w:b/>
          <w:bCs/>
        </w:rPr>
        <w:t>所有者权益（基金净值）变动表</w:t>
      </w:r>
      <w:bookmarkEnd w:id="9"/>
    </w:p>
    <w:p w:rsidR="007716E0" w:rsidRDefault="006447F1">
      <w:pPr>
        <w:pStyle w:val="biaogeleft"/>
      </w:pPr>
      <w:r>
        <w:rPr>
          <w:rFonts w:hint="eastAsia"/>
        </w:rPr>
        <w:t>会计主体：南京银行珠联璧合逸稳</w:t>
      </w:r>
      <w:r>
        <w:rPr>
          <w:rFonts w:hint="eastAsia"/>
        </w:rPr>
        <w:t>15W762D</w:t>
      </w:r>
      <w:r>
        <w:rPr>
          <w:rFonts w:hint="eastAsia"/>
        </w:rPr>
        <w:t>封闭式公募人民币理财产品</w:t>
      </w:r>
    </w:p>
    <w:p w:rsidR="007716E0" w:rsidRDefault="006447F1">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19</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716E0" w:rsidRDefault="006447F1">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7716E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本期</w:t>
            </w:r>
            <w:r>
              <w:rPr>
                <w:rFonts w:hint="eastAsia"/>
              </w:rPr>
              <w:t> </w:t>
            </w:r>
          </w:p>
          <w:p w:rsidR="007716E0" w:rsidRDefault="006447F1">
            <w:pPr>
              <w:pStyle w:val="biaogecenter"/>
              <w:wordWrap w:val="0"/>
            </w:pPr>
            <w:r>
              <w:rPr>
                <w:rFonts w:hint="eastAsia"/>
              </w:rPr>
              <w:t>2020</w:t>
            </w:r>
            <w:r>
              <w:rPr>
                <w:rFonts w:hint="eastAsia"/>
              </w:rPr>
              <w:t>年</w:t>
            </w:r>
            <w:r>
              <w:rPr>
                <w:rFonts w:hint="eastAsia"/>
              </w:rPr>
              <w:t>08</w:t>
            </w:r>
            <w:r>
              <w:rPr>
                <w:rFonts w:hint="eastAsia"/>
              </w:rPr>
              <w:t>月</w:t>
            </w:r>
            <w:r>
              <w:rPr>
                <w:rFonts w:hint="eastAsia"/>
              </w:rPr>
              <w:t>19</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716E0">
        <w:tc>
          <w:tcPr>
            <w:tcW w:w="2116" w:type="dxa"/>
            <w:vMerge/>
            <w:tcBorders>
              <w:top w:val="single" w:sz="8" w:space="0" w:color="000000"/>
              <w:left w:val="single" w:sz="8" w:space="0" w:color="000000"/>
              <w:bottom w:val="single" w:sz="8" w:space="0" w:color="000000"/>
              <w:right w:val="single" w:sz="8" w:space="0" w:color="000000"/>
            </w:tcBorders>
            <w:vAlign w:val="center"/>
          </w:tcPr>
          <w:p w:rsidR="007716E0" w:rsidRDefault="007716E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所有者权益合计</w:t>
            </w:r>
            <w:r>
              <w:rPr>
                <w:rFonts w:hint="eastAsia"/>
              </w:rPr>
              <w:t> </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lastRenderedPageBreak/>
              <w:t>74,496,000.00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74,496,000.00</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1,311,097.66</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1,311,097.66</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w:t>
            </w:r>
          </w:p>
        </w:tc>
      </w:tr>
      <w:tr w:rsidR="007716E0">
        <w:tc>
          <w:tcPr>
            <w:tcW w:w="211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74,496,000.00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1,311,097.66</w:t>
            </w:r>
          </w:p>
        </w:tc>
        <w:tc>
          <w:tcPr>
            <w:tcW w:w="2484"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right"/>
              <w:wordWrap w:val="0"/>
            </w:pPr>
            <w:r>
              <w:rPr>
                <w:rFonts w:hint="eastAsia"/>
              </w:rPr>
              <w:t>75,807,097.66</w:t>
            </w:r>
          </w:p>
        </w:tc>
      </w:tr>
    </w:tbl>
    <w:p w:rsidR="007716E0" w:rsidRDefault="007716E0">
      <w:pPr>
        <w:widowControl/>
        <w:autoSpaceDE w:val="0"/>
        <w:autoSpaceDN w:val="0"/>
        <w:adjustRightInd w:val="0"/>
        <w:spacing w:line="288" w:lineRule="auto"/>
        <w:jc w:val="right"/>
        <w:rPr>
          <w:rFonts w:ascii="宋体" w:hAnsi="宋体" w:cs="宋体"/>
          <w:kern w:val="0"/>
          <w:sz w:val="24"/>
          <w:szCs w:val="24"/>
        </w:rPr>
      </w:pPr>
    </w:p>
    <w:p w:rsidR="007716E0" w:rsidRDefault="007716E0">
      <w:pPr>
        <w:pStyle w:val="biaogeleft"/>
        <w:spacing w:line="360" w:lineRule="auto"/>
        <w:ind w:firstLine="480"/>
        <w:rPr>
          <w:color w:val="000000"/>
        </w:rPr>
      </w:pPr>
    </w:p>
    <w:p w:rsidR="007716E0" w:rsidRDefault="006447F1">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716E0" w:rsidRDefault="007716E0">
      <w:pPr>
        <w:widowControl/>
        <w:jc w:val="left"/>
        <w:rPr>
          <w:rFonts w:ascii="宋体" w:hAnsi="宋体" w:cs="宋体"/>
          <w:color w:val="000000"/>
          <w:kern w:val="0"/>
          <w:sz w:val="24"/>
          <w:szCs w:val="24"/>
        </w:rPr>
      </w:pPr>
    </w:p>
    <w:p w:rsidR="007716E0" w:rsidRDefault="006447F1">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716E0">
        <w:tc>
          <w:tcPr>
            <w:tcW w:w="891" w:type="dxa"/>
            <w:tcBorders>
              <w:top w:val="single" w:sz="8" w:space="0" w:color="000000"/>
              <w:left w:val="single" w:sz="8" w:space="0" w:color="000000"/>
              <w:bottom w:val="single" w:sz="6" w:space="0" w:color="000000"/>
              <w:right w:val="single" w:sz="8" w:space="0" w:color="000000"/>
            </w:tcBorders>
            <w:vAlign w:val="bottom"/>
          </w:tcPr>
          <w:p w:rsidR="007716E0" w:rsidRDefault="006447F1">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716E0" w:rsidRDefault="006447F1">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716E0" w:rsidRDefault="006447F1">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716E0" w:rsidRDefault="006447F1">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35,000,000.00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46.09</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40,098,178.20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52.81</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53,562.99</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0.07</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780,704.36</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1.03</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716E0">
        <w:tc>
          <w:tcPr>
            <w:tcW w:w="891"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75,932,445.55</w:t>
            </w:r>
          </w:p>
        </w:tc>
        <w:tc>
          <w:tcPr>
            <w:tcW w:w="2395" w:type="dxa"/>
            <w:tcBorders>
              <w:top w:val="single" w:sz="8" w:space="0" w:color="000000"/>
              <w:left w:val="single" w:sz="8" w:space="0" w:color="000000"/>
              <w:bottom w:val="single" w:sz="8" w:space="0" w:color="000000"/>
              <w:right w:val="single" w:sz="8" w:space="0" w:color="000000"/>
            </w:tcBorders>
            <w:vAlign w:val="center"/>
          </w:tcPr>
          <w:p w:rsidR="007716E0" w:rsidRDefault="006447F1">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7716E0" w:rsidRDefault="007716E0">
      <w:pPr>
        <w:widowControl/>
        <w:jc w:val="left"/>
        <w:rPr>
          <w:rFonts w:ascii="宋体" w:hAnsi="宋体" w:cs="宋体"/>
          <w:color w:val="000000"/>
          <w:kern w:val="0"/>
          <w:sz w:val="24"/>
          <w:szCs w:val="24"/>
        </w:rPr>
      </w:pPr>
    </w:p>
    <w:p w:rsidR="007716E0" w:rsidRDefault="006447F1">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716E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716E0" w:rsidRDefault="006447F1">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716E0" w:rsidRDefault="006447F1">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716E0" w:rsidRDefault="006447F1">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716E0" w:rsidRDefault="006447F1">
            <w:pPr>
              <w:pStyle w:val="biaogecenter"/>
              <w:wordWrap w:val="0"/>
              <w:rPr>
                <w:color w:val="000000"/>
              </w:rPr>
            </w:pPr>
            <w:r>
              <w:rPr>
                <w:rFonts w:hint="eastAsia"/>
                <w:color w:val="000000"/>
              </w:rPr>
              <w:t>占产品资产净值比例（％）</w:t>
            </w:r>
          </w:p>
        </w:tc>
      </w:tr>
      <w:tr w:rsidR="007716E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716E0" w:rsidRDefault="006447F1">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40,098,178.20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52.90%</w:t>
            </w:r>
          </w:p>
        </w:tc>
      </w:tr>
      <w:tr w:rsidR="007716E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716E0" w:rsidRDefault="006447F1">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QTBZZ202008180002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苏兴化城建</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30,000,000.00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39.57%</w:t>
            </w:r>
          </w:p>
        </w:tc>
      </w:tr>
      <w:tr w:rsidR="007716E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716E0" w:rsidRDefault="006447F1">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QTBZZ202008200002</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苏盐城建投</w:t>
            </w:r>
            <w:r>
              <w:rPr>
                <w:rFonts w:ascii="宋体" w:hAnsi="宋体" w:cs="宋体" w:hint="eastAsia"/>
                <w:color w:val="000000"/>
                <w:kern w:val="0"/>
                <w:sz w:val="24"/>
                <w:szCs w:val="24"/>
              </w:rPr>
              <w:t>ZR007</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5,000,000.00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7716E0" w:rsidRDefault="006447F1">
            <w:pPr>
              <w:jc w:val="right"/>
              <w:rPr>
                <w:rFonts w:ascii="宋体" w:hAnsi="宋体" w:cs="宋体"/>
                <w:color w:val="000000"/>
                <w:kern w:val="0"/>
                <w:sz w:val="24"/>
                <w:szCs w:val="24"/>
              </w:rPr>
            </w:pPr>
            <w:r>
              <w:rPr>
                <w:rFonts w:ascii="宋体" w:hAnsi="宋体" w:cs="宋体" w:hint="eastAsia"/>
                <w:color w:val="000000"/>
                <w:kern w:val="0"/>
                <w:sz w:val="24"/>
                <w:szCs w:val="24"/>
              </w:rPr>
              <w:t>6.60%</w:t>
            </w:r>
          </w:p>
        </w:tc>
      </w:tr>
    </w:tbl>
    <w:p w:rsidR="007716E0" w:rsidRDefault="007716E0">
      <w:pPr>
        <w:widowControl/>
        <w:jc w:val="left"/>
        <w:rPr>
          <w:rFonts w:ascii="宋体" w:hAnsi="宋体" w:cs="宋体"/>
          <w:b/>
          <w:sz w:val="24"/>
          <w:szCs w:val="24"/>
          <w:shd w:val="clear" w:color="auto" w:fill="FFFFFF"/>
        </w:rPr>
      </w:pPr>
    </w:p>
    <w:p w:rsidR="007716E0" w:rsidRDefault="006447F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716E0" w:rsidRDefault="007716E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716E0">
        <w:tc>
          <w:tcPr>
            <w:tcW w:w="709"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风险状况</w:t>
            </w:r>
          </w:p>
        </w:tc>
      </w:tr>
      <w:tr w:rsidR="007716E0">
        <w:tc>
          <w:tcPr>
            <w:tcW w:w="70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兴化市城市建设投资有限公司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20</w:t>
            </w:r>
            <w:r>
              <w:rPr>
                <w:rFonts w:hint="eastAsia"/>
                <w:shd w:val="clear" w:color="auto" w:fill="FFFFFF"/>
              </w:rPr>
              <w:t>苏兴化城建</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231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w:t>
            </w:r>
          </w:p>
        </w:tc>
      </w:tr>
      <w:tr w:rsidR="007716E0">
        <w:tc>
          <w:tcPr>
            <w:tcW w:w="709"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盐城市城市建设投资集团有限公司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20</w:t>
            </w:r>
            <w:r>
              <w:rPr>
                <w:rFonts w:hint="eastAsia"/>
                <w:shd w:val="clear" w:color="auto" w:fill="FFFFFF"/>
              </w:rPr>
              <w:t>苏盐城建投</w:t>
            </w:r>
            <w:r>
              <w:rPr>
                <w:rFonts w:hint="eastAsia"/>
                <w:shd w:val="clear" w:color="auto" w:fill="FFFFFF"/>
              </w:rPr>
              <w:t>ZR007</w:t>
            </w:r>
          </w:p>
        </w:tc>
        <w:tc>
          <w:tcPr>
            <w:tcW w:w="1417"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598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716E0" w:rsidRDefault="006447F1">
            <w:pPr>
              <w:pStyle w:val="biaogecenter"/>
              <w:wordWrap w:val="0"/>
              <w:rPr>
                <w:shd w:val="clear" w:color="auto" w:fill="FFFFFF"/>
              </w:rPr>
            </w:pPr>
            <w:r>
              <w:rPr>
                <w:rFonts w:hint="eastAsia"/>
                <w:shd w:val="clear" w:color="auto" w:fill="FFFFFF"/>
              </w:rPr>
              <w:t>-</w:t>
            </w:r>
          </w:p>
        </w:tc>
      </w:tr>
    </w:tbl>
    <w:p w:rsidR="007716E0" w:rsidRDefault="007716E0">
      <w:pPr>
        <w:widowControl/>
        <w:jc w:val="left"/>
        <w:rPr>
          <w:rFonts w:ascii="宋体" w:hAnsi="宋体" w:cs="宋体"/>
          <w:color w:val="000000"/>
          <w:kern w:val="0"/>
          <w:sz w:val="24"/>
          <w:szCs w:val="24"/>
        </w:rPr>
      </w:pPr>
    </w:p>
    <w:p w:rsidR="007716E0" w:rsidRDefault="007716E0">
      <w:pPr>
        <w:widowControl/>
        <w:jc w:val="left"/>
        <w:rPr>
          <w:rFonts w:ascii="宋体" w:hAnsi="宋体" w:cs="宋体"/>
          <w:color w:val="000000"/>
          <w:kern w:val="0"/>
          <w:sz w:val="24"/>
          <w:szCs w:val="24"/>
        </w:rPr>
      </w:pPr>
    </w:p>
    <w:p w:rsidR="007716E0" w:rsidRDefault="006447F1">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716E0" w:rsidRDefault="006447F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716E0" w:rsidRDefault="006447F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716E0" w:rsidRDefault="007716E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716E0" w:rsidRDefault="007716E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7716E0" w:rsidRDefault="007716E0">
      <w:pPr>
        <w:widowControl/>
        <w:jc w:val="left"/>
        <w:rPr>
          <w:rFonts w:ascii="宋体" w:hAnsi="宋体" w:cs="宋体"/>
          <w:color w:val="000000"/>
          <w:kern w:val="0"/>
          <w:sz w:val="24"/>
          <w:szCs w:val="24"/>
        </w:rPr>
      </w:pPr>
    </w:p>
    <w:p w:rsidR="007716E0" w:rsidRDefault="007716E0">
      <w:pPr>
        <w:widowControl/>
        <w:jc w:val="left"/>
        <w:rPr>
          <w:rFonts w:ascii="宋体" w:hAnsi="宋体" w:cs="宋体"/>
          <w:color w:val="000000"/>
          <w:kern w:val="0"/>
          <w:sz w:val="24"/>
          <w:szCs w:val="24"/>
        </w:rPr>
      </w:pPr>
    </w:p>
    <w:p w:rsidR="007716E0" w:rsidRDefault="007716E0">
      <w:pPr>
        <w:widowControl/>
        <w:jc w:val="left"/>
        <w:rPr>
          <w:rFonts w:ascii="宋体" w:hAnsi="宋体" w:cs="宋体"/>
          <w:color w:val="000000"/>
          <w:kern w:val="0"/>
          <w:sz w:val="24"/>
          <w:szCs w:val="24"/>
        </w:rPr>
      </w:pPr>
    </w:p>
    <w:p w:rsidR="007716E0" w:rsidRDefault="007716E0">
      <w:pPr>
        <w:widowControl/>
        <w:jc w:val="left"/>
        <w:rPr>
          <w:color w:val="000000"/>
        </w:rPr>
      </w:pPr>
    </w:p>
    <w:p w:rsidR="007716E0" w:rsidRDefault="006447F1">
      <w:pPr>
        <w:pStyle w:val="biaogeright"/>
        <w:rPr>
          <w:b/>
        </w:rPr>
      </w:pPr>
      <w:r>
        <w:rPr>
          <w:rFonts w:hint="eastAsia"/>
          <w:b/>
        </w:rPr>
        <w:t>南京银行股份有限公司</w:t>
      </w:r>
    </w:p>
    <w:p w:rsidR="007716E0" w:rsidRDefault="006447F1">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716E0" w:rsidRDefault="007716E0">
      <w:pPr>
        <w:pStyle w:val="biaogeright"/>
        <w:rPr>
          <w:color w:val="000000"/>
        </w:rPr>
      </w:pPr>
    </w:p>
    <w:sectPr w:rsidR="007716E0" w:rsidSect="007716E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7F1" w:rsidRDefault="006447F1" w:rsidP="007716E0">
      <w:r>
        <w:separator/>
      </w:r>
    </w:p>
  </w:endnote>
  <w:endnote w:type="continuationSeparator" w:id="1">
    <w:p w:rsidR="006447F1" w:rsidRDefault="006447F1" w:rsidP="007716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E0" w:rsidRDefault="007716E0">
    <w:pPr>
      <w:pStyle w:val="a5"/>
      <w:framePr w:wrap="around" w:vAnchor="text" w:hAnchor="margin" w:xAlign="center" w:y="1"/>
      <w:rPr>
        <w:rStyle w:val="aa"/>
      </w:rPr>
    </w:pPr>
    <w:r>
      <w:fldChar w:fldCharType="begin"/>
    </w:r>
    <w:r w:rsidR="006447F1">
      <w:rPr>
        <w:rStyle w:val="aa"/>
      </w:rPr>
      <w:instrText xml:space="preserve">PAGE  </w:instrText>
    </w:r>
    <w:r>
      <w:fldChar w:fldCharType="end"/>
    </w:r>
  </w:p>
  <w:p w:rsidR="007716E0" w:rsidRDefault="007716E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E0" w:rsidRDefault="007716E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86B" w:rsidRDefault="00A4186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E0" w:rsidRDefault="007716E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E0" w:rsidRDefault="007716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7F1" w:rsidRDefault="006447F1" w:rsidP="007716E0">
      <w:r>
        <w:separator/>
      </w:r>
    </w:p>
  </w:footnote>
  <w:footnote w:type="continuationSeparator" w:id="1">
    <w:p w:rsidR="006447F1" w:rsidRDefault="006447F1" w:rsidP="007716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6E0" w:rsidRDefault="007716E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86B" w:rsidRDefault="00A418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86B" w:rsidRDefault="00A4186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19CF"/>
    <w:rsid w:val="00044BFF"/>
    <w:rsid w:val="0005474A"/>
    <w:rsid w:val="00061725"/>
    <w:rsid w:val="00072777"/>
    <w:rsid w:val="00073005"/>
    <w:rsid w:val="000A3711"/>
    <w:rsid w:val="000D5066"/>
    <w:rsid w:val="000F6191"/>
    <w:rsid w:val="00124D63"/>
    <w:rsid w:val="00130CE8"/>
    <w:rsid w:val="00152201"/>
    <w:rsid w:val="00172A27"/>
    <w:rsid w:val="00176636"/>
    <w:rsid w:val="00183C84"/>
    <w:rsid w:val="001C05F9"/>
    <w:rsid w:val="001C5395"/>
    <w:rsid w:val="001E2322"/>
    <w:rsid w:val="00202A11"/>
    <w:rsid w:val="00211F26"/>
    <w:rsid w:val="002263FC"/>
    <w:rsid w:val="002A3AE9"/>
    <w:rsid w:val="002C196E"/>
    <w:rsid w:val="002D296F"/>
    <w:rsid w:val="002D2FCF"/>
    <w:rsid w:val="002D57B1"/>
    <w:rsid w:val="002D75D0"/>
    <w:rsid w:val="002E3EC3"/>
    <w:rsid w:val="002E795C"/>
    <w:rsid w:val="00305714"/>
    <w:rsid w:val="00313E71"/>
    <w:rsid w:val="00321CB7"/>
    <w:rsid w:val="003379A9"/>
    <w:rsid w:val="00350ADF"/>
    <w:rsid w:val="00355623"/>
    <w:rsid w:val="003A0419"/>
    <w:rsid w:val="003C4D3B"/>
    <w:rsid w:val="003E09EA"/>
    <w:rsid w:val="003F0AC3"/>
    <w:rsid w:val="003F4066"/>
    <w:rsid w:val="004234D1"/>
    <w:rsid w:val="00456251"/>
    <w:rsid w:val="00480221"/>
    <w:rsid w:val="004A43F9"/>
    <w:rsid w:val="004C1607"/>
    <w:rsid w:val="004C1BE1"/>
    <w:rsid w:val="005069D8"/>
    <w:rsid w:val="0056162E"/>
    <w:rsid w:val="00563B93"/>
    <w:rsid w:val="00567DB3"/>
    <w:rsid w:val="00575BEA"/>
    <w:rsid w:val="005A54EA"/>
    <w:rsid w:val="005B3434"/>
    <w:rsid w:val="005D0038"/>
    <w:rsid w:val="005E2884"/>
    <w:rsid w:val="005E5050"/>
    <w:rsid w:val="005F2C7B"/>
    <w:rsid w:val="005F4D04"/>
    <w:rsid w:val="005F7DA9"/>
    <w:rsid w:val="006054F8"/>
    <w:rsid w:val="0063279D"/>
    <w:rsid w:val="006447F1"/>
    <w:rsid w:val="0065419A"/>
    <w:rsid w:val="00654220"/>
    <w:rsid w:val="00663B94"/>
    <w:rsid w:val="00677F66"/>
    <w:rsid w:val="006804C5"/>
    <w:rsid w:val="006C7F31"/>
    <w:rsid w:val="006E4E94"/>
    <w:rsid w:val="007138B2"/>
    <w:rsid w:val="007207A5"/>
    <w:rsid w:val="00730BEE"/>
    <w:rsid w:val="0073101E"/>
    <w:rsid w:val="00735153"/>
    <w:rsid w:val="00745421"/>
    <w:rsid w:val="007716E0"/>
    <w:rsid w:val="007A4219"/>
    <w:rsid w:val="0080200C"/>
    <w:rsid w:val="00814110"/>
    <w:rsid w:val="0082561A"/>
    <w:rsid w:val="00835B4E"/>
    <w:rsid w:val="00846B2E"/>
    <w:rsid w:val="00853290"/>
    <w:rsid w:val="0085663C"/>
    <w:rsid w:val="00866B5A"/>
    <w:rsid w:val="008768AB"/>
    <w:rsid w:val="008926F7"/>
    <w:rsid w:val="008A4DF9"/>
    <w:rsid w:val="008A7510"/>
    <w:rsid w:val="008C55A4"/>
    <w:rsid w:val="008C78BD"/>
    <w:rsid w:val="008F0FA3"/>
    <w:rsid w:val="00900D90"/>
    <w:rsid w:val="00926F01"/>
    <w:rsid w:val="009354D6"/>
    <w:rsid w:val="00937FF1"/>
    <w:rsid w:val="00970A98"/>
    <w:rsid w:val="009C781F"/>
    <w:rsid w:val="009D5296"/>
    <w:rsid w:val="009E6170"/>
    <w:rsid w:val="00A37451"/>
    <w:rsid w:val="00A4186B"/>
    <w:rsid w:val="00A4484F"/>
    <w:rsid w:val="00A578D5"/>
    <w:rsid w:val="00A76D4B"/>
    <w:rsid w:val="00A77C47"/>
    <w:rsid w:val="00A9119C"/>
    <w:rsid w:val="00A9553B"/>
    <w:rsid w:val="00AA4549"/>
    <w:rsid w:val="00AB0697"/>
    <w:rsid w:val="00AC5144"/>
    <w:rsid w:val="00B13014"/>
    <w:rsid w:val="00B17559"/>
    <w:rsid w:val="00B33B19"/>
    <w:rsid w:val="00B404E6"/>
    <w:rsid w:val="00B4360D"/>
    <w:rsid w:val="00B523A0"/>
    <w:rsid w:val="00B61EA9"/>
    <w:rsid w:val="00B670D1"/>
    <w:rsid w:val="00B74DCA"/>
    <w:rsid w:val="00BA74D3"/>
    <w:rsid w:val="00BB4185"/>
    <w:rsid w:val="00BC02E0"/>
    <w:rsid w:val="00BC3903"/>
    <w:rsid w:val="00BD4070"/>
    <w:rsid w:val="00BE47E0"/>
    <w:rsid w:val="00BF66BF"/>
    <w:rsid w:val="00BF75C8"/>
    <w:rsid w:val="00C1762E"/>
    <w:rsid w:val="00C22DF9"/>
    <w:rsid w:val="00C25123"/>
    <w:rsid w:val="00C30A48"/>
    <w:rsid w:val="00C375A7"/>
    <w:rsid w:val="00C62DF8"/>
    <w:rsid w:val="00C640FB"/>
    <w:rsid w:val="00C92831"/>
    <w:rsid w:val="00CB054E"/>
    <w:rsid w:val="00CC1ED9"/>
    <w:rsid w:val="00CC52D7"/>
    <w:rsid w:val="00D23AB6"/>
    <w:rsid w:val="00D42895"/>
    <w:rsid w:val="00D50309"/>
    <w:rsid w:val="00D51AA9"/>
    <w:rsid w:val="00D7264A"/>
    <w:rsid w:val="00D84E43"/>
    <w:rsid w:val="00D870DF"/>
    <w:rsid w:val="00DB0C2F"/>
    <w:rsid w:val="00DB3BF6"/>
    <w:rsid w:val="00DC31CC"/>
    <w:rsid w:val="00DC728A"/>
    <w:rsid w:val="00DD2F3C"/>
    <w:rsid w:val="00DE1457"/>
    <w:rsid w:val="00E1059D"/>
    <w:rsid w:val="00E155DF"/>
    <w:rsid w:val="00E246E1"/>
    <w:rsid w:val="00E560F1"/>
    <w:rsid w:val="00E94322"/>
    <w:rsid w:val="00E944FA"/>
    <w:rsid w:val="00E9797A"/>
    <w:rsid w:val="00EA7ABC"/>
    <w:rsid w:val="00EB2746"/>
    <w:rsid w:val="00EE0436"/>
    <w:rsid w:val="00F1465C"/>
    <w:rsid w:val="00F21990"/>
    <w:rsid w:val="00F405B9"/>
    <w:rsid w:val="00F41324"/>
    <w:rsid w:val="00F538F6"/>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EC5047B"/>
    <w:rsid w:val="1ED5317E"/>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5F731401"/>
    <w:rsid w:val="602D020F"/>
    <w:rsid w:val="60EA4BD2"/>
    <w:rsid w:val="62BD595C"/>
    <w:rsid w:val="64C1403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6E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716E0"/>
    <w:pPr>
      <w:jc w:val="left"/>
    </w:pPr>
  </w:style>
  <w:style w:type="paragraph" w:styleId="a4">
    <w:name w:val="Balloon Text"/>
    <w:basedOn w:val="a"/>
    <w:link w:val="Char0"/>
    <w:uiPriority w:val="99"/>
    <w:unhideWhenUsed/>
    <w:qFormat/>
    <w:rsid w:val="007716E0"/>
    <w:rPr>
      <w:sz w:val="18"/>
      <w:szCs w:val="18"/>
    </w:rPr>
  </w:style>
  <w:style w:type="paragraph" w:styleId="a5">
    <w:name w:val="footer"/>
    <w:basedOn w:val="a"/>
    <w:link w:val="Char1"/>
    <w:uiPriority w:val="99"/>
    <w:unhideWhenUsed/>
    <w:qFormat/>
    <w:rsid w:val="007716E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716E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716E0"/>
    <w:pPr>
      <w:snapToGrid w:val="0"/>
      <w:jc w:val="left"/>
    </w:pPr>
    <w:rPr>
      <w:sz w:val="18"/>
    </w:rPr>
  </w:style>
  <w:style w:type="paragraph" w:styleId="a8">
    <w:name w:val="Normal (Web)"/>
    <w:basedOn w:val="a"/>
    <w:qFormat/>
    <w:rsid w:val="007716E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716E0"/>
    <w:rPr>
      <w:b/>
      <w:bCs/>
    </w:rPr>
  </w:style>
  <w:style w:type="character" w:styleId="aa">
    <w:name w:val="page number"/>
    <w:basedOn w:val="a0"/>
    <w:uiPriority w:val="99"/>
    <w:unhideWhenUsed/>
    <w:qFormat/>
    <w:rsid w:val="007716E0"/>
  </w:style>
  <w:style w:type="character" w:styleId="ab">
    <w:name w:val="annotation reference"/>
    <w:uiPriority w:val="99"/>
    <w:unhideWhenUsed/>
    <w:qFormat/>
    <w:rsid w:val="007716E0"/>
    <w:rPr>
      <w:sz w:val="21"/>
      <w:szCs w:val="21"/>
    </w:rPr>
  </w:style>
  <w:style w:type="character" w:styleId="ac">
    <w:name w:val="footnote reference"/>
    <w:uiPriority w:val="99"/>
    <w:unhideWhenUsed/>
    <w:qFormat/>
    <w:rsid w:val="007716E0"/>
    <w:rPr>
      <w:vertAlign w:val="superscript"/>
    </w:rPr>
  </w:style>
  <w:style w:type="character" w:customStyle="1" w:styleId="Char0">
    <w:name w:val="批注框文本 Char"/>
    <w:link w:val="a4"/>
    <w:uiPriority w:val="99"/>
    <w:semiHidden/>
    <w:qFormat/>
    <w:rsid w:val="007716E0"/>
    <w:rPr>
      <w:kern w:val="2"/>
      <w:sz w:val="18"/>
      <w:szCs w:val="18"/>
    </w:rPr>
  </w:style>
  <w:style w:type="character" w:customStyle="1" w:styleId="Char2">
    <w:name w:val="页眉 Char"/>
    <w:link w:val="a6"/>
    <w:uiPriority w:val="99"/>
    <w:semiHidden/>
    <w:qFormat/>
    <w:locked/>
    <w:rsid w:val="007716E0"/>
    <w:rPr>
      <w:rFonts w:ascii="Times New Roman" w:hAnsi="Times New Roman" w:cs="Times New Roman" w:hint="default"/>
      <w:sz w:val="18"/>
      <w:szCs w:val="18"/>
    </w:rPr>
  </w:style>
  <w:style w:type="character" w:customStyle="1" w:styleId="Char3">
    <w:name w:val="批注主题 Char"/>
    <w:link w:val="a9"/>
    <w:uiPriority w:val="99"/>
    <w:semiHidden/>
    <w:qFormat/>
    <w:rsid w:val="007716E0"/>
    <w:rPr>
      <w:b/>
      <w:bCs/>
      <w:kern w:val="2"/>
      <w:sz w:val="21"/>
      <w:szCs w:val="22"/>
    </w:rPr>
  </w:style>
  <w:style w:type="character" w:customStyle="1" w:styleId="Char1">
    <w:name w:val="页脚 Char"/>
    <w:link w:val="a5"/>
    <w:uiPriority w:val="99"/>
    <w:semiHidden/>
    <w:qFormat/>
    <w:locked/>
    <w:rsid w:val="007716E0"/>
    <w:rPr>
      <w:rFonts w:ascii="Times New Roman" w:hAnsi="Times New Roman" w:cs="Times New Roman" w:hint="default"/>
      <w:sz w:val="18"/>
      <w:szCs w:val="18"/>
    </w:rPr>
  </w:style>
  <w:style w:type="character" w:customStyle="1" w:styleId="Char">
    <w:name w:val="批注文字 Char"/>
    <w:link w:val="a3"/>
    <w:uiPriority w:val="99"/>
    <w:qFormat/>
    <w:rsid w:val="007716E0"/>
    <w:rPr>
      <w:kern w:val="2"/>
      <w:sz w:val="21"/>
      <w:szCs w:val="22"/>
    </w:rPr>
  </w:style>
  <w:style w:type="paragraph" w:customStyle="1" w:styleId="zhongyaotishi">
    <w:name w:val="zhongyaotishi"/>
    <w:basedOn w:val="a"/>
    <w:qFormat/>
    <w:rsid w:val="007716E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716E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716E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716E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716E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716E0"/>
    <w:pPr>
      <w:widowControl w:val="0"/>
      <w:jc w:val="center"/>
    </w:pPr>
    <w:rPr>
      <w:kern w:val="2"/>
      <w:sz w:val="33"/>
      <w:szCs w:val="22"/>
    </w:rPr>
  </w:style>
  <w:style w:type="paragraph" w:customStyle="1" w:styleId="biaogeleft">
    <w:name w:val="biaoge_left"/>
    <w:basedOn w:val="a"/>
    <w:qFormat/>
    <w:rsid w:val="007716E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716E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716E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716E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716E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716E0"/>
    <w:pPr>
      <w:widowControl w:val="0"/>
    </w:pPr>
    <w:rPr>
      <w:kern w:val="2"/>
      <w:sz w:val="21"/>
      <w:szCs w:val="22"/>
    </w:rPr>
  </w:style>
  <w:style w:type="paragraph" w:customStyle="1" w:styleId="neirong">
    <w:name w:val="neirong"/>
    <w:basedOn w:val="a"/>
    <w:qFormat/>
    <w:rsid w:val="007716E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7716E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775</Words>
  <Characters>4422</Characters>
  <Application>Microsoft Office Word</Application>
  <DocSecurity>0</DocSecurity>
  <Lines>36</Lines>
  <Paragraphs>10</Paragraphs>
  <ScaleCrop>false</ScaleCrop>
  <Company>微软中国</Company>
  <LinksUpToDate>false</LinksUpToDate>
  <CharactersWithSpaces>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31FD084D5EC14FCEBF365D3F13016A3F</vt:lpwstr>
  </property>
</Properties>
</file>