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32D" w:rsidRDefault="004F332D">
      <w:pPr>
        <w:pStyle w:val="dazhangjie"/>
        <w:rPr>
          <w:b/>
          <w:bCs/>
          <w:color w:val="000000"/>
        </w:rPr>
      </w:pPr>
    </w:p>
    <w:p w:rsidR="004F332D" w:rsidRDefault="004F332D">
      <w:pPr>
        <w:pStyle w:val="dazhangjie"/>
        <w:rPr>
          <w:b/>
          <w:bCs/>
          <w:color w:val="000000"/>
        </w:rPr>
      </w:pPr>
    </w:p>
    <w:p w:rsidR="004F332D" w:rsidRDefault="004F332D">
      <w:pPr>
        <w:pStyle w:val="dazhangjie"/>
        <w:rPr>
          <w:b/>
          <w:bCs/>
          <w:color w:val="000000"/>
        </w:rPr>
      </w:pPr>
    </w:p>
    <w:p w:rsidR="004F332D" w:rsidRDefault="00731E46">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7W805D</w:t>
      </w:r>
      <w:r>
        <w:rPr>
          <w:rFonts w:ascii="黑体" w:eastAsia="黑体" w:hAnsi="黑体"/>
          <w:b/>
          <w:bCs/>
          <w:sz w:val="36"/>
        </w:rPr>
        <w:t>封闭式公募人民币理财产品</w:t>
      </w:r>
    </w:p>
    <w:p w:rsidR="004F332D" w:rsidRDefault="00731E46">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4F332D" w:rsidRDefault="004F332D">
      <w:pPr>
        <w:pStyle w:val="dazhangjie"/>
        <w:spacing w:before="240" w:after="120"/>
        <w:rPr>
          <w:rFonts w:ascii="黑体" w:eastAsia="黑体" w:hAnsi="黑体"/>
          <w:b/>
          <w:bCs/>
          <w:color w:val="000000"/>
          <w:sz w:val="36"/>
        </w:rPr>
      </w:pPr>
    </w:p>
    <w:p w:rsidR="004F332D" w:rsidRDefault="004F332D">
      <w:pPr>
        <w:pStyle w:val="dazhangjie"/>
        <w:spacing w:before="240" w:after="120"/>
        <w:rPr>
          <w:rFonts w:ascii="黑体" w:eastAsia="黑体" w:hAnsi="黑体"/>
          <w:b/>
          <w:bCs/>
          <w:color w:val="000000"/>
          <w:sz w:val="36"/>
        </w:rPr>
      </w:pPr>
    </w:p>
    <w:p w:rsidR="004F332D" w:rsidRDefault="004F332D">
      <w:pPr>
        <w:pStyle w:val="dazhangjie"/>
        <w:spacing w:before="240" w:after="120"/>
        <w:rPr>
          <w:rFonts w:ascii="黑体" w:eastAsia="黑体" w:hAnsi="黑体"/>
          <w:b/>
          <w:bCs/>
          <w:color w:val="000000"/>
          <w:sz w:val="36"/>
        </w:rPr>
      </w:pPr>
    </w:p>
    <w:p w:rsidR="004F332D" w:rsidRDefault="004F332D">
      <w:pPr>
        <w:pStyle w:val="dazhangjie"/>
        <w:spacing w:before="240" w:after="120"/>
        <w:rPr>
          <w:rFonts w:ascii="黑体" w:eastAsia="黑体" w:hAnsi="黑体"/>
          <w:b/>
          <w:bCs/>
          <w:color w:val="000000"/>
          <w:sz w:val="36"/>
        </w:rPr>
      </w:pPr>
    </w:p>
    <w:p w:rsidR="004F332D" w:rsidRDefault="004F332D">
      <w:pPr>
        <w:pStyle w:val="dazhangjie"/>
        <w:spacing w:before="240" w:after="120"/>
        <w:rPr>
          <w:rFonts w:ascii="黑体" w:eastAsia="黑体" w:hAnsi="黑体"/>
          <w:b/>
          <w:bCs/>
          <w:color w:val="000000"/>
          <w:sz w:val="36"/>
        </w:rPr>
      </w:pPr>
    </w:p>
    <w:p w:rsidR="004F332D" w:rsidRDefault="004F332D">
      <w:pPr>
        <w:pStyle w:val="dazhangjie"/>
        <w:spacing w:before="240" w:after="120"/>
        <w:rPr>
          <w:rFonts w:ascii="黑体" w:eastAsia="黑体" w:hAnsi="黑体"/>
          <w:b/>
          <w:bCs/>
          <w:color w:val="000000"/>
          <w:sz w:val="36"/>
        </w:rPr>
      </w:pPr>
    </w:p>
    <w:p w:rsidR="004F332D" w:rsidRDefault="004F332D">
      <w:pPr>
        <w:pStyle w:val="dazhangjie"/>
        <w:spacing w:before="240" w:after="120"/>
        <w:rPr>
          <w:rFonts w:ascii="黑体" w:eastAsia="黑体" w:hAnsi="黑体"/>
          <w:b/>
          <w:bCs/>
          <w:color w:val="000000"/>
          <w:sz w:val="36"/>
        </w:rPr>
      </w:pPr>
    </w:p>
    <w:p w:rsidR="004F332D" w:rsidRDefault="004F332D">
      <w:pPr>
        <w:pStyle w:val="dazhangjie"/>
        <w:spacing w:before="240" w:after="120"/>
        <w:rPr>
          <w:rFonts w:ascii="黑体" w:eastAsia="黑体" w:hAnsi="黑体"/>
          <w:b/>
          <w:bCs/>
          <w:color w:val="000000"/>
          <w:sz w:val="36"/>
        </w:rPr>
      </w:pPr>
    </w:p>
    <w:p w:rsidR="004F332D" w:rsidRDefault="004F332D">
      <w:pPr>
        <w:pStyle w:val="dazhangjie"/>
        <w:spacing w:before="240" w:after="120"/>
        <w:ind w:left="0"/>
        <w:jc w:val="both"/>
        <w:rPr>
          <w:rFonts w:ascii="黑体" w:eastAsia="黑体" w:hAnsi="黑体"/>
          <w:b/>
          <w:bCs/>
          <w:color w:val="000000"/>
          <w:sz w:val="36"/>
        </w:rPr>
      </w:pPr>
    </w:p>
    <w:p w:rsidR="004F332D" w:rsidRDefault="00731E46">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4F332D" w:rsidRDefault="00731E46">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4F332D" w:rsidRDefault="004F332D">
      <w:pPr>
        <w:widowControl/>
        <w:jc w:val="left"/>
        <w:rPr>
          <w:rFonts w:ascii="宋体" w:hAnsi="宋体" w:cs="宋体"/>
          <w:color w:val="000000"/>
          <w:kern w:val="0"/>
          <w:sz w:val="24"/>
          <w:szCs w:val="24"/>
        </w:rPr>
        <w:sectPr w:rsidR="004F332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4F332D" w:rsidRDefault="004F332D">
      <w:pPr>
        <w:widowControl/>
        <w:jc w:val="left"/>
        <w:rPr>
          <w:rFonts w:ascii="宋体" w:hAnsi="宋体" w:cs="宋体"/>
          <w:color w:val="000000"/>
          <w:kern w:val="0"/>
          <w:sz w:val="24"/>
          <w:szCs w:val="24"/>
        </w:rPr>
      </w:pPr>
    </w:p>
    <w:p w:rsidR="004F332D" w:rsidRDefault="00731E46">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4F332D" w:rsidRDefault="004F332D">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rPr>
              <w:t>南京银行珠联璧合逸稳</w:t>
            </w:r>
            <w:r>
              <w:rPr>
                <w:rFonts w:hint="eastAsia"/>
              </w:rPr>
              <w:t>7W805D</w:t>
            </w:r>
            <w:r>
              <w:rPr>
                <w:rFonts w:hint="eastAsia"/>
              </w:rPr>
              <w:t>封闭式公募人民币理财产品</w:t>
            </w:r>
          </w:p>
        </w:tc>
      </w:tr>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pPr>
            <w:r>
              <w:t>C1086920000010</w:t>
            </w:r>
            <w:r>
              <w:rPr>
                <w:rFonts w:hint="eastAsia"/>
              </w:rPr>
              <w:t>（投资者可依据该编码在中国理财网</w:t>
            </w:r>
            <w:r>
              <w:rPr>
                <w:rFonts w:hint="eastAsia"/>
              </w:rPr>
              <w:t>www.chinawealth.com.cn</w:t>
            </w:r>
            <w:r>
              <w:rPr>
                <w:rFonts w:hint="eastAsia"/>
              </w:rPr>
              <w:t>查询理财产品相关信息）</w:t>
            </w:r>
          </w:p>
        </w:tc>
      </w:tr>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rPr>
              <w:t>开放式</w:t>
            </w:r>
            <w:r>
              <w:rPr>
                <w:rFonts w:hint="eastAsia"/>
              </w:rPr>
              <w:t>净值型</w:t>
            </w:r>
          </w:p>
        </w:tc>
      </w:tr>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962BC2">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rPr>
              <w:t>2020</w:t>
            </w:r>
            <w:r>
              <w:rPr>
                <w:rFonts w:hint="eastAsia"/>
              </w:rPr>
              <w:t>年</w:t>
            </w:r>
            <w:r>
              <w:rPr>
                <w:rFonts w:hint="eastAsia"/>
              </w:rPr>
              <w:t>07</w:t>
            </w:r>
            <w:r>
              <w:rPr>
                <w:rFonts w:hint="eastAsia"/>
              </w:rPr>
              <w:t>月</w:t>
            </w:r>
            <w:r>
              <w:rPr>
                <w:rFonts w:hint="eastAsia"/>
              </w:rPr>
              <w:t>02</w:t>
            </w:r>
            <w:r>
              <w:rPr>
                <w:rFonts w:hint="eastAsia"/>
              </w:rPr>
              <w:t>日</w:t>
            </w:r>
          </w:p>
        </w:tc>
      </w:tr>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highlight w:val="yellow"/>
              </w:rPr>
            </w:pPr>
            <w:r>
              <w:rPr>
                <w:rFonts w:hint="eastAsia"/>
              </w:rPr>
              <w:t>149,422,000.00</w:t>
            </w:r>
            <w:r>
              <w:rPr>
                <w:rFonts w:hint="eastAsia"/>
              </w:rPr>
              <w:t>份</w:t>
            </w:r>
          </w:p>
        </w:tc>
      </w:tr>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100.23%</w:t>
            </w:r>
          </w:p>
        </w:tc>
      </w:tr>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鑫元基金管理有限公司</w:t>
            </w:r>
          </w:p>
        </w:tc>
      </w:tr>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rPr>
              <w:t>南京银行股份有限公司</w:t>
            </w:r>
          </w:p>
        </w:tc>
      </w:tr>
      <w:tr w:rsidR="004F332D">
        <w:tc>
          <w:tcPr>
            <w:tcW w:w="281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left"/>
              <w:wordWrap w:val="0"/>
              <w:rPr>
                <w:color w:val="000000"/>
              </w:rPr>
            </w:pPr>
            <w:r>
              <w:rPr>
                <w:rFonts w:hint="eastAsia"/>
              </w:rPr>
              <w:t>南京银行股份有限公司</w:t>
            </w:r>
          </w:p>
        </w:tc>
      </w:tr>
    </w:tbl>
    <w:p w:rsidR="004F332D" w:rsidRDefault="004F332D">
      <w:pPr>
        <w:widowControl/>
        <w:jc w:val="left"/>
        <w:rPr>
          <w:rFonts w:ascii="宋体" w:hAnsi="宋体" w:cs="宋体"/>
          <w:color w:val="000000"/>
          <w:kern w:val="0"/>
          <w:sz w:val="24"/>
          <w:szCs w:val="24"/>
        </w:rPr>
      </w:pPr>
    </w:p>
    <w:p w:rsidR="004F332D" w:rsidRDefault="004F332D">
      <w:pPr>
        <w:pStyle w:val="dazhangjie"/>
        <w:rPr>
          <w:rFonts w:hAnsi="Calibri"/>
          <w:b/>
          <w:color w:val="000000"/>
        </w:rPr>
      </w:pPr>
    </w:p>
    <w:p w:rsidR="004F332D" w:rsidRDefault="00731E46">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4F332D" w:rsidRDefault="004F332D">
      <w:pPr>
        <w:widowControl/>
        <w:jc w:val="left"/>
        <w:rPr>
          <w:rFonts w:ascii="宋体" w:hAnsi="宋体" w:cs="宋体"/>
          <w:color w:val="000000"/>
          <w:kern w:val="0"/>
          <w:sz w:val="24"/>
          <w:szCs w:val="24"/>
        </w:rPr>
      </w:pPr>
    </w:p>
    <w:p w:rsidR="004F332D" w:rsidRDefault="00731E46">
      <w:pPr>
        <w:pStyle w:val="zhangjiep"/>
        <w:rPr>
          <w:color w:val="000000"/>
        </w:rPr>
      </w:pPr>
      <w:r>
        <w:rPr>
          <w:rFonts w:hint="eastAsia"/>
          <w:b/>
          <w:bCs/>
          <w:color w:val="000000"/>
        </w:rPr>
        <w:t xml:space="preserve">2.1 </w:t>
      </w:r>
      <w:r>
        <w:rPr>
          <w:rFonts w:hint="eastAsia"/>
          <w:b/>
          <w:bCs/>
          <w:color w:val="000000"/>
        </w:rPr>
        <w:t>主要财务指标</w:t>
      </w:r>
    </w:p>
    <w:p w:rsidR="004F332D" w:rsidRDefault="00731E46">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4F332D">
        <w:tc>
          <w:tcPr>
            <w:tcW w:w="5220"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dazhangjie"/>
              <w:spacing w:before="240" w:after="120"/>
              <w:rPr>
                <w:color w:val="000000"/>
              </w:rPr>
            </w:pPr>
            <w:r>
              <w:t>报告期（</w:t>
            </w:r>
            <w:r>
              <w:rPr>
                <w:rFonts w:hint="eastAsia"/>
              </w:rPr>
              <w:t>2020</w:t>
            </w:r>
            <w:r>
              <w:rPr>
                <w:rFonts w:hint="eastAsia"/>
              </w:rPr>
              <w:t>年</w:t>
            </w:r>
            <w:r>
              <w:rPr>
                <w:rFonts w:hint="eastAsia"/>
              </w:rPr>
              <w:t>07</w:t>
            </w:r>
            <w:r>
              <w:rPr>
                <w:rFonts w:hint="eastAsia"/>
              </w:rPr>
              <w:t>月</w:t>
            </w:r>
            <w:r>
              <w:rPr>
                <w:rFonts w:hint="eastAsia"/>
              </w:rPr>
              <w:t>02</w:t>
            </w:r>
            <w:r>
              <w:rPr>
                <w:rFonts w:hint="eastAsia"/>
              </w:rPr>
              <w:t>日</w:t>
            </w:r>
            <w:r>
              <w:t xml:space="preserve">- </w:t>
            </w:r>
            <w:r>
              <w:t>2020</w:t>
            </w:r>
            <w:r>
              <w:t>年</w:t>
            </w:r>
            <w:r>
              <w:t>12</w:t>
            </w:r>
            <w:r>
              <w:t>月</w:t>
            </w:r>
            <w:r>
              <w:t>31</w:t>
            </w:r>
            <w:r>
              <w:t>日）</w:t>
            </w:r>
          </w:p>
        </w:tc>
      </w:tr>
      <w:tr w:rsidR="004F332D">
        <w:tc>
          <w:tcPr>
            <w:tcW w:w="5220"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right"/>
              <w:jc w:val="center"/>
              <w:rPr>
                <w:color w:val="000000"/>
                <w:highlight w:val="yellow"/>
              </w:rPr>
            </w:pPr>
            <w:r>
              <w:rPr>
                <w:rFonts w:hint="eastAsia"/>
              </w:rPr>
              <w:t>152,325,926.32</w:t>
            </w:r>
          </w:p>
        </w:tc>
      </w:tr>
      <w:tr w:rsidR="004F332D">
        <w:tc>
          <w:tcPr>
            <w:tcW w:w="5220"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right"/>
              <w:jc w:val="center"/>
              <w:rPr>
                <w:color w:val="000000"/>
                <w:highlight w:val="yellow"/>
              </w:rPr>
            </w:pPr>
            <w:r>
              <w:rPr>
                <w:rFonts w:hint="eastAsia"/>
              </w:rPr>
              <w:t>1.0194</w:t>
            </w:r>
          </w:p>
        </w:tc>
      </w:tr>
      <w:tr w:rsidR="004F332D">
        <w:tc>
          <w:tcPr>
            <w:tcW w:w="5220"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right"/>
              <w:jc w:val="center"/>
              <w:rPr>
                <w:color w:val="000000"/>
                <w:highlight w:val="yellow"/>
              </w:rPr>
            </w:pPr>
            <w:r>
              <w:rPr>
                <w:rFonts w:hint="eastAsia"/>
              </w:rPr>
              <w:t>1.0194</w:t>
            </w:r>
          </w:p>
        </w:tc>
      </w:tr>
      <w:tr w:rsidR="004F332D">
        <w:tc>
          <w:tcPr>
            <w:tcW w:w="5220" w:type="dxa"/>
            <w:vAlign w:val="center"/>
          </w:tcPr>
          <w:p w:rsidR="004F332D" w:rsidRDefault="004F332D">
            <w:pPr>
              <w:widowControl/>
              <w:jc w:val="left"/>
              <w:rPr>
                <w:rFonts w:ascii="宋体" w:hAnsi="宋体" w:cs="宋体"/>
                <w:color w:val="000000"/>
                <w:kern w:val="0"/>
                <w:sz w:val="24"/>
                <w:szCs w:val="24"/>
              </w:rPr>
            </w:pPr>
          </w:p>
        </w:tc>
        <w:tc>
          <w:tcPr>
            <w:tcW w:w="3825" w:type="dxa"/>
            <w:vAlign w:val="center"/>
          </w:tcPr>
          <w:p w:rsidR="004F332D" w:rsidRDefault="004F332D">
            <w:pPr>
              <w:widowControl/>
              <w:jc w:val="left"/>
              <w:rPr>
                <w:color w:val="000000"/>
                <w:kern w:val="0"/>
                <w:sz w:val="20"/>
                <w:szCs w:val="20"/>
              </w:rPr>
            </w:pPr>
          </w:p>
        </w:tc>
      </w:tr>
    </w:tbl>
    <w:p w:rsidR="004F332D" w:rsidRDefault="004F332D">
      <w:pPr>
        <w:pStyle w:val="biaogeleft"/>
        <w:ind w:left="0"/>
        <w:rPr>
          <w:color w:val="000000"/>
        </w:rPr>
      </w:pPr>
    </w:p>
    <w:p w:rsidR="004F332D" w:rsidRDefault="004F332D">
      <w:pPr>
        <w:widowControl/>
        <w:jc w:val="left"/>
        <w:rPr>
          <w:rFonts w:ascii="宋体" w:hAnsi="宋体" w:cs="宋体"/>
          <w:color w:val="000000"/>
          <w:kern w:val="0"/>
          <w:sz w:val="24"/>
          <w:szCs w:val="24"/>
        </w:rPr>
      </w:pPr>
    </w:p>
    <w:p w:rsidR="004F332D" w:rsidRDefault="00731E46">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4F332D" w:rsidRDefault="00731E46">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4F332D" w:rsidRDefault="00731E46">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4F332D" w:rsidRDefault="00731E46">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4F332D" w:rsidRDefault="00731E46">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4F332D" w:rsidRDefault="00731E46">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4F332D" w:rsidRDefault="00731E46">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4F332D" w:rsidRDefault="00731E46">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4F332D" w:rsidRDefault="00731E46">
      <w:pPr>
        <w:pStyle w:val="a8"/>
        <w:rPr>
          <w:color w:val="000000"/>
        </w:rPr>
      </w:pPr>
      <w:r>
        <w:rPr>
          <w:rFonts w:hint="eastAsia"/>
          <w:b/>
          <w:color w:val="000000"/>
        </w:rPr>
        <w:t>3</w:t>
      </w:r>
      <w:r>
        <w:rPr>
          <w:b/>
          <w:color w:val="000000"/>
        </w:rPr>
        <w:t>.</w:t>
      </w:r>
      <w:r>
        <w:rPr>
          <w:rFonts w:hint="eastAsia"/>
          <w:b/>
          <w:color w:val="000000"/>
        </w:rPr>
        <w:t>3</w:t>
      </w:r>
      <w:bookmarkStart w:id="2" w:name="_GoBack"/>
      <w:bookmarkEnd w:id="2"/>
      <w:r>
        <w:rPr>
          <w:b/>
          <w:color w:val="000000"/>
        </w:rPr>
        <w:t xml:space="preserve"> </w:t>
      </w:r>
      <w:r>
        <w:rPr>
          <w:b/>
          <w:color w:val="000000"/>
        </w:rPr>
        <w:t>报告期内</w:t>
      </w:r>
      <w:r>
        <w:rPr>
          <w:rFonts w:hint="eastAsia"/>
          <w:b/>
          <w:color w:val="000000"/>
        </w:rPr>
        <w:t>产品</w:t>
      </w:r>
      <w:r>
        <w:rPr>
          <w:b/>
          <w:color w:val="000000"/>
        </w:rPr>
        <w:t>的业绩表现</w:t>
      </w:r>
    </w:p>
    <w:p w:rsidR="004F332D" w:rsidRDefault="00731E46">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1.0194</w:t>
      </w:r>
      <w:r>
        <w:rPr>
          <w:rFonts w:hint="eastAsia"/>
          <w:color w:val="000000"/>
        </w:rPr>
        <w:t>元。</w:t>
      </w:r>
    </w:p>
    <w:p w:rsidR="004F332D" w:rsidRDefault="004F332D">
      <w:pPr>
        <w:widowControl/>
        <w:jc w:val="left"/>
        <w:rPr>
          <w:rFonts w:ascii="宋体" w:hAnsi="宋体" w:cs="宋体"/>
          <w:color w:val="000000"/>
          <w:kern w:val="0"/>
          <w:sz w:val="24"/>
          <w:szCs w:val="24"/>
        </w:rPr>
      </w:pPr>
    </w:p>
    <w:p w:rsidR="004F332D" w:rsidRDefault="00731E46">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4F332D" w:rsidRDefault="004F332D">
      <w:pPr>
        <w:pStyle w:val="dazhangjie"/>
        <w:rPr>
          <w:rFonts w:hAnsi="Calibri"/>
          <w:b/>
          <w:color w:val="000000"/>
        </w:rPr>
      </w:pPr>
    </w:p>
    <w:p w:rsidR="004F332D" w:rsidRDefault="00731E46">
      <w:pPr>
        <w:pStyle w:val="a8"/>
        <w:rPr>
          <w:b/>
          <w:color w:val="000000"/>
        </w:rPr>
      </w:pPr>
      <w:r>
        <w:rPr>
          <w:rFonts w:hint="eastAsia"/>
          <w:b/>
          <w:color w:val="000000"/>
        </w:rPr>
        <w:t>4.1</w:t>
      </w:r>
      <w:r>
        <w:rPr>
          <w:rFonts w:hint="eastAsia"/>
          <w:b/>
          <w:color w:val="000000"/>
        </w:rPr>
        <w:t>报告期内托管人遵规守信情况声明</w:t>
      </w:r>
    </w:p>
    <w:p w:rsidR="004F332D" w:rsidRDefault="00731E46">
      <w:pPr>
        <w:pStyle w:val="biaogeleft"/>
        <w:spacing w:line="360" w:lineRule="auto"/>
        <w:ind w:firstLineChars="200" w:firstLine="480"/>
        <w:rPr>
          <w:rFonts w:cs="Times New Roman"/>
          <w:b/>
          <w:color w:val="000000"/>
        </w:rPr>
      </w:pPr>
      <w:bookmarkStart w:id="3"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7</w:t>
      </w:r>
      <w:r>
        <w:rPr>
          <w:rFonts w:hint="eastAsia"/>
        </w:rPr>
        <w:t>月</w:t>
      </w:r>
      <w:r>
        <w:t>0</w:t>
      </w:r>
      <w:r>
        <w:rPr>
          <w:rFonts w:hint="eastAsia"/>
        </w:rPr>
        <w:t>2</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3"/>
    </w:p>
    <w:p w:rsidR="004F332D" w:rsidRDefault="00731E46">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4F332D" w:rsidRDefault="00731E46">
      <w:pPr>
        <w:pStyle w:val="biaogeleft"/>
        <w:spacing w:line="360" w:lineRule="auto"/>
        <w:ind w:firstLine="480"/>
        <w:rPr>
          <w:color w:val="000000"/>
        </w:rPr>
      </w:pPr>
      <w:bookmarkStart w:id="4" w:name="_Hlk65778120"/>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bookmarkEnd w:id="4"/>
    </w:p>
    <w:p w:rsidR="004F332D" w:rsidRDefault="00731E46">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托管人对本（半）年度报告中财务信息等内容的真实、准确和完整发表意见</w:t>
      </w:r>
    </w:p>
    <w:p w:rsidR="004F332D" w:rsidRDefault="00731E46">
      <w:pPr>
        <w:pStyle w:val="biaogeleft"/>
        <w:spacing w:line="360" w:lineRule="auto"/>
        <w:ind w:firstLine="480"/>
      </w:pPr>
      <w:bookmarkStart w:id="5" w:name="_Hlk65778126"/>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5"/>
    </w:p>
    <w:p w:rsidR="004F332D" w:rsidRDefault="004F332D">
      <w:pPr>
        <w:pStyle w:val="biaogeleft"/>
        <w:spacing w:line="360" w:lineRule="auto"/>
        <w:ind w:firstLine="480"/>
        <w:rPr>
          <w:color w:val="000000"/>
        </w:rPr>
      </w:pPr>
    </w:p>
    <w:p w:rsidR="004F332D" w:rsidRDefault="00731E46">
      <w:pPr>
        <w:pStyle w:val="dazhangjie"/>
      </w:pPr>
      <w:bookmarkStart w:id="6"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6"/>
    </w:p>
    <w:p w:rsidR="004F332D" w:rsidRDefault="004F332D">
      <w:pPr>
        <w:widowControl/>
        <w:jc w:val="left"/>
        <w:rPr>
          <w:rFonts w:ascii="宋体" w:hAnsi="宋体" w:cs="宋体"/>
          <w:kern w:val="0"/>
          <w:sz w:val="24"/>
          <w:szCs w:val="24"/>
        </w:rPr>
      </w:pPr>
    </w:p>
    <w:p w:rsidR="004F332D" w:rsidRDefault="00731E46">
      <w:pPr>
        <w:pStyle w:val="zhangjiep"/>
      </w:pPr>
      <w:bookmarkStart w:id="7" w:name="_Toc61271615"/>
      <w:r>
        <w:rPr>
          <w:rFonts w:hint="eastAsia"/>
          <w:b/>
          <w:bCs/>
        </w:rPr>
        <w:t xml:space="preserve">5.1 </w:t>
      </w:r>
      <w:r>
        <w:rPr>
          <w:rFonts w:hint="eastAsia"/>
          <w:b/>
          <w:bCs/>
        </w:rPr>
        <w:t>资产负债表</w:t>
      </w:r>
      <w:bookmarkEnd w:id="7"/>
    </w:p>
    <w:p w:rsidR="004F332D" w:rsidRDefault="00731E46">
      <w:pPr>
        <w:pStyle w:val="biaogeleft"/>
      </w:pPr>
      <w:r>
        <w:rPr>
          <w:rFonts w:hint="eastAsia"/>
        </w:rPr>
        <w:t>会计主体：南京银行珠联璧合逸稳</w:t>
      </w:r>
      <w:r>
        <w:rPr>
          <w:rFonts w:hint="eastAsia"/>
        </w:rPr>
        <w:t>7W805D</w:t>
      </w:r>
      <w:r>
        <w:rPr>
          <w:rFonts w:hint="eastAsia"/>
        </w:rPr>
        <w:t>封闭式公募人民币理财产品</w:t>
      </w:r>
    </w:p>
    <w:p w:rsidR="004F332D" w:rsidRDefault="00731E46">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F332D" w:rsidRDefault="00731E46">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Ansi="Calibri" w:hint="eastAsia"/>
                <w:color w:val="000000"/>
              </w:rPr>
              <w:t>本期末</w:t>
            </w:r>
            <w:r>
              <w:rPr>
                <w:rFonts w:hAnsi="Calibri" w:hint="eastAsia"/>
                <w:color w:val="000000"/>
              </w:rPr>
              <w:t> </w:t>
            </w:r>
          </w:p>
          <w:p w:rsidR="004F332D" w:rsidRDefault="00731E46">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rPr>
              <w:t> </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1,171,814.99</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pPr>
            <w:r>
              <w:rPr>
                <w:rFonts w:hint="eastAsia"/>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pPr>
            <w:r>
              <w:rPr>
                <w:rFonts w:hint="eastAsia"/>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pPr>
            <w:r>
              <w:rPr>
                <w:rFonts w:hint="eastAsia"/>
              </w:rPr>
              <w:lastRenderedPageBreak/>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pPr>
            <w:r>
              <w:rPr>
                <w:rFonts w:hint="eastAsia"/>
              </w:rPr>
              <w:t>贵金属投资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衍生金融资产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125.29</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1,867,600.00</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递延所得税资产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149,641,843.27</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152,681,383.55</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rPr>
              <w:t>本期末</w:t>
            </w:r>
            <w:r>
              <w:rPr>
                <w:rFonts w:hint="eastAsia"/>
              </w:rPr>
              <w:t> </w:t>
            </w:r>
          </w:p>
          <w:p w:rsidR="004F332D" w:rsidRDefault="00731E46">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rPr>
              <w:t> </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229,031.82</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8,328.30</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83,284.02</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34,813.09</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递延所得税负债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355,457.23</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rPr>
              <w:t> </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149,422,000.00</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2,903,926.32</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lastRenderedPageBreak/>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152,325,926.32</w:t>
            </w:r>
          </w:p>
        </w:tc>
      </w:tr>
      <w:tr w:rsidR="004F332D">
        <w:tc>
          <w:tcPr>
            <w:tcW w:w="3660"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152,681,383.55</w:t>
            </w:r>
          </w:p>
        </w:tc>
      </w:tr>
    </w:tbl>
    <w:p w:rsidR="004F332D" w:rsidRDefault="004F332D">
      <w:pPr>
        <w:widowControl/>
        <w:jc w:val="left"/>
        <w:rPr>
          <w:rFonts w:ascii="宋体" w:hAnsi="宋体" w:cs="宋体"/>
          <w:kern w:val="0"/>
          <w:sz w:val="24"/>
          <w:szCs w:val="24"/>
        </w:rPr>
      </w:pPr>
    </w:p>
    <w:p w:rsidR="004F332D" w:rsidRDefault="00731E46">
      <w:pPr>
        <w:pStyle w:val="zhangjiep"/>
      </w:pPr>
      <w:bookmarkStart w:id="8" w:name="_Toc61428144"/>
      <w:r>
        <w:rPr>
          <w:rFonts w:hint="eastAsia"/>
          <w:b/>
          <w:bCs/>
        </w:rPr>
        <w:t xml:space="preserve">5.2 </w:t>
      </w:r>
      <w:r>
        <w:rPr>
          <w:rFonts w:hint="eastAsia"/>
          <w:b/>
          <w:bCs/>
        </w:rPr>
        <w:t>利润表</w:t>
      </w:r>
      <w:bookmarkEnd w:id="8"/>
    </w:p>
    <w:p w:rsidR="004F332D" w:rsidRDefault="00731E46">
      <w:pPr>
        <w:pStyle w:val="biaogeleft"/>
      </w:pPr>
      <w:r>
        <w:rPr>
          <w:rFonts w:hint="eastAsia"/>
        </w:rPr>
        <w:t>会计主体：南京银行珠联璧合逸稳</w:t>
      </w:r>
      <w:r>
        <w:rPr>
          <w:rFonts w:hint="eastAsia"/>
        </w:rPr>
        <w:t>7W805D</w:t>
      </w:r>
      <w:r>
        <w:rPr>
          <w:rFonts w:hint="eastAsia"/>
        </w:rPr>
        <w:t>封闭式公募人民币理财产品</w:t>
      </w:r>
    </w:p>
    <w:p w:rsidR="004F332D" w:rsidRDefault="00731E46">
      <w:pPr>
        <w:pStyle w:val="biaogeleft"/>
      </w:pPr>
      <w:r>
        <w:rPr>
          <w:rFonts w:hint="eastAsia"/>
        </w:rPr>
        <w:t>本报告期：</w:t>
      </w:r>
      <w:r>
        <w:rPr>
          <w:rFonts w:hint="eastAsia"/>
        </w:rPr>
        <w:t>2020</w:t>
      </w:r>
      <w:r>
        <w:rPr>
          <w:rFonts w:hint="eastAsia"/>
        </w:rPr>
        <w:t>年</w:t>
      </w:r>
      <w:r>
        <w:rPr>
          <w:rFonts w:hint="eastAsia"/>
        </w:rPr>
        <w:t>07</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F332D" w:rsidRDefault="00731E46">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4F332D">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07</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4F332D">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4F332D" w:rsidRDefault="004F332D">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4F332D" w:rsidRDefault="004F332D">
            <w:pPr>
              <w:widowControl/>
              <w:jc w:val="left"/>
              <w:rPr>
                <w:rFonts w:asciiTheme="minorEastAsia" w:eastAsiaTheme="minorEastAsia" w:hAnsiTheme="minorEastAsia" w:cs="宋体"/>
                <w:kern w:val="0"/>
                <w:sz w:val="24"/>
                <w:szCs w:val="24"/>
              </w:rPr>
            </w:pP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b/>
                <w:bCs/>
                <w:color w:val="000000"/>
              </w:rPr>
              <w:t>3,486,127.08</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31,079.27</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31,079.27</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ascii="Arial" w:hAnsi="Arial" w:cs="Arial"/>
                <w:color w:val="000000"/>
              </w:rPr>
              <w:t xml:space="preserve">　</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1,641,843.27</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 xml:space="preserve">　</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1,813,204.54</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b/>
                <w:bCs/>
                <w:color w:val="000000"/>
              </w:rPr>
              <w:t>582,200.76</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410,910.03</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14,941.95</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149,421.33</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6,527.45</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color w:val="000000"/>
              </w:rPr>
              <w:t>400.00</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b/>
                <w:bCs/>
                <w:color w:val="000000"/>
              </w:rPr>
              <w:t>2,903,926.32</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ascii="Arial" w:hAnsi="Arial" w:cs="Arial"/>
                <w:color w:val="000000"/>
              </w:rPr>
              <w:t xml:space="preserve">　</w:t>
            </w:r>
          </w:p>
        </w:tc>
      </w:tr>
      <w:tr w:rsidR="004F332D">
        <w:tc>
          <w:tcPr>
            <w:tcW w:w="2969"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rPr>
                <w:rFonts w:asciiTheme="minorEastAsia" w:eastAsiaTheme="minorEastAsia" w:hAnsiTheme="minorEastAsia"/>
              </w:rPr>
            </w:pPr>
            <w:r>
              <w:rPr>
                <w:rFonts w:cs="Arial" w:hint="eastAsia"/>
                <w:b/>
                <w:bCs/>
                <w:color w:val="000000"/>
              </w:rPr>
              <w:t>2,903,926.32</w:t>
            </w:r>
          </w:p>
        </w:tc>
      </w:tr>
    </w:tbl>
    <w:p w:rsidR="004F332D" w:rsidRDefault="004F332D">
      <w:pPr>
        <w:widowControl/>
        <w:jc w:val="left"/>
        <w:rPr>
          <w:rFonts w:ascii="宋体" w:hAnsi="宋体" w:cs="宋体"/>
          <w:kern w:val="0"/>
          <w:sz w:val="24"/>
          <w:szCs w:val="24"/>
        </w:rPr>
      </w:pPr>
    </w:p>
    <w:p w:rsidR="004F332D" w:rsidRDefault="00731E46">
      <w:pPr>
        <w:pStyle w:val="zhangjiep"/>
      </w:pPr>
      <w:bookmarkStart w:id="9" w:name="_Toc61428145"/>
      <w:r>
        <w:rPr>
          <w:rFonts w:hint="eastAsia"/>
          <w:b/>
          <w:bCs/>
        </w:rPr>
        <w:t xml:space="preserve">5.3 </w:t>
      </w:r>
      <w:r>
        <w:rPr>
          <w:rFonts w:hint="eastAsia"/>
          <w:b/>
          <w:bCs/>
        </w:rPr>
        <w:t>所有者权益（基金净值）变动表</w:t>
      </w:r>
      <w:bookmarkEnd w:id="9"/>
    </w:p>
    <w:p w:rsidR="004F332D" w:rsidRDefault="00731E46">
      <w:pPr>
        <w:pStyle w:val="biaogeleft"/>
      </w:pPr>
      <w:r>
        <w:rPr>
          <w:rFonts w:hint="eastAsia"/>
        </w:rPr>
        <w:t>会计主体：南京银行珠联璧合逸稳</w:t>
      </w:r>
      <w:r>
        <w:rPr>
          <w:rFonts w:hint="eastAsia"/>
        </w:rPr>
        <w:t>7W805D</w:t>
      </w:r>
      <w:r>
        <w:rPr>
          <w:rFonts w:hint="eastAsia"/>
        </w:rPr>
        <w:t>封闭式公募人民币理财产品</w:t>
      </w:r>
    </w:p>
    <w:p w:rsidR="004F332D" w:rsidRDefault="00731E46">
      <w:pPr>
        <w:pStyle w:val="biaogeleft"/>
      </w:pPr>
      <w:r>
        <w:rPr>
          <w:rFonts w:hint="eastAsia"/>
        </w:rPr>
        <w:t>本报告期：</w:t>
      </w:r>
      <w:r>
        <w:rPr>
          <w:rFonts w:hint="eastAsia"/>
        </w:rPr>
        <w:t>2020</w:t>
      </w:r>
      <w:r>
        <w:rPr>
          <w:rFonts w:hint="eastAsia"/>
        </w:rPr>
        <w:t>年</w:t>
      </w:r>
      <w:r>
        <w:rPr>
          <w:rFonts w:hint="eastAsia"/>
        </w:rPr>
        <w:t>07</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F332D" w:rsidRDefault="00731E46">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4F332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rPr>
              <w:t>本期</w:t>
            </w:r>
            <w:r>
              <w:rPr>
                <w:rFonts w:hint="eastAsia"/>
              </w:rPr>
              <w:t> </w:t>
            </w:r>
          </w:p>
          <w:p w:rsidR="004F332D" w:rsidRDefault="00731E46">
            <w:pPr>
              <w:pStyle w:val="biaogecenter"/>
              <w:wordWrap w:val="0"/>
            </w:pPr>
            <w:r>
              <w:rPr>
                <w:rFonts w:hint="eastAsia"/>
              </w:rPr>
              <w:t>2020</w:t>
            </w:r>
            <w:r>
              <w:rPr>
                <w:rFonts w:hint="eastAsia"/>
              </w:rPr>
              <w:t>年</w:t>
            </w:r>
            <w:r>
              <w:rPr>
                <w:rFonts w:hint="eastAsia"/>
              </w:rPr>
              <w:t>07</w:t>
            </w:r>
            <w:r>
              <w:rPr>
                <w:rFonts w:hint="eastAsia"/>
              </w:rPr>
              <w:t>月</w:t>
            </w:r>
            <w:r>
              <w:rPr>
                <w:rFonts w:hint="eastAsia"/>
              </w:rPr>
              <w:t>02</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4F332D">
        <w:tc>
          <w:tcPr>
            <w:tcW w:w="2116" w:type="dxa"/>
            <w:vMerge/>
            <w:tcBorders>
              <w:top w:val="single" w:sz="8" w:space="0" w:color="000000"/>
              <w:left w:val="single" w:sz="8" w:space="0" w:color="000000"/>
              <w:bottom w:val="single" w:sz="8" w:space="0" w:color="000000"/>
              <w:right w:val="single" w:sz="8" w:space="0" w:color="000000"/>
            </w:tcBorders>
            <w:vAlign w:val="center"/>
          </w:tcPr>
          <w:p w:rsidR="004F332D" w:rsidRDefault="004F332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pPr>
            <w:r>
              <w:rPr>
                <w:rFonts w:hint="eastAsia"/>
              </w:rPr>
              <w:t>所有者权益合计</w:t>
            </w:r>
            <w:r>
              <w:rPr>
                <w:rFonts w:hint="eastAsia"/>
              </w:rPr>
              <w:t> </w:t>
            </w:r>
          </w:p>
        </w:tc>
      </w:tr>
      <w:tr w:rsidR="004F332D">
        <w:tc>
          <w:tcPr>
            <w:tcW w:w="211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149,422,000.00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149,422,000.00</w:t>
            </w:r>
          </w:p>
        </w:tc>
      </w:tr>
      <w:tr w:rsidR="004F332D">
        <w:tc>
          <w:tcPr>
            <w:tcW w:w="211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2,903,926.32</w:t>
            </w:r>
          </w:p>
        </w:tc>
        <w:tc>
          <w:tcPr>
            <w:tcW w:w="2484"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2,903,926.32</w:t>
            </w:r>
          </w:p>
        </w:tc>
      </w:tr>
      <w:tr w:rsidR="004F332D">
        <w:tc>
          <w:tcPr>
            <w:tcW w:w="211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三、本期基金份额交易产生的基金</w:t>
            </w:r>
            <w:r>
              <w:rPr>
                <w:rFonts w:hint="eastAsia"/>
              </w:rPr>
              <w:lastRenderedPageBreak/>
              <w:t>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211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211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211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w:t>
            </w:r>
          </w:p>
        </w:tc>
      </w:tr>
      <w:tr w:rsidR="004F332D">
        <w:tc>
          <w:tcPr>
            <w:tcW w:w="211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149,422,000.00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2,903,926.32</w:t>
            </w:r>
          </w:p>
        </w:tc>
        <w:tc>
          <w:tcPr>
            <w:tcW w:w="2484"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right"/>
              <w:wordWrap w:val="0"/>
            </w:pPr>
            <w:r>
              <w:rPr>
                <w:rFonts w:hint="eastAsia"/>
              </w:rPr>
              <w:t>152,325,926.32</w:t>
            </w:r>
          </w:p>
        </w:tc>
      </w:tr>
    </w:tbl>
    <w:p w:rsidR="004F332D" w:rsidRDefault="004F332D">
      <w:pPr>
        <w:widowControl/>
        <w:autoSpaceDE w:val="0"/>
        <w:autoSpaceDN w:val="0"/>
        <w:adjustRightInd w:val="0"/>
        <w:spacing w:line="288" w:lineRule="auto"/>
        <w:jc w:val="right"/>
        <w:rPr>
          <w:rFonts w:ascii="宋体" w:hAnsi="宋体" w:cs="宋体"/>
          <w:kern w:val="0"/>
          <w:sz w:val="24"/>
          <w:szCs w:val="24"/>
        </w:rPr>
      </w:pPr>
    </w:p>
    <w:p w:rsidR="004F332D" w:rsidRDefault="004F332D">
      <w:pPr>
        <w:pStyle w:val="biaogeleft"/>
        <w:spacing w:line="360" w:lineRule="auto"/>
        <w:ind w:firstLine="480"/>
        <w:rPr>
          <w:color w:val="000000"/>
        </w:rPr>
      </w:pPr>
    </w:p>
    <w:p w:rsidR="004F332D" w:rsidRDefault="00731E46">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4F332D" w:rsidRDefault="004F332D">
      <w:pPr>
        <w:widowControl/>
        <w:jc w:val="left"/>
        <w:rPr>
          <w:rFonts w:ascii="宋体" w:hAnsi="宋体" w:cs="宋体"/>
          <w:color w:val="000000"/>
          <w:kern w:val="0"/>
          <w:sz w:val="24"/>
          <w:szCs w:val="24"/>
        </w:rPr>
      </w:pPr>
    </w:p>
    <w:p w:rsidR="004F332D" w:rsidRDefault="00731E46">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4F332D">
        <w:tc>
          <w:tcPr>
            <w:tcW w:w="891" w:type="dxa"/>
            <w:tcBorders>
              <w:top w:val="single" w:sz="8" w:space="0" w:color="000000"/>
              <w:left w:val="single" w:sz="8" w:space="0" w:color="000000"/>
              <w:bottom w:val="single" w:sz="6" w:space="0" w:color="000000"/>
              <w:right w:val="single" w:sz="8" w:space="0" w:color="000000"/>
            </w:tcBorders>
            <w:vAlign w:val="bottom"/>
          </w:tcPr>
          <w:p w:rsidR="004F332D" w:rsidRDefault="00731E46">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4F332D" w:rsidRDefault="00731E46">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4F332D" w:rsidRDefault="00731E46">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4F332D" w:rsidRDefault="00731E46">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73,000,000.00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47.81</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76,641,843.27</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50.20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1,171,814.99</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0.77</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125.29</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1,867,600.00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1.22</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4F332D">
        <w:tc>
          <w:tcPr>
            <w:tcW w:w="891"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152,681,383.55</w:t>
            </w:r>
          </w:p>
        </w:tc>
        <w:tc>
          <w:tcPr>
            <w:tcW w:w="2395" w:type="dxa"/>
            <w:tcBorders>
              <w:top w:val="single" w:sz="8" w:space="0" w:color="000000"/>
              <w:left w:val="single" w:sz="8" w:space="0" w:color="000000"/>
              <w:bottom w:val="single" w:sz="8" w:space="0" w:color="000000"/>
              <w:right w:val="single" w:sz="8" w:space="0" w:color="000000"/>
            </w:tcBorders>
            <w:vAlign w:val="center"/>
          </w:tcPr>
          <w:p w:rsidR="004F332D" w:rsidRDefault="00731E46">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4F332D" w:rsidRDefault="004F332D">
      <w:pPr>
        <w:widowControl/>
        <w:jc w:val="left"/>
        <w:rPr>
          <w:rFonts w:ascii="宋体" w:hAnsi="宋体" w:cs="宋体"/>
          <w:color w:val="000000"/>
          <w:kern w:val="0"/>
          <w:sz w:val="24"/>
          <w:szCs w:val="24"/>
        </w:rPr>
      </w:pPr>
    </w:p>
    <w:p w:rsidR="004F332D" w:rsidRDefault="00731E46">
      <w:pPr>
        <w:pStyle w:val="zhangjiep"/>
        <w:rPr>
          <w:b/>
          <w:bCs/>
          <w:color w:val="000000"/>
        </w:rPr>
      </w:pPr>
      <w:r>
        <w:rPr>
          <w:rFonts w:hint="eastAsia"/>
          <w:b/>
          <w:bCs/>
          <w:color w:val="000000"/>
        </w:rPr>
        <w:lastRenderedPageBreak/>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4F332D">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4F332D" w:rsidRDefault="00731E46">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4F332D" w:rsidRDefault="00731E46">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4F332D" w:rsidRDefault="00731E46">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4F332D" w:rsidRDefault="00731E46">
            <w:pPr>
              <w:pStyle w:val="biaogecenter"/>
              <w:wordWrap w:val="0"/>
              <w:rPr>
                <w:color w:val="000000"/>
              </w:rPr>
            </w:pPr>
            <w:r>
              <w:rPr>
                <w:rFonts w:hint="eastAsia"/>
                <w:color w:val="000000"/>
              </w:rPr>
              <w:t>占产品资产净值比例（％）</w:t>
            </w:r>
          </w:p>
        </w:tc>
      </w:tr>
      <w:tr w:rsidR="004F332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F332D" w:rsidRDefault="00731E46">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F332D" w:rsidRDefault="00731E46">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F332D" w:rsidRDefault="00731E46">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F332D" w:rsidRDefault="00731E46">
            <w:pPr>
              <w:jc w:val="right"/>
              <w:rPr>
                <w:rFonts w:ascii="宋体" w:hAnsi="宋体" w:cs="宋体"/>
                <w:color w:val="000000"/>
                <w:kern w:val="0"/>
                <w:sz w:val="24"/>
                <w:szCs w:val="24"/>
              </w:rPr>
            </w:pPr>
            <w:r>
              <w:rPr>
                <w:rFonts w:ascii="宋体" w:hAnsi="宋体" w:cs="宋体" w:hint="eastAsia"/>
                <w:color w:val="000000"/>
                <w:kern w:val="0"/>
                <w:sz w:val="24"/>
                <w:szCs w:val="24"/>
              </w:rPr>
              <w:t>76,641,843.27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F332D" w:rsidRDefault="00731E46">
            <w:pPr>
              <w:jc w:val="right"/>
              <w:rPr>
                <w:rFonts w:ascii="宋体" w:hAnsi="宋体" w:cs="宋体"/>
                <w:color w:val="000000"/>
                <w:kern w:val="0"/>
                <w:sz w:val="24"/>
                <w:szCs w:val="24"/>
              </w:rPr>
            </w:pPr>
            <w:r>
              <w:rPr>
                <w:rFonts w:ascii="宋体" w:hAnsi="宋体" w:cs="宋体" w:hint="eastAsia"/>
                <w:color w:val="000000"/>
                <w:kern w:val="0"/>
                <w:sz w:val="24"/>
                <w:szCs w:val="24"/>
              </w:rPr>
              <w:t>50.31%</w:t>
            </w:r>
          </w:p>
        </w:tc>
      </w:tr>
      <w:tr w:rsidR="004F332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F332D" w:rsidRDefault="00731E46">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F332D" w:rsidRDefault="00731E46">
            <w:pPr>
              <w:rPr>
                <w:rFonts w:ascii="宋体" w:hAnsi="宋体" w:cs="宋体"/>
                <w:color w:val="000000"/>
                <w:kern w:val="0"/>
                <w:sz w:val="24"/>
                <w:szCs w:val="24"/>
              </w:rPr>
            </w:pPr>
            <w:r>
              <w:rPr>
                <w:rFonts w:ascii="宋体" w:hAnsi="宋体" w:cs="宋体" w:hint="eastAsia"/>
                <w:color w:val="000000"/>
                <w:kern w:val="0"/>
                <w:sz w:val="24"/>
                <w:szCs w:val="24"/>
              </w:rPr>
              <w:t>20088131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F332D" w:rsidRDefault="00731E46">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镇江国投</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F332D" w:rsidRDefault="00731E46">
            <w:pPr>
              <w:jc w:val="right"/>
              <w:rPr>
                <w:rFonts w:ascii="宋体" w:hAnsi="宋体" w:cs="宋体"/>
                <w:color w:val="000000"/>
                <w:kern w:val="0"/>
                <w:sz w:val="24"/>
                <w:szCs w:val="24"/>
              </w:rPr>
            </w:pPr>
            <w:r>
              <w:rPr>
                <w:rFonts w:ascii="宋体" w:hAnsi="宋体" w:cs="宋体" w:hint="eastAsia"/>
                <w:color w:val="000000"/>
                <w:kern w:val="0"/>
                <w:sz w:val="24"/>
                <w:szCs w:val="24"/>
              </w:rPr>
              <w:t>73,000,000.00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F332D" w:rsidRDefault="00731E46">
            <w:pPr>
              <w:jc w:val="right"/>
              <w:rPr>
                <w:rFonts w:ascii="宋体" w:hAnsi="宋体" w:cs="宋体"/>
                <w:color w:val="000000"/>
                <w:kern w:val="0"/>
                <w:sz w:val="24"/>
                <w:szCs w:val="24"/>
              </w:rPr>
            </w:pPr>
            <w:r>
              <w:rPr>
                <w:rFonts w:ascii="宋体" w:hAnsi="宋体" w:cs="宋体" w:hint="eastAsia"/>
                <w:color w:val="000000"/>
                <w:kern w:val="0"/>
                <w:sz w:val="24"/>
                <w:szCs w:val="24"/>
              </w:rPr>
              <w:t>47.92%</w:t>
            </w:r>
          </w:p>
        </w:tc>
      </w:tr>
    </w:tbl>
    <w:p w:rsidR="004F332D" w:rsidRDefault="004F332D">
      <w:pPr>
        <w:widowControl/>
        <w:jc w:val="left"/>
        <w:rPr>
          <w:rFonts w:ascii="宋体" w:hAnsi="宋体" w:cs="宋体"/>
          <w:b/>
          <w:sz w:val="24"/>
          <w:szCs w:val="24"/>
          <w:shd w:val="clear" w:color="auto" w:fill="FFFFFF"/>
        </w:rPr>
      </w:pPr>
    </w:p>
    <w:p w:rsidR="004F332D" w:rsidRDefault="00731E46">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4F332D" w:rsidRDefault="004F332D">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4F332D">
        <w:tc>
          <w:tcPr>
            <w:tcW w:w="709"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风险状况</w:t>
            </w:r>
          </w:p>
        </w:tc>
      </w:tr>
      <w:tr w:rsidR="004F332D">
        <w:tc>
          <w:tcPr>
            <w:tcW w:w="709"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镇江国有投资控股集团有限公司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20</w:t>
            </w:r>
            <w:r>
              <w:rPr>
                <w:rFonts w:hint="eastAsia"/>
                <w:shd w:val="clear" w:color="auto" w:fill="FFFFFF"/>
              </w:rPr>
              <w:t>镇江国投</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570</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4F332D" w:rsidRDefault="00731E46">
            <w:pPr>
              <w:pStyle w:val="biaogecenter"/>
              <w:wordWrap w:val="0"/>
              <w:rPr>
                <w:shd w:val="clear" w:color="auto" w:fill="FFFFFF"/>
              </w:rPr>
            </w:pPr>
            <w:r>
              <w:rPr>
                <w:rFonts w:hint="eastAsia"/>
                <w:shd w:val="clear" w:color="auto" w:fill="FFFFFF"/>
              </w:rPr>
              <w:t>-</w:t>
            </w:r>
          </w:p>
        </w:tc>
      </w:tr>
    </w:tbl>
    <w:p w:rsidR="004F332D" w:rsidRDefault="004F332D">
      <w:pPr>
        <w:widowControl/>
        <w:jc w:val="left"/>
        <w:rPr>
          <w:rFonts w:ascii="宋体" w:hAnsi="宋体" w:cs="宋体"/>
          <w:color w:val="000000"/>
          <w:kern w:val="0"/>
          <w:sz w:val="24"/>
          <w:szCs w:val="24"/>
        </w:rPr>
      </w:pPr>
    </w:p>
    <w:p w:rsidR="004F332D" w:rsidRDefault="004F332D">
      <w:pPr>
        <w:widowControl/>
        <w:jc w:val="left"/>
        <w:rPr>
          <w:rFonts w:ascii="宋体" w:hAnsi="宋体" w:cs="宋体"/>
          <w:color w:val="000000"/>
          <w:kern w:val="0"/>
          <w:sz w:val="24"/>
          <w:szCs w:val="24"/>
        </w:rPr>
      </w:pPr>
    </w:p>
    <w:p w:rsidR="004F332D" w:rsidRDefault="00731E46">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4F332D" w:rsidRDefault="00731E46">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4F332D" w:rsidRDefault="00731E46">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4F332D" w:rsidRDefault="004F332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4F332D" w:rsidRDefault="004F332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4F332D" w:rsidRDefault="004F332D">
      <w:pPr>
        <w:widowControl/>
        <w:jc w:val="left"/>
        <w:rPr>
          <w:rFonts w:ascii="宋体" w:hAnsi="宋体" w:cs="宋体"/>
          <w:color w:val="000000"/>
          <w:kern w:val="0"/>
          <w:sz w:val="24"/>
          <w:szCs w:val="24"/>
        </w:rPr>
      </w:pPr>
    </w:p>
    <w:p w:rsidR="004F332D" w:rsidRDefault="004F332D">
      <w:pPr>
        <w:widowControl/>
        <w:jc w:val="left"/>
        <w:rPr>
          <w:rFonts w:ascii="宋体" w:hAnsi="宋体" w:cs="宋体"/>
          <w:color w:val="000000"/>
          <w:kern w:val="0"/>
          <w:sz w:val="24"/>
          <w:szCs w:val="24"/>
        </w:rPr>
      </w:pPr>
    </w:p>
    <w:p w:rsidR="004F332D" w:rsidRDefault="004F332D">
      <w:pPr>
        <w:widowControl/>
        <w:jc w:val="left"/>
        <w:rPr>
          <w:rFonts w:ascii="宋体" w:hAnsi="宋体" w:cs="宋体"/>
          <w:color w:val="000000"/>
          <w:kern w:val="0"/>
          <w:sz w:val="24"/>
          <w:szCs w:val="24"/>
        </w:rPr>
      </w:pPr>
    </w:p>
    <w:p w:rsidR="004F332D" w:rsidRDefault="004F332D">
      <w:pPr>
        <w:widowControl/>
        <w:jc w:val="left"/>
        <w:rPr>
          <w:color w:val="000000"/>
        </w:rPr>
      </w:pPr>
    </w:p>
    <w:p w:rsidR="004F332D" w:rsidRDefault="00731E46">
      <w:pPr>
        <w:pStyle w:val="biaogeright"/>
        <w:rPr>
          <w:b/>
        </w:rPr>
      </w:pPr>
      <w:r>
        <w:rPr>
          <w:rFonts w:hint="eastAsia"/>
          <w:b/>
        </w:rPr>
        <w:t>南京银行股份有限公司</w:t>
      </w:r>
    </w:p>
    <w:p w:rsidR="004F332D" w:rsidRDefault="00731E46">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4F332D" w:rsidRDefault="004F332D">
      <w:pPr>
        <w:pStyle w:val="biaogeright"/>
        <w:rPr>
          <w:color w:val="000000"/>
        </w:rPr>
      </w:pPr>
    </w:p>
    <w:sectPr w:rsidR="004F332D" w:rsidSect="004F332D">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E46" w:rsidRDefault="00731E46" w:rsidP="004F332D">
      <w:r>
        <w:separator/>
      </w:r>
    </w:p>
  </w:endnote>
  <w:endnote w:type="continuationSeparator" w:id="1">
    <w:p w:rsidR="00731E46" w:rsidRDefault="00731E46" w:rsidP="004F33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2D" w:rsidRDefault="004F332D">
    <w:pPr>
      <w:pStyle w:val="a5"/>
      <w:framePr w:wrap="around" w:vAnchor="text" w:hAnchor="margin" w:xAlign="center" w:y="1"/>
      <w:rPr>
        <w:rStyle w:val="aa"/>
      </w:rPr>
    </w:pPr>
    <w:r>
      <w:fldChar w:fldCharType="begin"/>
    </w:r>
    <w:r w:rsidR="00731E46">
      <w:rPr>
        <w:rStyle w:val="aa"/>
      </w:rPr>
      <w:instrText xml:space="preserve">PAGE  </w:instrText>
    </w:r>
    <w:r>
      <w:fldChar w:fldCharType="end"/>
    </w:r>
  </w:p>
  <w:p w:rsidR="004F332D" w:rsidRDefault="004F332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2D" w:rsidRDefault="004F332D">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2" w:rsidRDefault="00962BC2">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2D" w:rsidRDefault="004F332D">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2D" w:rsidRDefault="004F332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E46" w:rsidRDefault="00731E46" w:rsidP="004F332D">
      <w:r>
        <w:separator/>
      </w:r>
    </w:p>
  </w:footnote>
  <w:footnote w:type="continuationSeparator" w:id="1">
    <w:p w:rsidR="00731E46" w:rsidRDefault="00731E46" w:rsidP="004F33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2" w:rsidRDefault="00962BC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2" w:rsidRDefault="00962BC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BC2" w:rsidRDefault="00962BC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4601"/>
    <w:rsid w:val="000060E5"/>
    <w:rsid w:val="000234FF"/>
    <w:rsid w:val="000279C8"/>
    <w:rsid w:val="00034FF6"/>
    <w:rsid w:val="00044BFF"/>
    <w:rsid w:val="0005474A"/>
    <w:rsid w:val="00061725"/>
    <w:rsid w:val="00072777"/>
    <w:rsid w:val="000A3711"/>
    <w:rsid w:val="000C3588"/>
    <w:rsid w:val="000D5066"/>
    <w:rsid w:val="000F6191"/>
    <w:rsid w:val="00130CE8"/>
    <w:rsid w:val="00152201"/>
    <w:rsid w:val="00172A27"/>
    <w:rsid w:val="00176636"/>
    <w:rsid w:val="00176EEC"/>
    <w:rsid w:val="00183C84"/>
    <w:rsid w:val="001C05F9"/>
    <w:rsid w:val="001C5395"/>
    <w:rsid w:val="0020141C"/>
    <w:rsid w:val="00211F26"/>
    <w:rsid w:val="002263FC"/>
    <w:rsid w:val="00273287"/>
    <w:rsid w:val="00283795"/>
    <w:rsid w:val="002A3AE9"/>
    <w:rsid w:val="002A7502"/>
    <w:rsid w:val="002C196E"/>
    <w:rsid w:val="002C30EF"/>
    <w:rsid w:val="002D296F"/>
    <w:rsid w:val="002D75D0"/>
    <w:rsid w:val="002E795C"/>
    <w:rsid w:val="00305714"/>
    <w:rsid w:val="00313E71"/>
    <w:rsid w:val="00321CB7"/>
    <w:rsid w:val="003379A9"/>
    <w:rsid w:val="00350ADF"/>
    <w:rsid w:val="00355623"/>
    <w:rsid w:val="003645DF"/>
    <w:rsid w:val="003A0419"/>
    <w:rsid w:val="003C4D3B"/>
    <w:rsid w:val="003E09EA"/>
    <w:rsid w:val="003F0AC3"/>
    <w:rsid w:val="00412BAB"/>
    <w:rsid w:val="00456251"/>
    <w:rsid w:val="004C1607"/>
    <w:rsid w:val="004C1BE1"/>
    <w:rsid w:val="004F332D"/>
    <w:rsid w:val="004F786E"/>
    <w:rsid w:val="005069D8"/>
    <w:rsid w:val="0056162E"/>
    <w:rsid w:val="00563B93"/>
    <w:rsid w:val="00567DB3"/>
    <w:rsid w:val="00575BEA"/>
    <w:rsid w:val="00592A59"/>
    <w:rsid w:val="00593D71"/>
    <w:rsid w:val="005960C3"/>
    <w:rsid w:val="005B3434"/>
    <w:rsid w:val="005E109F"/>
    <w:rsid w:val="005E2884"/>
    <w:rsid w:val="005E5050"/>
    <w:rsid w:val="005F0566"/>
    <w:rsid w:val="005F2C7B"/>
    <w:rsid w:val="005F4D04"/>
    <w:rsid w:val="005F7DA9"/>
    <w:rsid w:val="006054F8"/>
    <w:rsid w:val="00611D29"/>
    <w:rsid w:val="0065419A"/>
    <w:rsid w:val="00654220"/>
    <w:rsid w:val="00654961"/>
    <w:rsid w:val="00663B94"/>
    <w:rsid w:val="00677F66"/>
    <w:rsid w:val="006A65CF"/>
    <w:rsid w:val="006C7F31"/>
    <w:rsid w:val="006E4E94"/>
    <w:rsid w:val="00703A04"/>
    <w:rsid w:val="007146FA"/>
    <w:rsid w:val="00730BEE"/>
    <w:rsid w:val="0073101E"/>
    <w:rsid w:val="00731E46"/>
    <w:rsid w:val="00735153"/>
    <w:rsid w:val="00745421"/>
    <w:rsid w:val="00764305"/>
    <w:rsid w:val="007A0BB5"/>
    <w:rsid w:val="007A4219"/>
    <w:rsid w:val="0080200C"/>
    <w:rsid w:val="00814110"/>
    <w:rsid w:val="0082561A"/>
    <w:rsid w:val="00846B2E"/>
    <w:rsid w:val="00853290"/>
    <w:rsid w:val="0085663C"/>
    <w:rsid w:val="00860FE3"/>
    <w:rsid w:val="008768AB"/>
    <w:rsid w:val="008926F7"/>
    <w:rsid w:val="008A7510"/>
    <w:rsid w:val="008C78BD"/>
    <w:rsid w:val="008D6D09"/>
    <w:rsid w:val="008E29B6"/>
    <w:rsid w:val="008F0FA3"/>
    <w:rsid w:val="00900D90"/>
    <w:rsid w:val="009354D6"/>
    <w:rsid w:val="00935D84"/>
    <w:rsid w:val="00962BC2"/>
    <w:rsid w:val="00970A98"/>
    <w:rsid w:val="009C781F"/>
    <w:rsid w:val="009D5296"/>
    <w:rsid w:val="009E6170"/>
    <w:rsid w:val="00A37451"/>
    <w:rsid w:val="00A4484F"/>
    <w:rsid w:val="00A76D4B"/>
    <w:rsid w:val="00A77C47"/>
    <w:rsid w:val="00A85739"/>
    <w:rsid w:val="00A9119C"/>
    <w:rsid w:val="00AA4549"/>
    <w:rsid w:val="00AC5144"/>
    <w:rsid w:val="00AE7133"/>
    <w:rsid w:val="00B13014"/>
    <w:rsid w:val="00B17559"/>
    <w:rsid w:val="00B20821"/>
    <w:rsid w:val="00B33B19"/>
    <w:rsid w:val="00B404E6"/>
    <w:rsid w:val="00B4360D"/>
    <w:rsid w:val="00B61EA9"/>
    <w:rsid w:val="00B670D1"/>
    <w:rsid w:val="00B74DCA"/>
    <w:rsid w:val="00BC02E0"/>
    <w:rsid w:val="00BC3903"/>
    <w:rsid w:val="00BC579F"/>
    <w:rsid w:val="00BE47E0"/>
    <w:rsid w:val="00BE6693"/>
    <w:rsid w:val="00BF75C8"/>
    <w:rsid w:val="00C1762E"/>
    <w:rsid w:val="00C22DF9"/>
    <w:rsid w:val="00C25123"/>
    <w:rsid w:val="00C30A48"/>
    <w:rsid w:val="00C375A7"/>
    <w:rsid w:val="00C62DF8"/>
    <w:rsid w:val="00C640FB"/>
    <w:rsid w:val="00CB054E"/>
    <w:rsid w:val="00CC52D7"/>
    <w:rsid w:val="00D23AB6"/>
    <w:rsid w:val="00D42895"/>
    <w:rsid w:val="00D50309"/>
    <w:rsid w:val="00D51AA9"/>
    <w:rsid w:val="00D7264A"/>
    <w:rsid w:val="00D84E43"/>
    <w:rsid w:val="00D870DF"/>
    <w:rsid w:val="00DB0C2F"/>
    <w:rsid w:val="00DB3BF6"/>
    <w:rsid w:val="00DC31CC"/>
    <w:rsid w:val="00DC728A"/>
    <w:rsid w:val="00DD2F3C"/>
    <w:rsid w:val="00E1059D"/>
    <w:rsid w:val="00E155DF"/>
    <w:rsid w:val="00E246E1"/>
    <w:rsid w:val="00E560F1"/>
    <w:rsid w:val="00E944FA"/>
    <w:rsid w:val="00E9797A"/>
    <w:rsid w:val="00EA7ABC"/>
    <w:rsid w:val="00EB2746"/>
    <w:rsid w:val="00EE0436"/>
    <w:rsid w:val="00F1465C"/>
    <w:rsid w:val="00F41324"/>
    <w:rsid w:val="00F53211"/>
    <w:rsid w:val="00F57C12"/>
    <w:rsid w:val="00F609FD"/>
    <w:rsid w:val="00F7378B"/>
    <w:rsid w:val="00F84724"/>
    <w:rsid w:val="00F859AB"/>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2BFE4E15"/>
    <w:rsid w:val="2F2C6DDA"/>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3D63BB4"/>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32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F332D"/>
    <w:pPr>
      <w:jc w:val="left"/>
    </w:pPr>
  </w:style>
  <w:style w:type="paragraph" w:styleId="a4">
    <w:name w:val="Balloon Text"/>
    <w:basedOn w:val="a"/>
    <w:link w:val="Char0"/>
    <w:uiPriority w:val="99"/>
    <w:unhideWhenUsed/>
    <w:qFormat/>
    <w:rsid w:val="004F332D"/>
    <w:rPr>
      <w:sz w:val="18"/>
      <w:szCs w:val="18"/>
    </w:rPr>
  </w:style>
  <w:style w:type="paragraph" w:styleId="a5">
    <w:name w:val="footer"/>
    <w:basedOn w:val="a"/>
    <w:link w:val="Char1"/>
    <w:uiPriority w:val="99"/>
    <w:unhideWhenUsed/>
    <w:qFormat/>
    <w:rsid w:val="004F332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F332D"/>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F332D"/>
    <w:pPr>
      <w:snapToGrid w:val="0"/>
      <w:jc w:val="left"/>
    </w:pPr>
    <w:rPr>
      <w:sz w:val="18"/>
    </w:rPr>
  </w:style>
  <w:style w:type="paragraph" w:styleId="a8">
    <w:name w:val="Normal (Web)"/>
    <w:basedOn w:val="a"/>
    <w:qFormat/>
    <w:rsid w:val="004F332D"/>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F332D"/>
    <w:rPr>
      <w:b/>
      <w:bCs/>
    </w:rPr>
  </w:style>
  <w:style w:type="character" w:styleId="aa">
    <w:name w:val="page number"/>
    <w:basedOn w:val="a0"/>
    <w:uiPriority w:val="99"/>
    <w:unhideWhenUsed/>
    <w:qFormat/>
    <w:rsid w:val="004F332D"/>
  </w:style>
  <w:style w:type="character" w:styleId="ab">
    <w:name w:val="annotation reference"/>
    <w:uiPriority w:val="99"/>
    <w:unhideWhenUsed/>
    <w:qFormat/>
    <w:rsid w:val="004F332D"/>
    <w:rPr>
      <w:sz w:val="21"/>
      <w:szCs w:val="21"/>
    </w:rPr>
  </w:style>
  <w:style w:type="character" w:styleId="ac">
    <w:name w:val="footnote reference"/>
    <w:uiPriority w:val="99"/>
    <w:unhideWhenUsed/>
    <w:qFormat/>
    <w:rsid w:val="004F332D"/>
    <w:rPr>
      <w:vertAlign w:val="superscript"/>
    </w:rPr>
  </w:style>
  <w:style w:type="character" w:customStyle="1" w:styleId="Char0">
    <w:name w:val="批注框文本 Char"/>
    <w:link w:val="a4"/>
    <w:uiPriority w:val="99"/>
    <w:semiHidden/>
    <w:qFormat/>
    <w:rsid w:val="004F332D"/>
    <w:rPr>
      <w:kern w:val="2"/>
      <w:sz w:val="18"/>
      <w:szCs w:val="18"/>
    </w:rPr>
  </w:style>
  <w:style w:type="character" w:customStyle="1" w:styleId="Char2">
    <w:name w:val="页眉 Char"/>
    <w:link w:val="a6"/>
    <w:uiPriority w:val="99"/>
    <w:semiHidden/>
    <w:qFormat/>
    <w:locked/>
    <w:rsid w:val="004F332D"/>
    <w:rPr>
      <w:rFonts w:ascii="Times New Roman" w:hAnsi="Times New Roman" w:cs="Times New Roman" w:hint="default"/>
      <w:sz w:val="18"/>
      <w:szCs w:val="18"/>
    </w:rPr>
  </w:style>
  <w:style w:type="character" w:customStyle="1" w:styleId="Char3">
    <w:name w:val="批注主题 Char"/>
    <w:link w:val="a9"/>
    <w:uiPriority w:val="99"/>
    <w:semiHidden/>
    <w:qFormat/>
    <w:rsid w:val="004F332D"/>
    <w:rPr>
      <w:b/>
      <w:bCs/>
      <w:kern w:val="2"/>
      <w:sz w:val="21"/>
      <w:szCs w:val="22"/>
    </w:rPr>
  </w:style>
  <w:style w:type="character" w:customStyle="1" w:styleId="Char1">
    <w:name w:val="页脚 Char"/>
    <w:link w:val="a5"/>
    <w:uiPriority w:val="99"/>
    <w:semiHidden/>
    <w:qFormat/>
    <w:locked/>
    <w:rsid w:val="004F332D"/>
    <w:rPr>
      <w:rFonts w:ascii="Times New Roman" w:hAnsi="Times New Roman" w:cs="Times New Roman" w:hint="default"/>
      <w:sz w:val="18"/>
      <w:szCs w:val="18"/>
    </w:rPr>
  </w:style>
  <w:style w:type="character" w:customStyle="1" w:styleId="Char">
    <w:name w:val="批注文字 Char"/>
    <w:link w:val="a3"/>
    <w:uiPriority w:val="99"/>
    <w:qFormat/>
    <w:rsid w:val="004F332D"/>
    <w:rPr>
      <w:kern w:val="2"/>
      <w:sz w:val="21"/>
      <w:szCs w:val="22"/>
    </w:rPr>
  </w:style>
  <w:style w:type="paragraph" w:customStyle="1" w:styleId="zhongyaotishi">
    <w:name w:val="zhongyaotishi"/>
    <w:basedOn w:val="a"/>
    <w:qFormat/>
    <w:rsid w:val="004F332D"/>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F332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F332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F332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F332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F332D"/>
    <w:pPr>
      <w:widowControl w:val="0"/>
      <w:jc w:val="center"/>
    </w:pPr>
    <w:rPr>
      <w:kern w:val="2"/>
      <w:sz w:val="33"/>
      <w:szCs w:val="22"/>
    </w:rPr>
  </w:style>
  <w:style w:type="paragraph" w:customStyle="1" w:styleId="biaogeleft">
    <w:name w:val="biaoge_left"/>
    <w:basedOn w:val="a"/>
    <w:qFormat/>
    <w:rsid w:val="004F332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F332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F332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F332D"/>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F332D"/>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F332D"/>
    <w:pPr>
      <w:widowControl w:val="0"/>
    </w:pPr>
    <w:rPr>
      <w:kern w:val="2"/>
      <w:sz w:val="21"/>
      <w:szCs w:val="22"/>
    </w:rPr>
  </w:style>
  <w:style w:type="paragraph" w:customStyle="1" w:styleId="neirong">
    <w:name w:val="neirong"/>
    <w:basedOn w:val="a"/>
    <w:qFormat/>
    <w:rsid w:val="004F332D"/>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4F332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715</Words>
  <Characters>4076</Characters>
  <Application>Microsoft Office Word</Application>
  <DocSecurity>0</DocSecurity>
  <Lines>33</Lines>
  <Paragraphs>9</Paragraphs>
  <ScaleCrop>false</ScaleCrop>
  <Company>微软中国</Company>
  <LinksUpToDate>false</LinksUpToDate>
  <CharactersWithSpaces>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33</cp:revision>
  <cp:lastPrinted>2019-09-11T00:56:00Z</cp:lastPrinted>
  <dcterms:created xsi:type="dcterms:W3CDTF">2020-12-16T03:30:00Z</dcterms:created>
  <dcterms:modified xsi:type="dcterms:W3CDTF">2021-03-30T02:20:00Z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1AB997209F9045AE95A9D7A3E39651CB</vt:lpwstr>
  </property>
</Properties>
</file>