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AC4" w:rsidRDefault="00BC5AC4">
      <w:pPr>
        <w:pStyle w:val="dazhangjie"/>
        <w:rPr>
          <w:b/>
          <w:bCs/>
          <w:color w:val="000000"/>
        </w:rPr>
      </w:pPr>
    </w:p>
    <w:p w:rsidR="00BC5AC4" w:rsidRDefault="00BC5AC4">
      <w:pPr>
        <w:pStyle w:val="dazhangjie"/>
        <w:rPr>
          <w:b/>
          <w:bCs/>
          <w:color w:val="000000"/>
        </w:rPr>
      </w:pPr>
    </w:p>
    <w:p w:rsidR="00BC5AC4" w:rsidRDefault="00BC5AC4">
      <w:pPr>
        <w:pStyle w:val="dazhangjie"/>
        <w:rPr>
          <w:b/>
          <w:bCs/>
          <w:color w:val="000000"/>
        </w:rPr>
      </w:pPr>
    </w:p>
    <w:p w:rsidR="00BC5AC4" w:rsidRDefault="001E6A61">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1W827D</w:t>
      </w:r>
      <w:r>
        <w:rPr>
          <w:rFonts w:ascii="黑体" w:eastAsia="黑体" w:hAnsi="黑体"/>
          <w:b/>
          <w:bCs/>
          <w:sz w:val="36"/>
        </w:rPr>
        <w:t>封闭式公募人民币理财产品</w:t>
      </w:r>
    </w:p>
    <w:p w:rsidR="00BC5AC4" w:rsidRDefault="001E6A61">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BC5AC4" w:rsidRDefault="00BC5AC4">
      <w:pPr>
        <w:pStyle w:val="dazhangjie"/>
        <w:spacing w:before="240" w:after="120"/>
        <w:rPr>
          <w:rFonts w:ascii="黑体" w:eastAsia="黑体" w:hAnsi="黑体"/>
          <w:b/>
          <w:bCs/>
          <w:color w:val="000000"/>
          <w:sz w:val="36"/>
        </w:rPr>
      </w:pPr>
    </w:p>
    <w:p w:rsidR="00BC5AC4" w:rsidRDefault="00BC5AC4">
      <w:pPr>
        <w:pStyle w:val="dazhangjie"/>
        <w:spacing w:before="240" w:after="120"/>
        <w:rPr>
          <w:rFonts w:ascii="黑体" w:eastAsia="黑体" w:hAnsi="黑体"/>
          <w:b/>
          <w:bCs/>
          <w:color w:val="000000"/>
          <w:sz w:val="36"/>
        </w:rPr>
      </w:pPr>
    </w:p>
    <w:p w:rsidR="00BC5AC4" w:rsidRDefault="00BC5AC4">
      <w:pPr>
        <w:pStyle w:val="dazhangjie"/>
        <w:spacing w:before="240" w:after="120"/>
        <w:rPr>
          <w:rFonts w:ascii="黑体" w:eastAsia="黑体" w:hAnsi="黑体"/>
          <w:b/>
          <w:bCs/>
          <w:color w:val="000000"/>
          <w:sz w:val="36"/>
        </w:rPr>
      </w:pPr>
    </w:p>
    <w:p w:rsidR="00BC5AC4" w:rsidRDefault="00BC5AC4">
      <w:pPr>
        <w:pStyle w:val="dazhangjie"/>
        <w:spacing w:before="240" w:after="120"/>
        <w:rPr>
          <w:rFonts w:ascii="黑体" w:eastAsia="黑体" w:hAnsi="黑体"/>
          <w:b/>
          <w:bCs/>
          <w:color w:val="000000"/>
          <w:sz w:val="36"/>
        </w:rPr>
      </w:pPr>
    </w:p>
    <w:p w:rsidR="00BC5AC4" w:rsidRDefault="00BC5AC4">
      <w:pPr>
        <w:pStyle w:val="dazhangjie"/>
        <w:spacing w:before="240" w:after="120"/>
        <w:rPr>
          <w:rFonts w:ascii="黑体" w:eastAsia="黑体" w:hAnsi="黑体"/>
          <w:b/>
          <w:bCs/>
          <w:color w:val="000000"/>
          <w:sz w:val="36"/>
        </w:rPr>
      </w:pPr>
    </w:p>
    <w:p w:rsidR="00BC5AC4" w:rsidRDefault="00BC5AC4">
      <w:pPr>
        <w:pStyle w:val="dazhangjie"/>
        <w:spacing w:before="240" w:after="120"/>
        <w:rPr>
          <w:rFonts w:ascii="黑体" w:eastAsia="黑体" w:hAnsi="黑体"/>
          <w:b/>
          <w:bCs/>
          <w:color w:val="000000"/>
          <w:sz w:val="36"/>
        </w:rPr>
      </w:pPr>
    </w:p>
    <w:p w:rsidR="00BC5AC4" w:rsidRDefault="00BC5AC4">
      <w:pPr>
        <w:pStyle w:val="dazhangjie"/>
        <w:spacing w:before="240" w:after="120"/>
        <w:rPr>
          <w:rFonts w:ascii="黑体" w:eastAsia="黑体" w:hAnsi="黑体"/>
          <w:b/>
          <w:bCs/>
          <w:color w:val="000000"/>
          <w:sz w:val="36"/>
        </w:rPr>
      </w:pPr>
    </w:p>
    <w:p w:rsidR="00BC5AC4" w:rsidRDefault="00BC5AC4">
      <w:pPr>
        <w:pStyle w:val="dazhangjie"/>
        <w:spacing w:before="240" w:after="120"/>
        <w:rPr>
          <w:rFonts w:ascii="黑体" w:eastAsia="黑体" w:hAnsi="黑体"/>
          <w:b/>
          <w:bCs/>
          <w:color w:val="000000"/>
          <w:sz w:val="36"/>
        </w:rPr>
      </w:pPr>
    </w:p>
    <w:p w:rsidR="00BC5AC4" w:rsidRDefault="00BC5AC4">
      <w:pPr>
        <w:pStyle w:val="dazhangjie"/>
        <w:spacing w:before="240" w:after="120"/>
        <w:ind w:left="0"/>
        <w:jc w:val="both"/>
        <w:rPr>
          <w:rFonts w:ascii="黑体" w:eastAsia="黑体" w:hAnsi="黑体"/>
          <w:b/>
          <w:bCs/>
          <w:color w:val="000000"/>
          <w:sz w:val="36"/>
        </w:rPr>
      </w:pPr>
    </w:p>
    <w:p w:rsidR="00BC5AC4" w:rsidRDefault="001E6A61">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BC5AC4" w:rsidRDefault="001E6A61">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BC5AC4" w:rsidRDefault="00BC5AC4">
      <w:pPr>
        <w:widowControl/>
        <w:jc w:val="left"/>
        <w:rPr>
          <w:rFonts w:ascii="宋体" w:hAnsi="宋体" w:cs="宋体"/>
          <w:color w:val="000000"/>
          <w:kern w:val="0"/>
          <w:sz w:val="24"/>
          <w:szCs w:val="24"/>
        </w:rPr>
        <w:sectPr w:rsidR="00BC5AC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BC5AC4" w:rsidRDefault="00BC5AC4">
      <w:pPr>
        <w:widowControl/>
        <w:jc w:val="left"/>
        <w:rPr>
          <w:rFonts w:ascii="宋体" w:hAnsi="宋体" w:cs="宋体"/>
          <w:color w:val="000000"/>
          <w:kern w:val="0"/>
          <w:sz w:val="24"/>
          <w:szCs w:val="24"/>
        </w:rPr>
      </w:pPr>
    </w:p>
    <w:p w:rsidR="00BC5AC4" w:rsidRDefault="001E6A61">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BC5AC4" w:rsidRDefault="00BC5AC4">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rPr>
              <w:t>南京银行珠联璧合逸稳</w:t>
            </w:r>
            <w:r>
              <w:rPr>
                <w:rFonts w:hint="eastAsia"/>
              </w:rPr>
              <w:t>1W827D</w:t>
            </w:r>
            <w:r>
              <w:rPr>
                <w:rFonts w:hint="eastAsia"/>
              </w:rPr>
              <w:t>封闭式公募人民币理财产品</w:t>
            </w:r>
          </w:p>
        </w:tc>
      </w:tr>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pPr>
            <w:r>
              <w:t>C1086920000002</w:t>
            </w:r>
            <w:r>
              <w:rPr>
                <w:rFonts w:hint="eastAsia"/>
              </w:rPr>
              <w:t>（投资者可依据该编码在中国理财网</w:t>
            </w:r>
            <w:r>
              <w:rPr>
                <w:rFonts w:hint="eastAsia"/>
              </w:rPr>
              <w:t>www.chinawealth.com.cn</w:t>
            </w:r>
            <w:r>
              <w:rPr>
                <w:rFonts w:hint="eastAsia"/>
              </w:rPr>
              <w:t>查询理财产品相关信息）</w:t>
            </w:r>
          </w:p>
        </w:tc>
      </w:tr>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rPr>
              <w:t>开放式</w:t>
            </w:r>
            <w:r>
              <w:rPr>
                <w:rFonts w:hint="eastAsia"/>
              </w:rPr>
              <w:t>净值型</w:t>
            </w:r>
          </w:p>
        </w:tc>
      </w:tr>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CA7A20">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rPr>
              <w:t>2020</w:t>
            </w:r>
            <w:r>
              <w:rPr>
                <w:rFonts w:hint="eastAsia"/>
              </w:rPr>
              <w:t>年</w:t>
            </w:r>
            <w:r>
              <w:rPr>
                <w:rFonts w:hint="eastAsia"/>
              </w:rPr>
              <w:t>04</w:t>
            </w:r>
            <w:r>
              <w:rPr>
                <w:rFonts w:hint="eastAsia"/>
              </w:rPr>
              <w:t>月</w:t>
            </w:r>
            <w:r>
              <w:rPr>
                <w:rFonts w:hint="eastAsia"/>
              </w:rPr>
              <w:t>16</w:t>
            </w:r>
            <w:r>
              <w:rPr>
                <w:rFonts w:hint="eastAsia"/>
              </w:rPr>
              <w:t>日</w:t>
            </w:r>
          </w:p>
        </w:tc>
      </w:tr>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highlight w:val="yellow"/>
              </w:rPr>
            </w:pPr>
            <w:r>
              <w:rPr>
                <w:rFonts w:hint="eastAsia"/>
              </w:rPr>
              <w:t>517,462,000.00</w:t>
            </w:r>
            <w:r>
              <w:rPr>
                <w:rFonts w:hint="eastAsia"/>
              </w:rPr>
              <w:t>份</w:t>
            </w:r>
          </w:p>
        </w:tc>
      </w:tr>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100.21%</w:t>
            </w:r>
          </w:p>
        </w:tc>
      </w:tr>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鑫元基金管理有限公司</w:t>
            </w:r>
          </w:p>
        </w:tc>
      </w:tr>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rPr>
              <w:t>南京银行股份有限公司</w:t>
            </w:r>
          </w:p>
        </w:tc>
      </w:tr>
      <w:tr w:rsidR="00BC5AC4">
        <w:tc>
          <w:tcPr>
            <w:tcW w:w="281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left"/>
              <w:wordWrap w:val="0"/>
              <w:rPr>
                <w:color w:val="000000"/>
              </w:rPr>
            </w:pPr>
            <w:r>
              <w:rPr>
                <w:rFonts w:hint="eastAsia"/>
              </w:rPr>
              <w:t>南京银行股份有限公司</w:t>
            </w:r>
          </w:p>
        </w:tc>
      </w:tr>
    </w:tbl>
    <w:p w:rsidR="00BC5AC4" w:rsidRDefault="00BC5AC4">
      <w:pPr>
        <w:widowControl/>
        <w:jc w:val="left"/>
        <w:rPr>
          <w:rFonts w:ascii="宋体" w:hAnsi="宋体" w:cs="宋体"/>
          <w:color w:val="000000"/>
          <w:kern w:val="0"/>
          <w:sz w:val="24"/>
          <w:szCs w:val="24"/>
        </w:rPr>
      </w:pPr>
    </w:p>
    <w:p w:rsidR="00BC5AC4" w:rsidRDefault="00BC5AC4">
      <w:pPr>
        <w:pStyle w:val="dazhangjie"/>
        <w:rPr>
          <w:rFonts w:hAnsi="Calibri"/>
          <w:b/>
          <w:color w:val="000000"/>
        </w:rPr>
      </w:pPr>
    </w:p>
    <w:p w:rsidR="00BC5AC4" w:rsidRDefault="001E6A61">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BC5AC4" w:rsidRDefault="00BC5AC4">
      <w:pPr>
        <w:widowControl/>
        <w:jc w:val="left"/>
        <w:rPr>
          <w:rFonts w:ascii="宋体" w:hAnsi="宋体" w:cs="宋体"/>
          <w:color w:val="000000"/>
          <w:kern w:val="0"/>
          <w:sz w:val="24"/>
          <w:szCs w:val="24"/>
        </w:rPr>
      </w:pPr>
    </w:p>
    <w:p w:rsidR="00BC5AC4" w:rsidRDefault="001E6A61">
      <w:pPr>
        <w:pStyle w:val="zhangjiep"/>
        <w:rPr>
          <w:color w:val="000000"/>
        </w:rPr>
      </w:pPr>
      <w:r>
        <w:rPr>
          <w:rFonts w:hint="eastAsia"/>
          <w:b/>
          <w:bCs/>
          <w:color w:val="000000"/>
        </w:rPr>
        <w:t xml:space="preserve">2.1 </w:t>
      </w:r>
      <w:r>
        <w:rPr>
          <w:rFonts w:hint="eastAsia"/>
          <w:b/>
          <w:bCs/>
          <w:color w:val="000000"/>
        </w:rPr>
        <w:t>主要财务指标</w:t>
      </w:r>
    </w:p>
    <w:p w:rsidR="00BC5AC4" w:rsidRDefault="001E6A61">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BC5AC4">
        <w:tc>
          <w:tcPr>
            <w:tcW w:w="5220"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dazhangjie"/>
              <w:spacing w:before="240" w:after="120"/>
              <w:rPr>
                <w:color w:val="000000"/>
              </w:rPr>
            </w:pPr>
            <w:r>
              <w:t>报告期（</w:t>
            </w:r>
            <w:r>
              <w:rPr>
                <w:rFonts w:hint="eastAsia"/>
              </w:rPr>
              <w:t>2020</w:t>
            </w:r>
            <w:r>
              <w:rPr>
                <w:rFonts w:hint="eastAsia"/>
              </w:rPr>
              <w:t>年</w:t>
            </w:r>
            <w:r>
              <w:rPr>
                <w:rFonts w:hint="eastAsia"/>
              </w:rPr>
              <w:t>04</w:t>
            </w:r>
            <w:r>
              <w:rPr>
                <w:rFonts w:hint="eastAsia"/>
              </w:rPr>
              <w:t>月</w:t>
            </w:r>
            <w:r>
              <w:rPr>
                <w:rFonts w:hint="eastAsia"/>
              </w:rPr>
              <w:t>16</w:t>
            </w:r>
            <w:r>
              <w:rPr>
                <w:rFonts w:hint="eastAsia"/>
              </w:rPr>
              <w:t>日</w:t>
            </w:r>
            <w:r>
              <w:t xml:space="preserve">- </w:t>
            </w:r>
            <w:r>
              <w:t>2020</w:t>
            </w:r>
            <w:r>
              <w:t>年</w:t>
            </w:r>
            <w:r>
              <w:t>12</w:t>
            </w:r>
            <w:r>
              <w:t>月</w:t>
            </w:r>
            <w:r>
              <w:t>31</w:t>
            </w:r>
            <w:r>
              <w:t>日）</w:t>
            </w:r>
          </w:p>
        </w:tc>
      </w:tr>
      <w:tr w:rsidR="00BC5AC4">
        <w:tc>
          <w:tcPr>
            <w:tcW w:w="5220"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right"/>
              <w:jc w:val="center"/>
              <w:rPr>
                <w:color w:val="000000"/>
                <w:highlight w:val="yellow"/>
              </w:rPr>
            </w:pPr>
            <w:r>
              <w:rPr>
                <w:rFonts w:hint="eastAsia"/>
              </w:rPr>
              <w:t>533,610,104.20</w:t>
            </w:r>
          </w:p>
        </w:tc>
      </w:tr>
      <w:tr w:rsidR="00BC5AC4">
        <w:tc>
          <w:tcPr>
            <w:tcW w:w="5220"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right"/>
              <w:jc w:val="center"/>
              <w:rPr>
                <w:color w:val="000000"/>
                <w:highlight w:val="yellow"/>
              </w:rPr>
            </w:pPr>
            <w:r>
              <w:rPr>
                <w:rFonts w:hint="eastAsia"/>
              </w:rPr>
              <w:t>1.0312</w:t>
            </w:r>
          </w:p>
        </w:tc>
      </w:tr>
      <w:tr w:rsidR="00BC5AC4">
        <w:tc>
          <w:tcPr>
            <w:tcW w:w="5220"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right"/>
              <w:jc w:val="center"/>
              <w:rPr>
                <w:color w:val="000000"/>
                <w:highlight w:val="yellow"/>
              </w:rPr>
            </w:pPr>
            <w:r>
              <w:rPr>
                <w:color w:val="000000"/>
              </w:rPr>
              <w:t>1.0312</w:t>
            </w:r>
          </w:p>
        </w:tc>
      </w:tr>
      <w:tr w:rsidR="00BC5AC4">
        <w:tc>
          <w:tcPr>
            <w:tcW w:w="5220" w:type="dxa"/>
            <w:vAlign w:val="center"/>
          </w:tcPr>
          <w:p w:rsidR="00BC5AC4" w:rsidRDefault="00BC5AC4">
            <w:pPr>
              <w:widowControl/>
              <w:jc w:val="left"/>
              <w:rPr>
                <w:rFonts w:ascii="宋体" w:hAnsi="宋体" w:cs="宋体"/>
                <w:color w:val="000000"/>
                <w:kern w:val="0"/>
                <w:sz w:val="24"/>
                <w:szCs w:val="24"/>
              </w:rPr>
            </w:pPr>
          </w:p>
        </w:tc>
        <w:tc>
          <w:tcPr>
            <w:tcW w:w="3825" w:type="dxa"/>
            <w:vAlign w:val="center"/>
          </w:tcPr>
          <w:p w:rsidR="00BC5AC4" w:rsidRDefault="00BC5AC4">
            <w:pPr>
              <w:widowControl/>
              <w:jc w:val="left"/>
              <w:rPr>
                <w:color w:val="000000"/>
                <w:kern w:val="0"/>
                <w:sz w:val="20"/>
                <w:szCs w:val="20"/>
              </w:rPr>
            </w:pPr>
          </w:p>
        </w:tc>
      </w:tr>
    </w:tbl>
    <w:p w:rsidR="00BC5AC4" w:rsidRDefault="00BC5AC4">
      <w:pPr>
        <w:pStyle w:val="biaogeleft"/>
        <w:ind w:left="0"/>
        <w:rPr>
          <w:color w:val="000000"/>
        </w:rPr>
      </w:pPr>
    </w:p>
    <w:p w:rsidR="00BC5AC4" w:rsidRDefault="00BC5AC4">
      <w:pPr>
        <w:widowControl/>
        <w:jc w:val="left"/>
        <w:rPr>
          <w:rFonts w:ascii="宋体" w:hAnsi="宋体" w:cs="宋体"/>
          <w:color w:val="000000"/>
          <w:kern w:val="0"/>
          <w:sz w:val="24"/>
          <w:szCs w:val="24"/>
        </w:rPr>
      </w:pPr>
    </w:p>
    <w:p w:rsidR="00BC5AC4" w:rsidRDefault="001E6A61">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BC5AC4" w:rsidRDefault="001E6A61">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BC5AC4" w:rsidRDefault="001E6A61">
      <w:pPr>
        <w:spacing w:line="360" w:lineRule="auto"/>
        <w:ind w:firstLineChars="200" w:firstLine="480"/>
        <w:rPr>
          <w:rFonts w:ascii="宋体" w:hAnsi="宋体"/>
          <w:sz w:val="24"/>
          <w:szCs w:val="24"/>
        </w:rPr>
      </w:pPr>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BC5AC4" w:rsidRDefault="001E6A61">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BC5AC4" w:rsidRDefault="001E6A61">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BC5AC4" w:rsidRDefault="001E6A61">
      <w:pPr>
        <w:spacing w:line="360" w:lineRule="auto"/>
        <w:ind w:firstLine="42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p>
    <w:p w:rsidR="00BC5AC4" w:rsidRDefault="001E6A61">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BC5AC4" w:rsidRDefault="001E6A61">
      <w:pPr>
        <w:spacing w:line="360" w:lineRule="auto"/>
        <w:ind w:firstLine="420"/>
        <w:jc w:val="left"/>
        <w:rPr>
          <w:rFonts w:ascii="宋体" w:hAnsi="宋体"/>
          <w:b/>
          <w:bCs/>
          <w:color w:val="FF0000"/>
          <w:sz w:val="24"/>
          <w:szCs w:val="24"/>
        </w:rPr>
      </w:pPr>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p>
    <w:p w:rsidR="00BC5AC4" w:rsidRDefault="001E6A61">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BC5AC4" w:rsidRDefault="001E6A61">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1.0312</w:t>
      </w:r>
      <w:r>
        <w:rPr>
          <w:rFonts w:hint="eastAsia"/>
          <w:color w:val="000000"/>
        </w:rPr>
        <w:t>元。</w:t>
      </w:r>
    </w:p>
    <w:p w:rsidR="00BC5AC4" w:rsidRDefault="00BC5AC4">
      <w:pPr>
        <w:widowControl/>
        <w:jc w:val="left"/>
        <w:rPr>
          <w:rFonts w:ascii="宋体" w:hAnsi="宋体" w:cs="宋体"/>
          <w:color w:val="000000"/>
          <w:kern w:val="0"/>
          <w:sz w:val="24"/>
          <w:szCs w:val="24"/>
        </w:rPr>
      </w:pPr>
    </w:p>
    <w:p w:rsidR="00BC5AC4" w:rsidRDefault="001E6A61">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BC5AC4" w:rsidRDefault="00BC5AC4">
      <w:pPr>
        <w:pStyle w:val="dazhangjie"/>
        <w:rPr>
          <w:rFonts w:hAnsi="Calibri"/>
          <w:b/>
          <w:color w:val="000000"/>
        </w:rPr>
      </w:pPr>
    </w:p>
    <w:p w:rsidR="00BC5AC4" w:rsidRDefault="001E6A61">
      <w:pPr>
        <w:pStyle w:val="a8"/>
        <w:rPr>
          <w:b/>
          <w:color w:val="000000"/>
        </w:rPr>
      </w:pPr>
      <w:r>
        <w:rPr>
          <w:rFonts w:hint="eastAsia"/>
          <w:b/>
          <w:color w:val="000000"/>
        </w:rPr>
        <w:t>4.1</w:t>
      </w:r>
      <w:r>
        <w:rPr>
          <w:rFonts w:hint="eastAsia"/>
          <w:b/>
          <w:color w:val="000000"/>
        </w:rPr>
        <w:t>报告期内托管人遵规守信情况声明</w:t>
      </w:r>
    </w:p>
    <w:p w:rsidR="00BC5AC4" w:rsidRDefault="001E6A61">
      <w:pPr>
        <w:pStyle w:val="biaogeleft"/>
        <w:spacing w:line="360" w:lineRule="auto"/>
        <w:ind w:firstLineChars="200" w:firstLine="480"/>
        <w:rPr>
          <w:rFonts w:cs="Times New Roman"/>
          <w:b/>
          <w:color w:val="000000"/>
        </w:rPr>
      </w:pPr>
      <w:bookmarkStart w:id="0" w:name="_Hlk65778080"/>
      <w:r>
        <w:lastRenderedPageBreak/>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w:t>
      </w:r>
      <w:r>
        <w:rPr>
          <w:rFonts w:hint="eastAsia"/>
        </w:rPr>
        <w:t>4</w:t>
      </w:r>
      <w:r>
        <w:t>月</w:t>
      </w:r>
      <w:r>
        <w:rPr>
          <w:rFonts w:hint="eastAsia"/>
        </w:rPr>
        <w:t>16</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bookmarkEnd w:id="0"/>
    </w:p>
    <w:p w:rsidR="00BC5AC4" w:rsidRDefault="001E6A61">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BC5AC4" w:rsidRDefault="001E6A61">
      <w:pPr>
        <w:pStyle w:val="biaogeleft"/>
        <w:spacing w:line="360" w:lineRule="auto"/>
        <w:ind w:firstLine="480"/>
        <w:rPr>
          <w:color w:val="000000"/>
        </w:rPr>
      </w:pPr>
      <w:bookmarkStart w:id="1" w:name="_Hlk65778120"/>
      <w:r>
        <w:t>本托管人认为</w:t>
      </w:r>
      <w:r>
        <w:rPr>
          <w:rFonts w:hint="eastAsia"/>
        </w:rPr>
        <w:t>，</w:t>
      </w:r>
      <w:r>
        <w:t>南京银行股份有限公司在本产品的投资运作、产品资产净值的计算、产品份额申购赎回价格</w:t>
      </w:r>
      <w:r>
        <w:t>的计算、产品费用开支及利润分配等问题上，不存在损害产品份额持有人利益的行为；在报告期内，严格遵守了有关法律法规，在各重要方面的运作严格按照托管协议和理财产品说明书的规定进行。</w:t>
      </w:r>
      <w:bookmarkEnd w:id="1"/>
    </w:p>
    <w:p w:rsidR="00BC5AC4" w:rsidRDefault="001E6A61">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BC5AC4" w:rsidRDefault="001E6A61">
      <w:pPr>
        <w:pStyle w:val="biaogeleft"/>
        <w:spacing w:line="360" w:lineRule="auto"/>
        <w:ind w:firstLine="480"/>
        <w:rPr>
          <w:color w:val="000000"/>
        </w:rPr>
      </w:pPr>
      <w:r>
        <w:rPr>
          <w:rFonts w:hint="eastAsia"/>
          <w:color w:val="000000"/>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p>
    <w:p w:rsidR="00BC5AC4" w:rsidRDefault="00BC5AC4">
      <w:pPr>
        <w:pStyle w:val="biaogeleft"/>
        <w:spacing w:line="360" w:lineRule="auto"/>
        <w:ind w:firstLine="480"/>
        <w:rPr>
          <w:color w:val="000000"/>
        </w:rPr>
      </w:pPr>
    </w:p>
    <w:p w:rsidR="00BC5AC4" w:rsidRDefault="001E6A61">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BC5AC4" w:rsidRDefault="00BC5AC4">
      <w:pPr>
        <w:widowControl/>
        <w:jc w:val="left"/>
        <w:rPr>
          <w:rFonts w:ascii="宋体" w:hAnsi="宋体" w:cs="宋体"/>
          <w:kern w:val="0"/>
          <w:sz w:val="24"/>
          <w:szCs w:val="24"/>
        </w:rPr>
      </w:pPr>
    </w:p>
    <w:p w:rsidR="00BC5AC4" w:rsidRDefault="001E6A61">
      <w:pPr>
        <w:pStyle w:val="zhangjiep"/>
      </w:pPr>
      <w:bookmarkStart w:id="4" w:name="_Toc61271615"/>
      <w:r>
        <w:rPr>
          <w:rFonts w:hint="eastAsia"/>
          <w:b/>
          <w:bCs/>
        </w:rPr>
        <w:t xml:space="preserve">5.1 </w:t>
      </w:r>
      <w:r>
        <w:rPr>
          <w:rFonts w:hint="eastAsia"/>
          <w:b/>
          <w:bCs/>
        </w:rPr>
        <w:t>资产负债表</w:t>
      </w:r>
      <w:bookmarkEnd w:id="4"/>
    </w:p>
    <w:p w:rsidR="00BC5AC4" w:rsidRDefault="001E6A61">
      <w:pPr>
        <w:pStyle w:val="biaogeleft"/>
      </w:pPr>
      <w:r>
        <w:rPr>
          <w:rFonts w:hint="eastAsia"/>
        </w:rPr>
        <w:t>会计主体：南京银行珠联璧合逸稳</w:t>
      </w:r>
      <w:r>
        <w:rPr>
          <w:rFonts w:hint="eastAsia"/>
        </w:rPr>
        <w:t>1W827D</w:t>
      </w:r>
      <w:r>
        <w:rPr>
          <w:rFonts w:hint="eastAsia"/>
        </w:rPr>
        <w:t>封闭式公募人民币理财产品</w:t>
      </w:r>
    </w:p>
    <w:p w:rsidR="00BC5AC4" w:rsidRDefault="001E6A61">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C5AC4" w:rsidRDefault="001E6A6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Ansi="Calibri" w:hint="eastAsia"/>
                <w:color w:val="000000"/>
              </w:rPr>
              <w:t>本期末</w:t>
            </w:r>
            <w:r>
              <w:rPr>
                <w:rFonts w:hAnsi="Calibri" w:hint="eastAsia"/>
                <w:color w:val="000000"/>
              </w:rPr>
              <w:t> </w:t>
            </w:r>
          </w:p>
          <w:p w:rsidR="00BC5AC4" w:rsidRDefault="001E6A61">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rPr>
              <w:t> </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2,044,705.75</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105.29</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149,482,470.00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149,482,470.00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14,650,764.85</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342,000,000.00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26,564,474.69</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534,742,520.58</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rPr>
              <w:t>本期末</w:t>
            </w:r>
            <w:r>
              <w:rPr>
                <w:rFonts w:hint="eastAsia"/>
              </w:rPr>
              <w:t> </w:t>
            </w:r>
          </w:p>
          <w:p w:rsidR="00BC5AC4" w:rsidRDefault="001E6A61">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rPr>
              <w:t> </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576,842.64</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28,842.54</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288,421.32</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238,309.88</w:t>
            </w:r>
          </w:p>
        </w:tc>
      </w:tr>
      <w:tr w:rsidR="00BC5AC4">
        <w:trPr>
          <w:trHeight w:val="33"/>
        </w:trPr>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1,132,416.38</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rPr>
              <w:t> </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517,462,000.00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0.00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16,148,104.20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533,610,104.20</w:t>
            </w:r>
          </w:p>
        </w:tc>
      </w:tr>
      <w:tr w:rsidR="00BC5AC4">
        <w:tc>
          <w:tcPr>
            <w:tcW w:w="3660"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cs="Arial" w:hint="eastAsia"/>
                <w:color w:val="000000"/>
              </w:rPr>
              <w:t>534,742,520.58</w:t>
            </w:r>
          </w:p>
        </w:tc>
      </w:tr>
    </w:tbl>
    <w:p w:rsidR="00BC5AC4" w:rsidRDefault="00BC5AC4">
      <w:pPr>
        <w:widowControl/>
        <w:jc w:val="left"/>
        <w:rPr>
          <w:rFonts w:ascii="宋体" w:hAnsi="宋体" w:cs="宋体"/>
          <w:kern w:val="0"/>
          <w:sz w:val="24"/>
          <w:szCs w:val="24"/>
        </w:rPr>
      </w:pPr>
    </w:p>
    <w:p w:rsidR="00BC5AC4" w:rsidRDefault="001E6A61">
      <w:pPr>
        <w:pStyle w:val="zhangjiep"/>
      </w:pPr>
      <w:bookmarkStart w:id="5" w:name="_Toc61428336"/>
      <w:r>
        <w:rPr>
          <w:rFonts w:hint="eastAsia"/>
          <w:b/>
          <w:bCs/>
        </w:rPr>
        <w:t xml:space="preserve">5.2 </w:t>
      </w:r>
      <w:r>
        <w:rPr>
          <w:rFonts w:hint="eastAsia"/>
          <w:b/>
          <w:bCs/>
        </w:rPr>
        <w:t>利润表</w:t>
      </w:r>
      <w:bookmarkEnd w:id="5"/>
    </w:p>
    <w:p w:rsidR="00BC5AC4" w:rsidRDefault="001E6A61">
      <w:pPr>
        <w:pStyle w:val="biaogeleft"/>
      </w:pPr>
      <w:r>
        <w:rPr>
          <w:rFonts w:hint="eastAsia"/>
        </w:rPr>
        <w:t>会计主体：南京银行珠联璧合逸稳</w:t>
      </w:r>
      <w:r>
        <w:rPr>
          <w:rFonts w:hint="eastAsia"/>
        </w:rPr>
        <w:t>1W827D</w:t>
      </w:r>
      <w:r>
        <w:rPr>
          <w:rFonts w:hint="eastAsia"/>
        </w:rPr>
        <w:t>封闭式公募人民币理财产品</w:t>
      </w:r>
    </w:p>
    <w:p w:rsidR="00BC5AC4" w:rsidRDefault="001E6A61">
      <w:pPr>
        <w:pStyle w:val="biaogeleft"/>
      </w:pPr>
      <w:r>
        <w:rPr>
          <w:rFonts w:hint="eastAsia"/>
        </w:rPr>
        <w:t>本报告期：</w:t>
      </w:r>
      <w:r>
        <w:rPr>
          <w:rFonts w:hint="eastAsia"/>
        </w:rPr>
        <w:t>2020</w:t>
      </w:r>
      <w:r>
        <w:rPr>
          <w:rFonts w:hint="eastAsia"/>
        </w:rPr>
        <w:t>年</w:t>
      </w:r>
      <w:r>
        <w:rPr>
          <w:rFonts w:hint="eastAsia"/>
        </w:rPr>
        <w:t>04</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C5AC4" w:rsidRDefault="001E6A6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BC5AC4">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04</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C5AC4">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BC5AC4" w:rsidRDefault="00BC5AC4">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BC5AC4" w:rsidRDefault="00BC5AC4">
            <w:pPr>
              <w:widowControl/>
              <w:jc w:val="left"/>
              <w:rPr>
                <w:rFonts w:asciiTheme="minorEastAsia" w:eastAsiaTheme="minorEastAsia" w:hAnsiTheme="minorEastAsia" w:cs="宋体"/>
                <w:kern w:val="0"/>
                <w:sz w:val="24"/>
                <w:szCs w:val="24"/>
              </w:rPr>
            </w:pP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b/>
                <w:bCs/>
                <w:color w:val="000000"/>
              </w:rPr>
              <w:t>18,509,621.53</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19,897,576.84</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39,883.29</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19,857,693.55</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ascii="Arial" w:hAnsi="Arial" w:cs="Arial"/>
                <w:color w:val="000000"/>
              </w:rPr>
              <w:t xml:space="preserve">　</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-1,387,955.31</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 xml:space="preserve">　</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b/>
                <w:bCs/>
                <w:color w:val="000000"/>
              </w:rPr>
              <w:t>2,361,517.33</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1,470,383.20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73,520.20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735,191.60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1,534.43</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71,487.90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color w:val="000000"/>
              </w:rPr>
              <w:t>9,400.00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b/>
                <w:bCs/>
                <w:color w:val="000000"/>
              </w:rPr>
              <w:t>16,148,104.20</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ascii="Arial" w:hAnsi="Arial" w:cs="Arial"/>
                <w:color w:val="000000"/>
              </w:rPr>
              <w:t xml:space="preserve">　</w:t>
            </w:r>
          </w:p>
        </w:tc>
      </w:tr>
      <w:tr w:rsidR="00BC5AC4">
        <w:tc>
          <w:tcPr>
            <w:tcW w:w="2969"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rPr>
                <w:rFonts w:asciiTheme="minorEastAsia" w:eastAsiaTheme="minorEastAsia" w:hAnsiTheme="minorEastAsia"/>
              </w:rPr>
            </w:pPr>
            <w:r>
              <w:rPr>
                <w:rFonts w:cs="Arial" w:hint="eastAsia"/>
                <w:b/>
                <w:bCs/>
                <w:color w:val="000000"/>
              </w:rPr>
              <w:t>16,148,104.20</w:t>
            </w:r>
          </w:p>
        </w:tc>
      </w:tr>
    </w:tbl>
    <w:p w:rsidR="00BC5AC4" w:rsidRDefault="00BC5AC4">
      <w:pPr>
        <w:widowControl/>
        <w:jc w:val="left"/>
        <w:rPr>
          <w:rFonts w:ascii="宋体" w:hAnsi="宋体" w:cs="宋体"/>
          <w:kern w:val="0"/>
          <w:sz w:val="24"/>
          <w:szCs w:val="24"/>
        </w:rPr>
      </w:pPr>
    </w:p>
    <w:p w:rsidR="00BC5AC4" w:rsidRDefault="001E6A61">
      <w:pPr>
        <w:pStyle w:val="zhangjiep"/>
      </w:pPr>
      <w:bookmarkStart w:id="6" w:name="_Toc61428337"/>
      <w:r>
        <w:rPr>
          <w:rFonts w:hint="eastAsia"/>
          <w:b/>
          <w:bCs/>
        </w:rPr>
        <w:t xml:space="preserve">5.3 </w:t>
      </w:r>
      <w:r>
        <w:rPr>
          <w:rFonts w:hint="eastAsia"/>
          <w:b/>
          <w:bCs/>
        </w:rPr>
        <w:t>所有者权益（基金净值）变动表</w:t>
      </w:r>
      <w:bookmarkEnd w:id="6"/>
    </w:p>
    <w:p w:rsidR="00BC5AC4" w:rsidRDefault="001E6A61">
      <w:pPr>
        <w:pStyle w:val="biaogeleft"/>
      </w:pPr>
      <w:r>
        <w:rPr>
          <w:rFonts w:hint="eastAsia"/>
        </w:rPr>
        <w:t>会计主体：南京银行珠联璧合逸稳</w:t>
      </w:r>
      <w:r>
        <w:rPr>
          <w:rFonts w:hint="eastAsia"/>
        </w:rPr>
        <w:t>1W827D</w:t>
      </w:r>
      <w:r>
        <w:rPr>
          <w:rFonts w:hint="eastAsia"/>
        </w:rPr>
        <w:t>封闭式公募人民币理财产品</w:t>
      </w:r>
    </w:p>
    <w:p w:rsidR="00BC5AC4" w:rsidRDefault="001E6A61">
      <w:pPr>
        <w:pStyle w:val="biaogeleft"/>
      </w:pPr>
      <w:r>
        <w:rPr>
          <w:rFonts w:hint="eastAsia"/>
        </w:rPr>
        <w:t>本报告期：</w:t>
      </w:r>
      <w:r>
        <w:rPr>
          <w:rFonts w:hint="eastAsia"/>
        </w:rPr>
        <w:t>2020</w:t>
      </w:r>
      <w:r>
        <w:rPr>
          <w:rFonts w:hint="eastAsia"/>
        </w:rPr>
        <w:t>年</w:t>
      </w:r>
      <w:r>
        <w:rPr>
          <w:rFonts w:hint="eastAsia"/>
        </w:rPr>
        <w:t>04</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C5AC4" w:rsidRDefault="001E6A6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BC5AC4">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rPr>
              <w:t>本期</w:t>
            </w:r>
            <w:r>
              <w:rPr>
                <w:rFonts w:hint="eastAsia"/>
              </w:rPr>
              <w:t> </w:t>
            </w:r>
          </w:p>
          <w:p w:rsidR="00BC5AC4" w:rsidRDefault="001E6A61">
            <w:pPr>
              <w:pStyle w:val="biaogecenter"/>
              <w:wordWrap w:val="0"/>
            </w:pPr>
            <w:r>
              <w:rPr>
                <w:rFonts w:hint="eastAsia"/>
              </w:rPr>
              <w:t>2020</w:t>
            </w:r>
            <w:r>
              <w:rPr>
                <w:rFonts w:hint="eastAsia"/>
              </w:rPr>
              <w:t>年</w:t>
            </w:r>
            <w:r>
              <w:rPr>
                <w:rFonts w:hint="eastAsia"/>
              </w:rPr>
              <w:t>04</w:t>
            </w:r>
            <w:r>
              <w:rPr>
                <w:rFonts w:hint="eastAsia"/>
              </w:rPr>
              <w:t>月</w:t>
            </w:r>
            <w:r>
              <w:rPr>
                <w:rFonts w:hint="eastAsia"/>
              </w:rPr>
              <w:t>16</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C5AC4">
        <w:tc>
          <w:tcPr>
            <w:tcW w:w="2116" w:type="dxa"/>
            <w:vMerge/>
            <w:tcBorders>
              <w:top w:val="single" w:sz="8" w:space="0" w:color="000000"/>
              <w:left w:val="single" w:sz="8" w:space="0" w:color="000000"/>
              <w:bottom w:val="single" w:sz="8" w:space="0" w:color="000000"/>
              <w:right w:val="single" w:sz="8" w:space="0" w:color="000000"/>
            </w:tcBorders>
            <w:vAlign w:val="center"/>
          </w:tcPr>
          <w:p w:rsidR="00BC5AC4" w:rsidRDefault="00BC5AC4">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pPr>
            <w:r>
              <w:rPr>
                <w:rFonts w:hint="eastAsia"/>
              </w:rPr>
              <w:t>所有者权益合计</w:t>
            </w:r>
            <w:r>
              <w:rPr>
                <w:rFonts w:hint="eastAsia"/>
              </w:rPr>
              <w:t> </w:t>
            </w:r>
          </w:p>
        </w:tc>
      </w:tr>
      <w:tr w:rsidR="00BC5AC4">
        <w:tc>
          <w:tcPr>
            <w:tcW w:w="211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lastRenderedPageBreak/>
              <w:t>517,462,000.00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517,462,000.00</w:t>
            </w:r>
          </w:p>
        </w:tc>
      </w:tr>
      <w:tr w:rsidR="00BC5AC4">
        <w:tc>
          <w:tcPr>
            <w:tcW w:w="211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16,148,104.20</w:t>
            </w:r>
          </w:p>
        </w:tc>
        <w:tc>
          <w:tcPr>
            <w:tcW w:w="2484"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16,148,104.20</w:t>
            </w:r>
          </w:p>
        </w:tc>
      </w:tr>
      <w:tr w:rsidR="00BC5AC4">
        <w:tc>
          <w:tcPr>
            <w:tcW w:w="211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r>
      <w:tr w:rsidR="00BC5AC4">
        <w:tc>
          <w:tcPr>
            <w:tcW w:w="211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r>
      <w:tr w:rsidR="00BC5AC4">
        <w:tc>
          <w:tcPr>
            <w:tcW w:w="211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r>
      <w:tr w:rsidR="00BC5AC4">
        <w:tc>
          <w:tcPr>
            <w:tcW w:w="211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w:t>
            </w:r>
          </w:p>
        </w:tc>
      </w:tr>
      <w:tr w:rsidR="00BC5AC4">
        <w:tc>
          <w:tcPr>
            <w:tcW w:w="211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517,462,000.00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16,148,104.20</w:t>
            </w:r>
          </w:p>
        </w:tc>
        <w:tc>
          <w:tcPr>
            <w:tcW w:w="2484"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right"/>
              <w:wordWrap w:val="0"/>
            </w:pPr>
            <w:r>
              <w:rPr>
                <w:rFonts w:hint="eastAsia"/>
              </w:rPr>
              <w:t>533,610,104.20</w:t>
            </w:r>
          </w:p>
        </w:tc>
      </w:tr>
    </w:tbl>
    <w:p w:rsidR="00BC5AC4" w:rsidRDefault="00BC5AC4">
      <w:pPr>
        <w:widowControl/>
        <w:autoSpaceDE w:val="0"/>
        <w:autoSpaceDN w:val="0"/>
        <w:adjustRightInd w:val="0"/>
        <w:spacing w:line="288" w:lineRule="auto"/>
        <w:jc w:val="right"/>
        <w:rPr>
          <w:rFonts w:ascii="宋体" w:hAnsi="宋体" w:cs="宋体"/>
          <w:kern w:val="0"/>
          <w:sz w:val="24"/>
          <w:szCs w:val="24"/>
        </w:rPr>
      </w:pPr>
    </w:p>
    <w:p w:rsidR="00BC5AC4" w:rsidRDefault="00BC5AC4">
      <w:pPr>
        <w:pStyle w:val="biaogeleft"/>
        <w:spacing w:line="360" w:lineRule="auto"/>
        <w:ind w:firstLine="480"/>
        <w:rPr>
          <w:color w:val="000000"/>
        </w:rPr>
      </w:pPr>
    </w:p>
    <w:p w:rsidR="00BC5AC4" w:rsidRDefault="001E6A61">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BC5AC4" w:rsidRDefault="00BC5AC4">
      <w:pPr>
        <w:widowControl/>
        <w:jc w:val="left"/>
        <w:rPr>
          <w:rFonts w:ascii="宋体" w:hAnsi="宋体" w:cs="宋体"/>
          <w:color w:val="000000"/>
          <w:kern w:val="0"/>
          <w:sz w:val="24"/>
          <w:szCs w:val="24"/>
        </w:rPr>
      </w:pPr>
    </w:p>
    <w:p w:rsidR="00BC5AC4" w:rsidRDefault="001E6A61">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BC5AC4">
        <w:tc>
          <w:tcPr>
            <w:tcW w:w="891" w:type="dxa"/>
            <w:tcBorders>
              <w:top w:val="single" w:sz="8" w:space="0" w:color="000000"/>
              <w:left w:val="single" w:sz="8" w:space="0" w:color="000000"/>
              <w:bottom w:val="single" w:sz="6" w:space="0" w:color="000000"/>
              <w:right w:val="single" w:sz="8" w:space="0" w:color="000000"/>
            </w:tcBorders>
            <w:vAlign w:val="bottom"/>
          </w:tcPr>
          <w:p w:rsidR="00BC5AC4" w:rsidRDefault="001E6A61">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BC5AC4" w:rsidRDefault="001E6A61">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BC5AC4" w:rsidRDefault="001E6A61">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BC5AC4" w:rsidRDefault="001E6A61">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149,482,470.00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27.95</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342,000,000.00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63.96</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26,564,474.69</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4.97</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2,044,705.75</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0.38</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105.29</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14,650,764.85</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2.74</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C5AC4">
        <w:tc>
          <w:tcPr>
            <w:tcW w:w="891"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534,742,520.58</w:t>
            </w:r>
          </w:p>
        </w:tc>
        <w:tc>
          <w:tcPr>
            <w:tcW w:w="2395" w:type="dxa"/>
            <w:tcBorders>
              <w:top w:val="single" w:sz="8" w:space="0" w:color="000000"/>
              <w:left w:val="single" w:sz="8" w:space="0" w:color="000000"/>
              <w:bottom w:val="single" w:sz="8" w:space="0" w:color="000000"/>
              <w:right w:val="single" w:sz="8" w:space="0" w:color="000000"/>
            </w:tcBorders>
            <w:vAlign w:val="center"/>
          </w:tcPr>
          <w:p w:rsidR="00BC5AC4" w:rsidRDefault="001E6A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BC5AC4" w:rsidRDefault="00BC5AC4">
      <w:pPr>
        <w:widowControl/>
        <w:jc w:val="left"/>
        <w:rPr>
          <w:rFonts w:ascii="宋体" w:hAnsi="宋体" w:cs="宋体"/>
          <w:color w:val="000000"/>
          <w:kern w:val="0"/>
          <w:sz w:val="24"/>
          <w:szCs w:val="24"/>
        </w:rPr>
      </w:pPr>
    </w:p>
    <w:p w:rsidR="00BC5AC4" w:rsidRDefault="001E6A61">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BC5AC4">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BC5AC4" w:rsidRDefault="001E6A61">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BC5AC4" w:rsidRDefault="001E6A61">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BC5AC4" w:rsidRDefault="001E6A61">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BC5AC4" w:rsidRDefault="001E6A61">
            <w:pPr>
              <w:pStyle w:val="biaogecenter"/>
              <w:wordWrap w:val="0"/>
              <w:rPr>
                <w:color w:val="000000"/>
              </w:rPr>
            </w:pPr>
            <w:r>
              <w:rPr>
                <w:rFonts w:hint="eastAsia"/>
                <w:color w:val="000000"/>
              </w:rPr>
              <w:t>占产品资产净值比例（％）</w:t>
            </w:r>
          </w:p>
        </w:tc>
      </w:tr>
      <w:tr w:rsidR="00BC5AC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5AC4" w:rsidRDefault="001E6A61">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QTBZZ202004150001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苏常州金坛</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342,000,000.00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64.09%</w:t>
            </w:r>
          </w:p>
        </w:tc>
      </w:tr>
      <w:tr w:rsidR="00BC5AC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5AC4" w:rsidRDefault="001E6A61">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150577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如皋债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30,550,080.00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5.73%</w:t>
            </w:r>
          </w:p>
        </w:tc>
      </w:tr>
      <w:tr w:rsidR="00BC5AC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5AC4" w:rsidRDefault="001E6A61">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166251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吴中</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29,807,730.00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5.59%</w:t>
            </w:r>
          </w:p>
        </w:tc>
      </w:tr>
      <w:tr w:rsidR="00BC5AC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5AC4" w:rsidRDefault="001E6A61">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166136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康居</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29,798,040.00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5.58%</w:t>
            </w:r>
          </w:p>
        </w:tc>
      </w:tr>
      <w:tr w:rsidR="00BC5AC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5AC4" w:rsidRDefault="001E6A61">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166087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锡山</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29,754,210.00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5.58%</w:t>
            </w:r>
          </w:p>
        </w:tc>
      </w:tr>
      <w:tr w:rsidR="00BC5AC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5AC4" w:rsidRDefault="001E6A61">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166210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浦交</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29,572,410.00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5.54%</w:t>
            </w:r>
          </w:p>
        </w:tc>
      </w:tr>
      <w:tr w:rsidR="00BC5AC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5AC4" w:rsidRDefault="001E6A61">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26,564,474.69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C5AC4" w:rsidRDefault="001E6A61">
            <w:pPr>
              <w:jc w:val="right"/>
              <w:rPr>
                <w:rFonts w:ascii="宋体" w:hAnsi="宋体" w:cs="宋体"/>
                <w:color w:val="000000"/>
                <w:kern w:val="0"/>
                <w:sz w:val="24"/>
                <w:szCs w:val="24"/>
              </w:rPr>
            </w:pPr>
            <w:r>
              <w:rPr>
                <w:rFonts w:ascii="宋体" w:hAnsi="宋体" w:cs="宋体" w:hint="eastAsia"/>
                <w:color w:val="000000"/>
                <w:kern w:val="0"/>
                <w:sz w:val="24"/>
                <w:szCs w:val="24"/>
              </w:rPr>
              <w:t>4.98%</w:t>
            </w:r>
          </w:p>
        </w:tc>
      </w:tr>
    </w:tbl>
    <w:p w:rsidR="00BC5AC4" w:rsidRDefault="00BC5AC4">
      <w:pPr>
        <w:widowControl/>
        <w:jc w:val="left"/>
        <w:rPr>
          <w:rFonts w:ascii="宋体" w:hAnsi="宋体" w:cs="宋体"/>
          <w:b/>
          <w:sz w:val="24"/>
          <w:szCs w:val="24"/>
          <w:shd w:val="clear" w:color="auto" w:fill="FFFFFF"/>
        </w:rPr>
      </w:pPr>
    </w:p>
    <w:p w:rsidR="00BC5AC4" w:rsidRDefault="001E6A61">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BC5AC4" w:rsidRDefault="00BC5AC4">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BC5AC4">
        <w:tc>
          <w:tcPr>
            <w:tcW w:w="709"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风险状况</w:t>
            </w:r>
          </w:p>
        </w:tc>
      </w:tr>
      <w:tr w:rsidR="00BC5AC4">
        <w:tc>
          <w:tcPr>
            <w:tcW w:w="709"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常州市金坛区建设资产经营有限公司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17</w:t>
            </w:r>
            <w:r>
              <w:rPr>
                <w:rFonts w:hint="eastAsia"/>
                <w:shd w:val="clear" w:color="auto" w:fill="FFFFFF"/>
              </w:rPr>
              <w:t>苏常州金坛</w:t>
            </w:r>
            <w:r>
              <w:rPr>
                <w:rFonts w:hint="eastAsia"/>
                <w:shd w:val="clear" w:color="auto" w:fill="FFFFFF"/>
              </w:rPr>
              <w:t>ZR001(3+2)17CFZR0212</w:t>
            </w:r>
          </w:p>
        </w:tc>
        <w:tc>
          <w:tcPr>
            <w:tcW w:w="1417"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566</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BC5AC4" w:rsidRDefault="001E6A61">
            <w:pPr>
              <w:pStyle w:val="biaogecenter"/>
              <w:wordWrap w:val="0"/>
              <w:rPr>
                <w:shd w:val="clear" w:color="auto" w:fill="FFFFFF"/>
              </w:rPr>
            </w:pPr>
            <w:r>
              <w:rPr>
                <w:rFonts w:hint="eastAsia"/>
                <w:shd w:val="clear" w:color="auto" w:fill="FFFFFF"/>
              </w:rPr>
              <w:t>-</w:t>
            </w:r>
          </w:p>
        </w:tc>
      </w:tr>
    </w:tbl>
    <w:p w:rsidR="00BC5AC4" w:rsidRDefault="00BC5AC4">
      <w:pPr>
        <w:widowControl/>
        <w:jc w:val="left"/>
        <w:rPr>
          <w:rFonts w:ascii="宋体" w:hAnsi="宋体" w:cs="宋体"/>
          <w:color w:val="000000"/>
          <w:kern w:val="0"/>
          <w:sz w:val="24"/>
          <w:szCs w:val="24"/>
        </w:rPr>
      </w:pPr>
    </w:p>
    <w:p w:rsidR="00BC5AC4" w:rsidRDefault="001E6A61">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BC5AC4" w:rsidRDefault="001E6A6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BC5AC4" w:rsidRDefault="001E6A6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BC5AC4" w:rsidRDefault="00BC5AC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BC5AC4" w:rsidRDefault="00BC5AC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BC5AC4" w:rsidRDefault="00BC5AC4">
      <w:pPr>
        <w:widowControl/>
        <w:jc w:val="left"/>
        <w:rPr>
          <w:color w:val="000000"/>
        </w:rPr>
      </w:pPr>
    </w:p>
    <w:p w:rsidR="00BC5AC4" w:rsidRDefault="001E6A61">
      <w:pPr>
        <w:pStyle w:val="biaogeright"/>
        <w:rPr>
          <w:b/>
        </w:rPr>
      </w:pPr>
      <w:r>
        <w:rPr>
          <w:rFonts w:hint="eastAsia"/>
          <w:b/>
        </w:rPr>
        <w:t>南京银行股份有限公司</w:t>
      </w:r>
    </w:p>
    <w:p w:rsidR="00BC5AC4" w:rsidRDefault="001E6A61">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BC5AC4" w:rsidSect="00BC5AC4">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A61" w:rsidRDefault="001E6A61" w:rsidP="00BC5AC4">
      <w:r>
        <w:separator/>
      </w:r>
    </w:p>
  </w:endnote>
  <w:endnote w:type="continuationSeparator" w:id="1">
    <w:p w:rsidR="001E6A61" w:rsidRDefault="001E6A61" w:rsidP="00BC5A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AC4" w:rsidRDefault="00BC5AC4">
    <w:pPr>
      <w:pStyle w:val="a5"/>
      <w:framePr w:wrap="around" w:vAnchor="text" w:hAnchor="margin" w:xAlign="center" w:y="1"/>
      <w:rPr>
        <w:rStyle w:val="aa"/>
      </w:rPr>
    </w:pPr>
    <w:r>
      <w:fldChar w:fldCharType="begin"/>
    </w:r>
    <w:r w:rsidR="001E6A61">
      <w:rPr>
        <w:rStyle w:val="aa"/>
      </w:rPr>
      <w:instrText xml:space="preserve">PAGE  </w:instrText>
    </w:r>
    <w:r>
      <w:fldChar w:fldCharType="end"/>
    </w:r>
  </w:p>
  <w:p w:rsidR="00BC5AC4" w:rsidRDefault="00BC5AC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AC4" w:rsidRDefault="00BC5AC4">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A20" w:rsidRDefault="00CA7A2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AC4" w:rsidRDefault="00BC5AC4">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AC4" w:rsidRDefault="00BC5A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A61" w:rsidRDefault="001E6A61" w:rsidP="00BC5AC4">
      <w:r>
        <w:separator/>
      </w:r>
    </w:p>
  </w:footnote>
  <w:footnote w:type="continuationSeparator" w:id="1">
    <w:p w:rsidR="001E6A61" w:rsidRDefault="001E6A61" w:rsidP="00BC5A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A20" w:rsidRDefault="00CA7A2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A20" w:rsidRDefault="00CA7A2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A20" w:rsidRDefault="00CA7A20">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13781"/>
    <w:rsid w:val="000234FF"/>
    <w:rsid w:val="00034FF6"/>
    <w:rsid w:val="00044BFF"/>
    <w:rsid w:val="0005474A"/>
    <w:rsid w:val="00061725"/>
    <w:rsid w:val="00072777"/>
    <w:rsid w:val="00083BBD"/>
    <w:rsid w:val="00085898"/>
    <w:rsid w:val="000A3711"/>
    <w:rsid w:val="000D5066"/>
    <w:rsid w:val="000E53F4"/>
    <w:rsid w:val="000F6191"/>
    <w:rsid w:val="00130CE8"/>
    <w:rsid w:val="00152201"/>
    <w:rsid w:val="00172A27"/>
    <w:rsid w:val="00176636"/>
    <w:rsid w:val="00183C84"/>
    <w:rsid w:val="001C05F9"/>
    <w:rsid w:val="001C5395"/>
    <w:rsid w:val="001E6A61"/>
    <w:rsid w:val="00211F26"/>
    <w:rsid w:val="002263FC"/>
    <w:rsid w:val="002426D4"/>
    <w:rsid w:val="002A3AE9"/>
    <w:rsid w:val="002C196E"/>
    <w:rsid w:val="002D296F"/>
    <w:rsid w:val="002D75D0"/>
    <w:rsid w:val="002E795C"/>
    <w:rsid w:val="002F43FF"/>
    <w:rsid w:val="00305714"/>
    <w:rsid w:val="00313E71"/>
    <w:rsid w:val="00321CB7"/>
    <w:rsid w:val="003379A9"/>
    <w:rsid w:val="00350ADF"/>
    <w:rsid w:val="00355623"/>
    <w:rsid w:val="00396B05"/>
    <w:rsid w:val="003A0419"/>
    <w:rsid w:val="003C4D3B"/>
    <w:rsid w:val="003E09EA"/>
    <w:rsid w:val="003F0AC3"/>
    <w:rsid w:val="00456251"/>
    <w:rsid w:val="004C1607"/>
    <w:rsid w:val="004C1BE1"/>
    <w:rsid w:val="004F01F3"/>
    <w:rsid w:val="005069D8"/>
    <w:rsid w:val="0054728E"/>
    <w:rsid w:val="0056162E"/>
    <w:rsid w:val="00563B93"/>
    <w:rsid w:val="00567DB3"/>
    <w:rsid w:val="0057072F"/>
    <w:rsid w:val="00575BEA"/>
    <w:rsid w:val="005B3434"/>
    <w:rsid w:val="005E142C"/>
    <w:rsid w:val="005E2884"/>
    <w:rsid w:val="005E5050"/>
    <w:rsid w:val="005F2C7B"/>
    <w:rsid w:val="005F39DF"/>
    <w:rsid w:val="005F4D04"/>
    <w:rsid w:val="005F7DA9"/>
    <w:rsid w:val="006054F8"/>
    <w:rsid w:val="0065419A"/>
    <w:rsid w:val="00654220"/>
    <w:rsid w:val="00663B94"/>
    <w:rsid w:val="00677F66"/>
    <w:rsid w:val="00697ECB"/>
    <w:rsid w:val="006A1698"/>
    <w:rsid w:val="006C7F31"/>
    <w:rsid w:val="006E1C6F"/>
    <w:rsid w:val="006E4E94"/>
    <w:rsid w:val="00705ED2"/>
    <w:rsid w:val="00715FCA"/>
    <w:rsid w:val="00730BEE"/>
    <w:rsid w:val="0073101E"/>
    <w:rsid w:val="00735153"/>
    <w:rsid w:val="00745421"/>
    <w:rsid w:val="007A4219"/>
    <w:rsid w:val="007D09F4"/>
    <w:rsid w:val="0080200C"/>
    <w:rsid w:val="00814110"/>
    <w:rsid w:val="0082561A"/>
    <w:rsid w:val="00846B2E"/>
    <w:rsid w:val="00853290"/>
    <w:rsid w:val="0085663C"/>
    <w:rsid w:val="008768AB"/>
    <w:rsid w:val="00885FDE"/>
    <w:rsid w:val="008926F7"/>
    <w:rsid w:val="008A7510"/>
    <w:rsid w:val="008B517A"/>
    <w:rsid w:val="008C699B"/>
    <w:rsid w:val="008C78BD"/>
    <w:rsid w:val="008F0FA3"/>
    <w:rsid w:val="00900D90"/>
    <w:rsid w:val="009354D6"/>
    <w:rsid w:val="00954CDA"/>
    <w:rsid w:val="00970A98"/>
    <w:rsid w:val="009C781F"/>
    <w:rsid w:val="009D5296"/>
    <w:rsid w:val="009E0277"/>
    <w:rsid w:val="009E6170"/>
    <w:rsid w:val="00A37451"/>
    <w:rsid w:val="00A40100"/>
    <w:rsid w:val="00A4484F"/>
    <w:rsid w:val="00A4634F"/>
    <w:rsid w:val="00A76D4B"/>
    <w:rsid w:val="00A77C47"/>
    <w:rsid w:val="00A805E0"/>
    <w:rsid w:val="00A9119C"/>
    <w:rsid w:val="00A91CD2"/>
    <w:rsid w:val="00AA0C05"/>
    <w:rsid w:val="00AA4549"/>
    <w:rsid w:val="00AC5144"/>
    <w:rsid w:val="00B13014"/>
    <w:rsid w:val="00B17559"/>
    <w:rsid w:val="00B33B19"/>
    <w:rsid w:val="00B404E6"/>
    <w:rsid w:val="00B427A2"/>
    <w:rsid w:val="00B4360D"/>
    <w:rsid w:val="00B61EA9"/>
    <w:rsid w:val="00B670D1"/>
    <w:rsid w:val="00B74DCA"/>
    <w:rsid w:val="00B93795"/>
    <w:rsid w:val="00BC02E0"/>
    <w:rsid w:val="00BC3903"/>
    <w:rsid w:val="00BC5AC4"/>
    <w:rsid w:val="00BE47E0"/>
    <w:rsid w:val="00BF75C8"/>
    <w:rsid w:val="00C1762E"/>
    <w:rsid w:val="00C22DF9"/>
    <w:rsid w:val="00C25123"/>
    <w:rsid w:val="00C26A81"/>
    <w:rsid w:val="00C30A48"/>
    <w:rsid w:val="00C375A7"/>
    <w:rsid w:val="00C62DF8"/>
    <w:rsid w:val="00C640FB"/>
    <w:rsid w:val="00CA1E89"/>
    <w:rsid w:val="00CA51B1"/>
    <w:rsid w:val="00CA7A20"/>
    <w:rsid w:val="00CB054E"/>
    <w:rsid w:val="00CC453D"/>
    <w:rsid w:val="00CC52D7"/>
    <w:rsid w:val="00D23AB6"/>
    <w:rsid w:val="00D42895"/>
    <w:rsid w:val="00D50309"/>
    <w:rsid w:val="00D51AA9"/>
    <w:rsid w:val="00D7264A"/>
    <w:rsid w:val="00D84E43"/>
    <w:rsid w:val="00D870DF"/>
    <w:rsid w:val="00DA2FDE"/>
    <w:rsid w:val="00DB0C2F"/>
    <w:rsid w:val="00DB16E2"/>
    <w:rsid w:val="00DB3BF6"/>
    <w:rsid w:val="00DC31CC"/>
    <w:rsid w:val="00DC728A"/>
    <w:rsid w:val="00DD2F3C"/>
    <w:rsid w:val="00E1059D"/>
    <w:rsid w:val="00E155DF"/>
    <w:rsid w:val="00E246E1"/>
    <w:rsid w:val="00E560F1"/>
    <w:rsid w:val="00E944FA"/>
    <w:rsid w:val="00E9797A"/>
    <w:rsid w:val="00EA7ABC"/>
    <w:rsid w:val="00EB2746"/>
    <w:rsid w:val="00EC1261"/>
    <w:rsid w:val="00EE0436"/>
    <w:rsid w:val="00F120E3"/>
    <w:rsid w:val="00F1465C"/>
    <w:rsid w:val="00F35863"/>
    <w:rsid w:val="00F41324"/>
    <w:rsid w:val="00F50CC3"/>
    <w:rsid w:val="00F57C12"/>
    <w:rsid w:val="00F609FD"/>
    <w:rsid w:val="00F859AB"/>
    <w:rsid w:val="00F950D0"/>
    <w:rsid w:val="00FA2C26"/>
    <w:rsid w:val="00FF22BA"/>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0642BB"/>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85E6601"/>
    <w:rsid w:val="4BCA232B"/>
    <w:rsid w:val="4E276A76"/>
    <w:rsid w:val="506954C1"/>
    <w:rsid w:val="509017BA"/>
    <w:rsid w:val="51482FC3"/>
    <w:rsid w:val="52830253"/>
    <w:rsid w:val="541C469D"/>
    <w:rsid w:val="55F73C55"/>
    <w:rsid w:val="5617604A"/>
    <w:rsid w:val="5BE61B5E"/>
    <w:rsid w:val="5CA05A23"/>
    <w:rsid w:val="5EC71EB3"/>
    <w:rsid w:val="5FDA20AA"/>
    <w:rsid w:val="602D020F"/>
    <w:rsid w:val="60EA4BD2"/>
    <w:rsid w:val="62BD595C"/>
    <w:rsid w:val="66F47EBC"/>
    <w:rsid w:val="68024AFF"/>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AC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C5AC4"/>
    <w:pPr>
      <w:jc w:val="left"/>
    </w:pPr>
  </w:style>
  <w:style w:type="paragraph" w:styleId="a4">
    <w:name w:val="Balloon Text"/>
    <w:basedOn w:val="a"/>
    <w:link w:val="Char0"/>
    <w:uiPriority w:val="99"/>
    <w:unhideWhenUsed/>
    <w:qFormat/>
    <w:rsid w:val="00BC5AC4"/>
    <w:rPr>
      <w:sz w:val="18"/>
      <w:szCs w:val="18"/>
    </w:rPr>
  </w:style>
  <w:style w:type="paragraph" w:styleId="a5">
    <w:name w:val="footer"/>
    <w:basedOn w:val="a"/>
    <w:link w:val="Char1"/>
    <w:uiPriority w:val="99"/>
    <w:unhideWhenUsed/>
    <w:qFormat/>
    <w:rsid w:val="00BC5AC4"/>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BC5AC4"/>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BC5AC4"/>
    <w:pPr>
      <w:snapToGrid w:val="0"/>
      <w:jc w:val="left"/>
    </w:pPr>
    <w:rPr>
      <w:sz w:val="18"/>
    </w:rPr>
  </w:style>
  <w:style w:type="paragraph" w:styleId="a8">
    <w:name w:val="Normal (Web)"/>
    <w:basedOn w:val="a"/>
    <w:qFormat/>
    <w:rsid w:val="00BC5AC4"/>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BC5AC4"/>
    <w:rPr>
      <w:b/>
      <w:bCs/>
    </w:rPr>
  </w:style>
  <w:style w:type="character" w:styleId="aa">
    <w:name w:val="page number"/>
    <w:basedOn w:val="a0"/>
    <w:uiPriority w:val="99"/>
    <w:unhideWhenUsed/>
    <w:qFormat/>
    <w:rsid w:val="00BC5AC4"/>
  </w:style>
  <w:style w:type="character" w:styleId="ab">
    <w:name w:val="annotation reference"/>
    <w:uiPriority w:val="99"/>
    <w:unhideWhenUsed/>
    <w:qFormat/>
    <w:rsid w:val="00BC5AC4"/>
    <w:rPr>
      <w:sz w:val="21"/>
      <w:szCs w:val="21"/>
    </w:rPr>
  </w:style>
  <w:style w:type="character" w:styleId="ac">
    <w:name w:val="footnote reference"/>
    <w:uiPriority w:val="99"/>
    <w:unhideWhenUsed/>
    <w:qFormat/>
    <w:rsid w:val="00BC5AC4"/>
    <w:rPr>
      <w:vertAlign w:val="superscript"/>
    </w:rPr>
  </w:style>
  <w:style w:type="character" w:customStyle="1" w:styleId="Char0">
    <w:name w:val="批注框文本 Char"/>
    <w:link w:val="a4"/>
    <w:uiPriority w:val="99"/>
    <w:semiHidden/>
    <w:qFormat/>
    <w:rsid w:val="00BC5AC4"/>
    <w:rPr>
      <w:kern w:val="2"/>
      <w:sz w:val="18"/>
      <w:szCs w:val="18"/>
    </w:rPr>
  </w:style>
  <w:style w:type="character" w:customStyle="1" w:styleId="Char2">
    <w:name w:val="页眉 Char"/>
    <w:link w:val="a6"/>
    <w:uiPriority w:val="99"/>
    <w:semiHidden/>
    <w:qFormat/>
    <w:locked/>
    <w:rsid w:val="00BC5AC4"/>
    <w:rPr>
      <w:rFonts w:ascii="Times New Roman" w:hAnsi="Times New Roman" w:cs="Times New Roman" w:hint="default"/>
      <w:sz w:val="18"/>
      <w:szCs w:val="18"/>
    </w:rPr>
  </w:style>
  <w:style w:type="character" w:customStyle="1" w:styleId="Char3">
    <w:name w:val="批注主题 Char"/>
    <w:link w:val="a9"/>
    <w:uiPriority w:val="99"/>
    <w:semiHidden/>
    <w:qFormat/>
    <w:rsid w:val="00BC5AC4"/>
    <w:rPr>
      <w:b/>
      <w:bCs/>
      <w:kern w:val="2"/>
      <w:sz w:val="21"/>
      <w:szCs w:val="22"/>
    </w:rPr>
  </w:style>
  <w:style w:type="character" w:customStyle="1" w:styleId="Char1">
    <w:name w:val="页脚 Char"/>
    <w:link w:val="a5"/>
    <w:uiPriority w:val="99"/>
    <w:semiHidden/>
    <w:qFormat/>
    <w:locked/>
    <w:rsid w:val="00BC5AC4"/>
    <w:rPr>
      <w:rFonts w:ascii="Times New Roman" w:hAnsi="Times New Roman" w:cs="Times New Roman" w:hint="default"/>
      <w:sz w:val="18"/>
      <w:szCs w:val="18"/>
    </w:rPr>
  </w:style>
  <w:style w:type="character" w:customStyle="1" w:styleId="Char">
    <w:name w:val="批注文字 Char"/>
    <w:link w:val="a3"/>
    <w:uiPriority w:val="99"/>
    <w:qFormat/>
    <w:rsid w:val="00BC5AC4"/>
    <w:rPr>
      <w:kern w:val="2"/>
      <w:sz w:val="21"/>
      <w:szCs w:val="22"/>
    </w:rPr>
  </w:style>
  <w:style w:type="paragraph" w:customStyle="1" w:styleId="zhongyaotishi">
    <w:name w:val="zhongyaotishi"/>
    <w:basedOn w:val="a"/>
    <w:qFormat/>
    <w:rsid w:val="00BC5AC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BC5AC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BC5AC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BC5AC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BC5AC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BC5AC4"/>
    <w:pPr>
      <w:widowControl w:val="0"/>
      <w:jc w:val="center"/>
    </w:pPr>
    <w:rPr>
      <w:kern w:val="2"/>
      <w:sz w:val="33"/>
      <w:szCs w:val="22"/>
    </w:rPr>
  </w:style>
  <w:style w:type="paragraph" w:customStyle="1" w:styleId="biaogeleft">
    <w:name w:val="biaoge_left"/>
    <w:basedOn w:val="a"/>
    <w:qFormat/>
    <w:rsid w:val="00BC5AC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BC5AC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BC5AC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BC5AC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BC5AC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BC5AC4"/>
    <w:pPr>
      <w:widowControl w:val="0"/>
    </w:pPr>
    <w:rPr>
      <w:kern w:val="2"/>
      <w:sz w:val="21"/>
      <w:szCs w:val="22"/>
    </w:rPr>
  </w:style>
  <w:style w:type="paragraph" w:customStyle="1" w:styleId="neirong">
    <w:name w:val="neirong"/>
    <w:basedOn w:val="a"/>
    <w:qFormat/>
    <w:rsid w:val="00BC5AC4"/>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BC5AC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802</Words>
  <Characters>4578</Characters>
  <Application>Microsoft Office Word</Application>
  <DocSecurity>0</DocSecurity>
  <Lines>38</Lines>
  <Paragraphs>10</Paragraphs>
  <ScaleCrop>false</ScaleCrop>
  <Company>微软中国</Company>
  <LinksUpToDate>false</LinksUpToDate>
  <CharactersWithSpaces>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38</cp:revision>
  <cp:lastPrinted>2019-09-11T00:56:00Z</cp:lastPrinted>
  <dcterms:created xsi:type="dcterms:W3CDTF">2020-12-16T03:30:00Z</dcterms:created>
  <dcterms:modified xsi:type="dcterms:W3CDTF">2021-03-30T02:19:00Z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4689AD2690E44A0084F3531CBE2F27CF</vt:lpwstr>
  </property>
</Properties>
</file>