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4DA" w:rsidRDefault="00BB44DA">
      <w:pPr>
        <w:pStyle w:val="dazhangjie"/>
        <w:rPr>
          <w:b/>
          <w:bCs/>
          <w:color w:val="000000"/>
        </w:rPr>
      </w:pPr>
    </w:p>
    <w:p w:rsidR="00BB44DA" w:rsidRDefault="00BB44DA">
      <w:pPr>
        <w:pStyle w:val="dazhangjie"/>
        <w:rPr>
          <w:b/>
          <w:bCs/>
          <w:color w:val="000000"/>
        </w:rPr>
      </w:pPr>
    </w:p>
    <w:p w:rsidR="00BB44DA" w:rsidRDefault="00BB44DA">
      <w:pPr>
        <w:pStyle w:val="dazhangjie"/>
        <w:rPr>
          <w:b/>
          <w:bCs/>
          <w:color w:val="000000"/>
        </w:rPr>
      </w:pPr>
    </w:p>
    <w:p w:rsidR="00BB44DA" w:rsidRDefault="00D9408E">
      <w:pPr>
        <w:pStyle w:val="dazhangjie"/>
        <w:spacing w:before="240" w:after="120"/>
        <w:rPr>
          <w:rFonts w:ascii="黑体" w:eastAsia="黑体" w:hAnsi="黑体"/>
          <w:b/>
          <w:bCs/>
          <w:sz w:val="36"/>
        </w:rPr>
      </w:pPr>
      <w:r>
        <w:rPr>
          <w:rFonts w:ascii="黑体" w:eastAsia="黑体" w:hAnsi="黑体" w:hint="eastAsia"/>
          <w:b/>
          <w:bCs/>
          <w:sz w:val="36"/>
        </w:rPr>
        <w:t>南京银行珠联璧合安稳</w:t>
      </w:r>
      <w:r>
        <w:rPr>
          <w:rFonts w:ascii="黑体" w:eastAsia="黑体" w:hAnsi="黑体" w:hint="eastAsia"/>
          <w:b/>
          <w:bCs/>
          <w:sz w:val="36"/>
        </w:rPr>
        <w:t>2001</w:t>
      </w:r>
      <w:r>
        <w:rPr>
          <w:rFonts w:ascii="黑体" w:eastAsia="黑体" w:hAnsi="黑体" w:hint="eastAsia"/>
          <w:b/>
          <w:bCs/>
          <w:sz w:val="36"/>
        </w:rPr>
        <w:t>一年定开公募人民币理财产品</w:t>
      </w:r>
    </w:p>
    <w:p w:rsidR="00BB44DA" w:rsidRDefault="00D9408E">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BB44DA" w:rsidRDefault="00BB44DA">
      <w:pPr>
        <w:pStyle w:val="dazhangjie"/>
        <w:spacing w:before="240" w:after="120"/>
        <w:rPr>
          <w:rFonts w:ascii="黑体" w:eastAsia="黑体" w:hAnsi="黑体"/>
          <w:b/>
          <w:bCs/>
          <w:color w:val="000000"/>
          <w:sz w:val="36"/>
        </w:rPr>
      </w:pPr>
    </w:p>
    <w:p w:rsidR="00BB44DA" w:rsidRDefault="00BB44DA">
      <w:pPr>
        <w:pStyle w:val="dazhangjie"/>
        <w:spacing w:before="240" w:after="120"/>
        <w:rPr>
          <w:rFonts w:ascii="黑体" w:eastAsia="黑体" w:hAnsi="黑体"/>
          <w:b/>
          <w:bCs/>
          <w:color w:val="000000"/>
          <w:sz w:val="36"/>
        </w:rPr>
      </w:pPr>
    </w:p>
    <w:p w:rsidR="00BB44DA" w:rsidRDefault="00BB44DA">
      <w:pPr>
        <w:pStyle w:val="dazhangjie"/>
        <w:spacing w:before="240" w:after="120"/>
        <w:rPr>
          <w:rFonts w:ascii="黑体" w:eastAsia="黑体" w:hAnsi="黑体"/>
          <w:b/>
          <w:bCs/>
          <w:color w:val="000000"/>
          <w:sz w:val="36"/>
        </w:rPr>
      </w:pPr>
    </w:p>
    <w:p w:rsidR="00BB44DA" w:rsidRDefault="00BB44DA">
      <w:pPr>
        <w:pStyle w:val="dazhangjie"/>
        <w:spacing w:before="240" w:after="120"/>
        <w:rPr>
          <w:rFonts w:ascii="黑体" w:eastAsia="黑体" w:hAnsi="黑体"/>
          <w:b/>
          <w:bCs/>
          <w:color w:val="000000"/>
          <w:sz w:val="36"/>
        </w:rPr>
      </w:pPr>
    </w:p>
    <w:p w:rsidR="00BB44DA" w:rsidRDefault="00BB44DA">
      <w:pPr>
        <w:pStyle w:val="dazhangjie"/>
        <w:spacing w:before="240" w:after="120"/>
        <w:rPr>
          <w:rFonts w:ascii="黑体" w:eastAsia="黑体" w:hAnsi="黑体"/>
          <w:b/>
          <w:bCs/>
          <w:color w:val="000000"/>
          <w:sz w:val="36"/>
        </w:rPr>
      </w:pPr>
    </w:p>
    <w:p w:rsidR="00BB44DA" w:rsidRDefault="00BB44DA">
      <w:pPr>
        <w:pStyle w:val="dazhangjie"/>
        <w:spacing w:before="240" w:after="120"/>
        <w:rPr>
          <w:rFonts w:ascii="黑体" w:eastAsia="黑体" w:hAnsi="黑体"/>
          <w:b/>
          <w:bCs/>
          <w:color w:val="000000"/>
          <w:sz w:val="36"/>
        </w:rPr>
      </w:pPr>
    </w:p>
    <w:p w:rsidR="00BB44DA" w:rsidRDefault="00BB44DA">
      <w:pPr>
        <w:pStyle w:val="dazhangjie"/>
        <w:spacing w:before="240" w:after="120"/>
        <w:rPr>
          <w:rFonts w:ascii="黑体" w:eastAsia="黑体" w:hAnsi="黑体"/>
          <w:b/>
          <w:bCs/>
          <w:color w:val="000000"/>
          <w:sz w:val="36"/>
        </w:rPr>
      </w:pPr>
    </w:p>
    <w:p w:rsidR="00BB44DA" w:rsidRDefault="00BB44DA">
      <w:pPr>
        <w:pStyle w:val="dazhangjie"/>
        <w:spacing w:before="240" w:after="120"/>
        <w:rPr>
          <w:rFonts w:ascii="黑体" w:eastAsia="黑体" w:hAnsi="黑体"/>
          <w:b/>
          <w:bCs/>
          <w:color w:val="000000"/>
          <w:sz w:val="36"/>
        </w:rPr>
      </w:pPr>
    </w:p>
    <w:p w:rsidR="00BB44DA" w:rsidRDefault="00BB44DA">
      <w:pPr>
        <w:pStyle w:val="dazhangjie"/>
        <w:spacing w:before="240" w:after="120"/>
        <w:ind w:left="0"/>
        <w:jc w:val="both"/>
        <w:rPr>
          <w:rFonts w:ascii="黑体" w:eastAsia="黑体" w:hAnsi="黑体"/>
          <w:b/>
          <w:bCs/>
          <w:color w:val="000000"/>
          <w:sz w:val="36"/>
        </w:rPr>
      </w:pPr>
    </w:p>
    <w:p w:rsidR="00BB44DA" w:rsidRDefault="00D9408E">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BB44DA" w:rsidRDefault="00D9408E">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BB44DA" w:rsidRDefault="00BB44DA">
      <w:pPr>
        <w:widowControl/>
        <w:jc w:val="left"/>
        <w:rPr>
          <w:rFonts w:ascii="宋体" w:hAnsi="宋体" w:cs="宋体"/>
          <w:color w:val="000000"/>
          <w:kern w:val="0"/>
          <w:sz w:val="24"/>
          <w:szCs w:val="24"/>
        </w:rPr>
        <w:sectPr w:rsidR="00BB44D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BB44DA" w:rsidRDefault="00BB44DA">
      <w:pPr>
        <w:widowControl/>
        <w:jc w:val="left"/>
        <w:rPr>
          <w:rFonts w:ascii="宋体" w:hAnsi="宋体" w:cs="宋体"/>
          <w:color w:val="000000"/>
          <w:kern w:val="0"/>
          <w:sz w:val="24"/>
          <w:szCs w:val="24"/>
        </w:rPr>
      </w:pPr>
    </w:p>
    <w:p w:rsidR="00BB44DA" w:rsidRDefault="00D9408E">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BB44DA" w:rsidRDefault="00BB44DA">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rPr>
              <w:t>南京银行珠联璧合安稳</w:t>
            </w:r>
            <w:r>
              <w:rPr>
                <w:rFonts w:hint="eastAsia"/>
              </w:rPr>
              <w:t>2001</w:t>
            </w:r>
            <w:r>
              <w:rPr>
                <w:rFonts w:hint="eastAsia"/>
              </w:rPr>
              <w:t>一年定开公募人民币理财产品</w:t>
            </w:r>
          </w:p>
        </w:tc>
      </w:tr>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pPr>
            <w:r>
              <w:t>C1086920000001</w:t>
            </w:r>
            <w:r>
              <w:rPr>
                <w:rFonts w:hint="eastAsia"/>
              </w:rPr>
              <w:t>（投资者可依据该编码在中国理财网</w:t>
            </w:r>
            <w:r>
              <w:rPr>
                <w:rFonts w:hint="eastAsia"/>
              </w:rPr>
              <w:t>www.chinawealth.com.cn</w:t>
            </w:r>
            <w:r>
              <w:rPr>
                <w:rFonts w:hint="eastAsia"/>
              </w:rPr>
              <w:t>查询理财产品相关信息）</w:t>
            </w:r>
          </w:p>
        </w:tc>
      </w:tr>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rPr>
              <w:t>开放式</w:t>
            </w:r>
            <w:r>
              <w:rPr>
                <w:rFonts w:hint="eastAsia"/>
              </w:rPr>
              <w:t>净值型</w:t>
            </w:r>
          </w:p>
        </w:tc>
      </w:tr>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E570D9">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rPr>
              <w:t>2020</w:t>
            </w:r>
            <w:r>
              <w:rPr>
                <w:rFonts w:hint="eastAsia"/>
              </w:rPr>
              <w:t>年</w:t>
            </w:r>
            <w:r>
              <w:rPr>
                <w:rFonts w:hint="eastAsia"/>
              </w:rPr>
              <w:t>01</w:t>
            </w:r>
            <w:r>
              <w:rPr>
                <w:rFonts w:hint="eastAsia"/>
              </w:rPr>
              <w:t>月</w:t>
            </w:r>
            <w:r>
              <w:rPr>
                <w:rFonts w:hint="eastAsia"/>
              </w:rPr>
              <w:t>16</w:t>
            </w:r>
            <w:r>
              <w:rPr>
                <w:rFonts w:hint="eastAsia"/>
              </w:rPr>
              <w:t>日</w:t>
            </w:r>
          </w:p>
        </w:tc>
      </w:tr>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highlight w:val="yellow"/>
              </w:rPr>
            </w:pPr>
            <w:r>
              <w:rPr>
                <w:rFonts w:hint="eastAsia"/>
              </w:rPr>
              <w:t>692,291,000.00</w:t>
            </w:r>
            <w:r>
              <w:rPr>
                <w:rFonts w:hint="eastAsia"/>
              </w:rPr>
              <w:t>份</w:t>
            </w:r>
          </w:p>
        </w:tc>
      </w:tr>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100.42%</w:t>
            </w:r>
          </w:p>
        </w:tc>
      </w:tr>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w:t>
            </w:r>
          </w:p>
        </w:tc>
      </w:tr>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rPr>
              <w:t>南京银行股份有限公司</w:t>
            </w:r>
          </w:p>
        </w:tc>
      </w:tr>
      <w:tr w:rsidR="00BB44DA">
        <w:tc>
          <w:tcPr>
            <w:tcW w:w="281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left"/>
              <w:wordWrap w:val="0"/>
              <w:rPr>
                <w:color w:val="000000"/>
              </w:rPr>
            </w:pPr>
            <w:r>
              <w:rPr>
                <w:rFonts w:hint="eastAsia"/>
              </w:rPr>
              <w:t>南京银行股份有限公司</w:t>
            </w:r>
          </w:p>
        </w:tc>
      </w:tr>
    </w:tbl>
    <w:p w:rsidR="00BB44DA" w:rsidRDefault="00BB44DA">
      <w:pPr>
        <w:widowControl/>
        <w:jc w:val="left"/>
        <w:rPr>
          <w:rFonts w:ascii="宋体" w:hAnsi="宋体" w:cs="宋体"/>
          <w:color w:val="000000"/>
          <w:kern w:val="0"/>
          <w:sz w:val="24"/>
          <w:szCs w:val="24"/>
        </w:rPr>
      </w:pPr>
    </w:p>
    <w:p w:rsidR="00BB44DA" w:rsidRDefault="00BB44DA">
      <w:pPr>
        <w:pStyle w:val="dazhangjie"/>
        <w:rPr>
          <w:rFonts w:hAnsi="Calibri"/>
          <w:b/>
          <w:color w:val="000000"/>
        </w:rPr>
      </w:pPr>
    </w:p>
    <w:p w:rsidR="00BB44DA" w:rsidRDefault="00D9408E">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BB44DA" w:rsidRDefault="00BB44DA">
      <w:pPr>
        <w:widowControl/>
        <w:jc w:val="left"/>
        <w:rPr>
          <w:rFonts w:ascii="宋体" w:hAnsi="宋体" w:cs="宋体"/>
          <w:color w:val="000000"/>
          <w:kern w:val="0"/>
          <w:sz w:val="24"/>
          <w:szCs w:val="24"/>
        </w:rPr>
      </w:pPr>
    </w:p>
    <w:p w:rsidR="00BB44DA" w:rsidRDefault="00D9408E">
      <w:pPr>
        <w:pStyle w:val="zhangjiep"/>
        <w:rPr>
          <w:color w:val="000000"/>
        </w:rPr>
      </w:pPr>
      <w:r>
        <w:rPr>
          <w:rFonts w:hint="eastAsia"/>
          <w:b/>
          <w:bCs/>
          <w:color w:val="000000"/>
        </w:rPr>
        <w:t xml:space="preserve">2.1 </w:t>
      </w:r>
      <w:r>
        <w:rPr>
          <w:rFonts w:hint="eastAsia"/>
          <w:b/>
          <w:bCs/>
          <w:color w:val="000000"/>
        </w:rPr>
        <w:t>主要财务指标</w:t>
      </w:r>
    </w:p>
    <w:p w:rsidR="00BB44DA" w:rsidRDefault="00D9408E">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BB44DA">
        <w:tc>
          <w:tcPr>
            <w:tcW w:w="5220"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dazhangjie"/>
              <w:spacing w:before="240" w:after="120"/>
              <w:rPr>
                <w:color w:val="000000"/>
              </w:rPr>
            </w:pPr>
            <w:r>
              <w:t>报告期（</w:t>
            </w:r>
            <w:r>
              <w:rPr>
                <w:rFonts w:hint="eastAsia"/>
              </w:rPr>
              <w:t>2020</w:t>
            </w:r>
            <w:r>
              <w:rPr>
                <w:rFonts w:hint="eastAsia"/>
              </w:rPr>
              <w:t>年</w:t>
            </w:r>
            <w:r>
              <w:rPr>
                <w:rFonts w:hint="eastAsia"/>
              </w:rPr>
              <w:t>01</w:t>
            </w:r>
            <w:r>
              <w:rPr>
                <w:rFonts w:hint="eastAsia"/>
              </w:rPr>
              <w:t>月</w:t>
            </w:r>
            <w:r>
              <w:rPr>
                <w:rFonts w:hint="eastAsia"/>
              </w:rPr>
              <w:t>16</w:t>
            </w:r>
            <w:r>
              <w:rPr>
                <w:rFonts w:hint="eastAsia"/>
              </w:rPr>
              <w:t>日</w:t>
            </w:r>
            <w:r>
              <w:t>- 2020</w:t>
            </w:r>
            <w:r>
              <w:t>年</w:t>
            </w:r>
            <w:r>
              <w:t>12</w:t>
            </w:r>
            <w:r>
              <w:t>月</w:t>
            </w:r>
            <w:r>
              <w:t>31</w:t>
            </w:r>
            <w:r>
              <w:t>日）</w:t>
            </w:r>
          </w:p>
        </w:tc>
      </w:tr>
      <w:tr w:rsidR="00BB44DA">
        <w:tc>
          <w:tcPr>
            <w:tcW w:w="5220"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right"/>
              <w:jc w:val="center"/>
              <w:rPr>
                <w:color w:val="000000"/>
                <w:highlight w:val="yellow"/>
              </w:rPr>
            </w:pPr>
            <w:r>
              <w:rPr>
                <w:rFonts w:hint="eastAsia"/>
              </w:rPr>
              <w:t>724,561,194.07</w:t>
            </w:r>
          </w:p>
        </w:tc>
      </w:tr>
      <w:tr w:rsidR="00BB44DA">
        <w:tc>
          <w:tcPr>
            <w:tcW w:w="5220"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right"/>
              <w:jc w:val="center"/>
              <w:rPr>
                <w:color w:val="000000"/>
                <w:highlight w:val="yellow"/>
              </w:rPr>
            </w:pPr>
            <w:r>
              <w:rPr>
                <w:rFonts w:hint="eastAsia"/>
              </w:rPr>
              <w:t>1.0466</w:t>
            </w:r>
          </w:p>
        </w:tc>
      </w:tr>
      <w:tr w:rsidR="00BB44DA">
        <w:tc>
          <w:tcPr>
            <w:tcW w:w="5220"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right"/>
              <w:jc w:val="center"/>
              <w:rPr>
                <w:color w:val="000000"/>
                <w:highlight w:val="yellow"/>
              </w:rPr>
            </w:pPr>
            <w:r>
              <w:rPr>
                <w:color w:val="000000"/>
              </w:rPr>
              <w:t>1.0466</w:t>
            </w:r>
          </w:p>
        </w:tc>
      </w:tr>
      <w:tr w:rsidR="00BB44DA">
        <w:tc>
          <w:tcPr>
            <w:tcW w:w="5220" w:type="dxa"/>
            <w:vAlign w:val="center"/>
          </w:tcPr>
          <w:p w:rsidR="00BB44DA" w:rsidRDefault="00BB44DA">
            <w:pPr>
              <w:widowControl/>
              <w:jc w:val="left"/>
              <w:rPr>
                <w:rFonts w:ascii="宋体" w:hAnsi="宋体" w:cs="宋体"/>
                <w:color w:val="000000"/>
                <w:kern w:val="0"/>
                <w:sz w:val="24"/>
                <w:szCs w:val="24"/>
              </w:rPr>
            </w:pPr>
          </w:p>
        </w:tc>
        <w:tc>
          <w:tcPr>
            <w:tcW w:w="3825" w:type="dxa"/>
            <w:vAlign w:val="center"/>
          </w:tcPr>
          <w:p w:rsidR="00BB44DA" w:rsidRDefault="00BB44DA">
            <w:pPr>
              <w:widowControl/>
              <w:jc w:val="left"/>
              <w:rPr>
                <w:color w:val="000000"/>
                <w:kern w:val="0"/>
                <w:sz w:val="20"/>
                <w:szCs w:val="20"/>
              </w:rPr>
            </w:pPr>
          </w:p>
        </w:tc>
      </w:tr>
    </w:tbl>
    <w:p w:rsidR="00BB44DA" w:rsidRDefault="00BB44DA">
      <w:pPr>
        <w:pStyle w:val="biaogeleft"/>
        <w:ind w:left="0"/>
        <w:rPr>
          <w:color w:val="000000"/>
        </w:rPr>
      </w:pPr>
    </w:p>
    <w:p w:rsidR="00BB44DA" w:rsidRDefault="00BB44DA">
      <w:pPr>
        <w:widowControl/>
        <w:jc w:val="left"/>
        <w:rPr>
          <w:rFonts w:ascii="宋体" w:hAnsi="宋体" w:cs="宋体"/>
          <w:color w:val="000000"/>
          <w:kern w:val="0"/>
          <w:sz w:val="24"/>
          <w:szCs w:val="24"/>
        </w:rPr>
      </w:pPr>
    </w:p>
    <w:p w:rsidR="00BB44DA" w:rsidRDefault="00D9408E">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BB44DA" w:rsidRDefault="00D9408E">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w:t>
      </w:r>
      <w:r>
        <w:rPr>
          <w:b/>
          <w:color w:val="000000"/>
        </w:rPr>
        <w:t>报告期内</w:t>
      </w:r>
      <w:r>
        <w:rPr>
          <w:rFonts w:hint="eastAsia"/>
          <w:b/>
          <w:color w:val="000000"/>
        </w:rPr>
        <w:t>产品</w:t>
      </w:r>
      <w:r>
        <w:rPr>
          <w:b/>
          <w:color w:val="000000"/>
        </w:rPr>
        <w:t>的投资策略和运作分析</w:t>
      </w:r>
    </w:p>
    <w:p w:rsidR="00BB44DA" w:rsidRDefault="00D9408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Theme="minorEastAsia" w:eastAsiaTheme="minorEastAsia" w:hAnsiTheme="minorEastAsia" w:hint="eastAsia"/>
          <w:sz w:val="24"/>
          <w:szCs w:val="24"/>
        </w:rPr>
        <w:t>6.8%</w:t>
      </w:r>
      <w:r>
        <w:rPr>
          <w:rFonts w:asciiTheme="minorEastAsia" w:eastAsiaTheme="minorEastAsia" w:hAnsiTheme="minorEastAsia" w:hint="eastAsia"/>
          <w:sz w:val="24"/>
          <w:szCs w:val="24"/>
        </w:rPr>
        <w:t>。二季度以来，全国疫情防控和复工复产取得明显成效，在宏观政策不断加大力度的背景下，国内经济呈全面复苏态势，并在世界主要经济体中</w:t>
      </w:r>
      <w:r>
        <w:rPr>
          <w:rFonts w:asciiTheme="minorEastAsia" w:eastAsiaTheme="minorEastAsia" w:hAnsiTheme="minorEastAsia" w:hint="eastAsia"/>
          <w:sz w:val="24"/>
          <w:szCs w:val="24"/>
        </w:rPr>
        <w:lastRenderedPageBreak/>
        <w:t>率先实现正增长。据初步核算，</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年国内生产总值</w:t>
      </w:r>
      <w:r>
        <w:rPr>
          <w:rFonts w:asciiTheme="minorEastAsia" w:eastAsiaTheme="minorEastAsia" w:hAnsiTheme="minorEastAsia" w:hint="eastAsia"/>
          <w:sz w:val="24"/>
          <w:szCs w:val="24"/>
        </w:rPr>
        <w:t>101.6</w:t>
      </w:r>
      <w:r>
        <w:rPr>
          <w:rFonts w:asciiTheme="minorEastAsia" w:eastAsiaTheme="minorEastAsia" w:hAnsiTheme="minorEastAsia" w:hint="eastAsia"/>
          <w:sz w:val="24"/>
          <w:szCs w:val="24"/>
        </w:rPr>
        <w:t>万亿元，同比增长</w:t>
      </w:r>
      <w:r>
        <w:rPr>
          <w:rFonts w:asciiTheme="minorEastAsia" w:eastAsiaTheme="minorEastAsia" w:hAnsiTheme="minorEastAsia" w:hint="eastAsia"/>
          <w:sz w:val="24"/>
          <w:szCs w:val="24"/>
        </w:rPr>
        <w:t>2.3%</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3.8%</w:t>
      </w:r>
      <w:r>
        <w:rPr>
          <w:rFonts w:asciiTheme="minorEastAsia" w:eastAsiaTheme="minorEastAsia" w:hAnsiTheme="minorEastAsia" w:hint="eastAsia"/>
          <w:sz w:val="24"/>
          <w:szCs w:val="24"/>
        </w:rPr>
        <w:t>；全国规模以上工业增加值累计同比增长</w:t>
      </w:r>
      <w:r>
        <w:rPr>
          <w:rFonts w:asciiTheme="minorEastAsia" w:eastAsiaTheme="minorEastAsia" w:hAnsiTheme="minorEastAsia" w:hint="eastAsia"/>
          <w:sz w:val="24"/>
          <w:szCs w:val="24"/>
        </w:rPr>
        <w:t>2.8%</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。全国固定资产投资累计同比</w:t>
      </w:r>
      <w:r>
        <w:rPr>
          <w:rFonts w:asciiTheme="minorEastAsia" w:eastAsiaTheme="minorEastAsia" w:hAnsiTheme="minorEastAsia" w:hint="eastAsia"/>
          <w:sz w:val="24"/>
          <w:szCs w:val="24"/>
        </w:rPr>
        <w:t>增长</w:t>
      </w:r>
      <w:r>
        <w:rPr>
          <w:rFonts w:asciiTheme="minorEastAsia" w:eastAsiaTheme="minorEastAsia" w:hAnsiTheme="minorEastAsia" w:hint="eastAsia"/>
          <w:sz w:val="24"/>
          <w:szCs w:val="24"/>
        </w:rPr>
        <w:t>2.9%</w:t>
      </w:r>
      <w:r>
        <w:rPr>
          <w:rFonts w:asciiTheme="minorEastAsia" w:eastAsiaTheme="minorEastAsia" w:hAnsiTheme="minorEastAsia" w:hint="eastAsia"/>
          <w:sz w:val="24"/>
          <w:szCs w:val="24"/>
        </w:rPr>
        <w:t>，增速较上年下滑</w:t>
      </w:r>
      <w:r>
        <w:rPr>
          <w:rFonts w:asciiTheme="minorEastAsia" w:eastAsiaTheme="minorEastAsia" w:hAnsiTheme="minorEastAsia" w:hint="eastAsia"/>
          <w:sz w:val="24"/>
          <w:szCs w:val="24"/>
        </w:rPr>
        <w:t>2.5%</w:t>
      </w:r>
      <w:r>
        <w:rPr>
          <w:rFonts w:asciiTheme="minorEastAsia" w:eastAsiaTheme="minorEastAsia" w:hAnsiTheme="minorEastAsia" w:hint="eastAsia"/>
          <w:sz w:val="24"/>
          <w:szCs w:val="24"/>
        </w:rPr>
        <w:t>；社会消费品零售总额</w:t>
      </w:r>
      <w:r>
        <w:rPr>
          <w:rFonts w:asciiTheme="minorEastAsia" w:eastAsiaTheme="minorEastAsia" w:hAnsiTheme="minorEastAsia" w:hint="eastAsia"/>
          <w:sz w:val="24"/>
          <w:szCs w:val="24"/>
        </w:rPr>
        <w:t>391,981</w:t>
      </w:r>
      <w:r>
        <w:rPr>
          <w:rFonts w:asciiTheme="minorEastAsia" w:eastAsiaTheme="minorEastAsia" w:hAnsiTheme="minorEastAsia" w:hint="eastAsia"/>
          <w:sz w:val="24"/>
          <w:szCs w:val="24"/>
        </w:rPr>
        <w:t>亿元，比上年下降</w:t>
      </w:r>
      <w:r>
        <w:rPr>
          <w:rFonts w:asciiTheme="minorEastAsia" w:eastAsiaTheme="minorEastAsia" w:hAnsiTheme="minorEastAsia" w:hint="eastAsia"/>
          <w:sz w:val="24"/>
          <w:szCs w:val="24"/>
        </w:rPr>
        <w:t>3.9%</w:t>
      </w:r>
      <w:r>
        <w:rPr>
          <w:rFonts w:asciiTheme="minorEastAsia" w:eastAsiaTheme="minorEastAsia" w:hAnsiTheme="minorEastAsia" w:hint="eastAsia"/>
          <w:sz w:val="24"/>
          <w:szCs w:val="24"/>
        </w:rPr>
        <w:t>。在外需恢复与供给替代驱动下，</w:t>
      </w:r>
      <w:r>
        <w:rPr>
          <w:rFonts w:asciiTheme="minorEastAsia" w:eastAsiaTheme="minorEastAsia" w:hAnsiTheme="minorEastAsia" w:hint="eastAsia"/>
          <w:sz w:val="24"/>
          <w:szCs w:val="24"/>
        </w:rPr>
        <w:t>2020</w:t>
      </w:r>
      <w:r>
        <w:rPr>
          <w:rFonts w:asciiTheme="minorEastAsia" w:eastAsiaTheme="minorEastAsia" w:hAnsiTheme="minorEastAsia" w:hint="eastAsia"/>
          <w:sz w:val="24"/>
          <w:szCs w:val="24"/>
        </w:rPr>
        <w:t>年我国对外贸易实现正增长，同比增长</w:t>
      </w:r>
      <w:r>
        <w:rPr>
          <w:rFonts w:asciiTheme="minorEastAsia" w:eastAsiaTheme="minorEastAsia" w:hAnsiTheme="minorEastAsia" w:hint="eastAsia"/>
          <w:sz w:val="24"/>
          <w:szCs w:val="24"/>
        </w:rPr>
        <w:t>1.9%</w:t>
      </w:r>
      <w:r>
        <w:rPr>
          <w:rFonts w:asciiTheme="minorEastAsia" w:eastAsiaTheme="minorEastAsia" w:hAnsiTheme="minorEastAsia" w:hint="eastAsia"/>
          <w:sz w:val="24"/>
          <w:szCs w:val="24"/>
        </w:rPr>
        <w:t>，其中出口增长</w:t>
      </w:r>
      <w:r>
        <w:rPr>
          <w:rFonts w:asciiTheme="minorEastAsia" w:eastAsiaTheme="minorEastAsia" w:hAnsiTheme="minorEastAsia" w:hint="eastAsia"/>
          <w:sz w:val="24"/>
          <w:szCs w:val="24"/>
        </w:rPr>
        <w:t>4.0%</w:t>
      </w:r>
      <w:r>
        <w:rPr>
          <w:rFonts w:asciiTheme="minorEastAsia" w:eastAsiaTheme="minorEastAsia" w:hAnsiTheme="minorEastAsia" w:hint="eastAsia"/>
          <w:sz w:val="24"/>
          <w:szCs w:val="24"/>
        </w:rPr>
        <w:t>，进口下降</w:t>
      </w:r>
      <w:r>
        <w:rPr>
          <w:rFonts w:asciiTheme="minorEastAsia" w:eastAsiaTheme="minorEastAsia" w:hAnsiTheme="minorEastAsia" w:hint="eastAsia"/>
          <w:sz w:val="24"/>
          <w:szCs w:val="24"/>
        </w:rPr>
        <w:t>0.7%</w:t>
      </w:r>
      <w:r>
        <w:rPr>
          <w:rFonts w:asciiTheme="minorEastAsia" w:eastAsiaTheme="minorEastAsia" w:hAnsiTheme="minorEastAsia" w:hint="eastAsia"/>
          <w:sz w:val="24"/>
          <w:szCs w:val="24"/>
        </w:rPr>
        <w:t>。</w:t>
      </w:r>
    </w:p>
    <w:p w:rsidR="00BB44DA" w:rsidRDefault="00D9408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债券市场收益率先下后上，全年波动较大。年初受突发疫情冲击、全球央行货币政策全面放松、央行加大逆周期调节力度等因素影响，市场收益率大幅下行。</w:t>
      </w:r>
      <w:r>
        <w:rPr>
          <w:rFonts w:asciiTheme="minorEastAsia" w:eastAsiaTheme="minorEastAsia" w:hAnsiTheme="minorEastAsia" w:hint="eastAsia"/>
          <w:sz w:val="24"/>
          <w:szCs w:val="24"/>
        </w:rPr>
        <w:t>5</w:t>
      </w:r>
      <w:r>
        <w:rPr>
          <w:rFonts w:asciiTheme="minorEastAsia" w:eastAsiaTheme="minorEastAsia" w:hAnsiTheme="minorEastAsia" w:hint="eastAsia"/>
          <w:sz w:val="24"/>
          <w:szCs w:val="24"/>
        </w:rPr>
        <w:t>月起，我国疫情防控逐步常态化，基本面预期企稳，市场风险偏好回升，同时央行货币政策边际收紧，叠加利率债供给放量等因素共振，推升市场益率走高。进入</w:t>
      </w:r>
      <w:r>
        <w:rPr>
          <w:rFonts w:asciiTheme="minorEastAsia" w:eastAsiaTheme="minorEastAsia" w:hAnsiTheme="minorEastAsia" w:hint="eastAsia"/>
          <w:sz w:val="24"/>
          <w:szCs w:val="24"/>
        </w:rPr>
        <w:t>11</w:t>
      </w:r>
      <w:r>
        <w:rPr>
          <w:rFonts w:asciiTheme="minorEastAsia" w:eastAsiaTheme="minorEastAsia" w:hAnsiTheme="minorEastAsia" w:hint="eastAsia"/>
          <w:sz w:val="24"/>
          <w:szCs w:val="24"/>
        </w:rPr>
        <w:t>月，国企债券违约等信用风险事件导致债券市场出现普遍性调整，信用利差持续走阔。但</w:t>
      </w:r>
      <w:r>
        <w:rPr>
          <w:rFonts w:asciiTheme="minorEastAsia" w:eastAsiaTheme="minorEastAsia" w:hAnsiTheme="minorEastAsia" w:hint="eastAsia"/>
          <w:sz w:val="24"/>
          <w:szCs w:val="24"/>
        </w:rPr>
        <w:t>12</w:t>
      </w:r>
      <w:r>
        <w:rPr>
          <w:rFonts w:asciiTheme="minorEastAsia" w:eastAsiaTheme="minorEastAsia" w:hAnsiTheme="minorEastAsia" w:hint="eastAsia"/>
          <w:sz w:val="24"/>
          <w:szCs w:val="24"/>
        </w:rPr>
        <w:t>月中央关于政策“不急转弯”的基调，明显提振市场情绪，加之央行连续超预期续作</w:t>
      </w:r>
      <w:r>
        <w:rPr>
          <w:rFonts w:asciiTheme="minorEastAsia" w:eastAsiaTheme="minorEastAsia" w:hAnsiTheme="minorEastAsia" w:hint="eastAsia"/>
          <w:sz w:val="24"/>
          <w:szCs w:val="24"/>
        </w:rPr>
        <w:t>MLF</w:t>
      </w:r>
      <w:r>
        <w:rPr>
          <w:rFonts w:asciiTheme="minorEastAsia" w:eastAsiaTheme="minorEastAsia" w:hAnsiTheme="minorEastAsia" w:hint="eastAsia"/>
          <w:sz w:val="24"/>
          <w:szCs w:val="24"/>
        </w:rPr>
        <w:t>，市场流动性充裕，信用事件冲击逐渐缓和，债市走强。整体来看，全年</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年期国债收益率</w:t>
      </w:r>
      <w:r>
        <w:rPr>
          <w:rFonts w:asciiTheme="minorEastAsia" w:eastAsiaTheme="minorEastAsia" w:hAnsiTheme="minorEastAsia" w:hint="eastAsia"/>
          <w:sz w:val="24"/>
          <w:szCs w:val="24"/>
        </w:rPr>
        <w:t>3.14%</w:t>
      </w:r>
      <w:r>
        <w:rPr>
          <w:rFonts w:asciiTheme="minorEastAsia" w:eastAsiaTheme="minorEastAsia" w:hAnsiTheme="minorEastAsia" w:hint="eastAsia"/>
          <w:sz w:val="24"/>
          <w:szCs w:val="24"/>
        </w:rPr>
        <w:t>，较上年末无变化；</w:t>
      </w:r>
      <w:r>
        <w:rPr>
          <w:rFonts w:asciiTheme="minorEastAsia" w:eastAsiaTheme="minorEastAsia" w:hAnsiTheme="minorEastAsia" w:hint="eastAsia"/>
          <w:sz w:val="24"/>
          <w:szCs w:val="24"/>
        </w:rPr>
        <w:t>10</w:t>
      </w:r>
      <w:r>
        <w:rPr>
          <w:rFonts w:asciiTheme="minorEastAsia" w:eastAsiaTheme="minorEastAsia" w:hAnsiTheme="minorEastAsia" w:hint="eastAsia"/>
          <w:sz w:val="24"/>
          <w:szCs w:val="24"/>
        </w:rPr>
        <w:t>年期国开债收益率下行</w:t>
      </w:r>
      <w:r>
        <w:rPr>
          <w:rFonts w:asciiTheme="minorEastAsia" w:eastAsiaTheme="minorEastAsia" w:hAnsiTheme="minorEastAsia" w:hint="eastAsia"/>
          <w:sz w:val="24"/>
          <w:szCs w:val="24"/>
        </w:rPr>
        <w:t>4bp</w:t>
      </w:r>
      <w:r>
        <w:rPr>
          <w:rFonts w:asciiTheme="minorEastAsia" w:eastAsiaTheme="minorEastAsia" w:hAnsiTheme="minorEastAsia" w:hint="eastAsia"/>
          <w:sz w:val="24"/>
          <w:szCs w:val="24"/>
        </w:rPr>
        <w:t>至</w:t>
      </w:r>
      <w:r>
        <w:rPr>
          <w:rFonts w:asciiTheme="minorEastAsia" w:eastAsiaTheme="minorEastAsia" w:hAnsiTheme="minorEastAsia" w:hint="eastAsia"/>
          <w:sz w:val="24"/>
          <w:szCs w:val="24"/>
        </w:rPr>
        <w:t>3.53%</w:t>
      </w:r>
      <w:r>
        <w:rPr>
          <w:rFonts w:asciiTheme="minorEastAsia" w:eastAsiaTheme="minorEastAsia" w:hAnsiTheme="minorEastAsia" w:hint="eastAsia"/>
          <w:sz w:val="24"/>
          <w:szCs w:val="24"/>
        </w:rPr>
        <w:t>。</w:t>
      </w:r>
    </w:p>
    <w:p w:rsidR="00BB44DA" w:rsidRDefault="00D9408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BB44DA" w:rsidRDefault="00D9408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安稳系列产品通过稳健的资产配置，选择性价比较优的城投信用债及非标资产作为主要底仓，适当利用杠杆增厚收益。后续将在严格控制风险的基础上，精选个券，充分发挥票息策略优势，辅以杠杆增厚收益。</w:t>
      </w:r>
    </w:p>
    <w:p w:rsidR="00BB44DA" w:rsidRDefault="00D9408E">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BB44DA" w:rsidRDefault="00D9408E">
      <w:pPr>
        <w:spacing w:line="360" w:lineRule="auto"/>
        <w:ind w:firstLineChars="200" w:firstLine="480"/>
        <w:rPr>
          <w:rFonts w:asciiTheme="minorEastAsia" w:eastAsiaTheme="minorEastAsia" w:hAnsiTheme="minorEastAsia"/>
          <w:sz w:val="24"/>
          <w:szCs w:val="24"/>
        </w:rPr>
      </w:pPr>
      <w:bookmarkStart w:id="0" w:name="_Hlk62552782"/>
      <w:r>
        <w:rPr>
          <w:rFonts w:asciiTheme="minorEastAsia" w:eastAsiaTheme="minorEastAsia" w:hAnsiTheme="minorEastAsia" w:hint="eastAsia"/>
          <w:sz w:val="24"/>
          <w:szCs w:val="24"/>
        </w:rPr>
        <w:t>2</w:t>
      </w:r>
      <w:r>
        <w:rPr>
          <w:rFonts w:asciiTheme="minorEastAsia" w:eastAsiaTheme="minorEastAsia" w:hAnsiTheme="minorEastAsia"/>
          <w:sz w:val="24"/>
          <w:szCs w:val="24"/>
        </w:rPr>
        <w:t>020</w:t>
      </w:r>
      <w:r>
        <w:rPr>
          <w:rFonts w:asciiTheme="minorEastAsia" w:eastAsiaTheme="minorEastAsia" w:hAnsiTheme="minorEastAsia" w:hint="eastAsia"/>
          <w:sz w:val="24"/>
          <w:szCs w:val="24"/>
        </w:rPr>
        <w:t>年资金面整体宽</w:t>
      </w:r>
      <w:r>
        <w:rPr>
          <w:rFonts w:asciiTheme="minorEastAsia" w:eastAsiaTheme="minorEastAsia" w:hAnsiTheme="minorEastAsia" w:hint="eastAsia"/>
          <w:sz w:val="24"/>
          <w:szCs w:val="24"/>
        </w:rPr>
        <w:t>松。在市场关键时点，本系列产品提前做好资金储备，保障流动性安全。短期央行或呵护资金面，流动性压力不大；未来需关注资金面边际收紧的风险，本产品将结合资产与负债情况，设置合理的杠杆与久期水平，适度拉长融资期限，控制流动性风险。</w:t>
      </w:r>
      <w:bookmarkEnd w:id="0"/>
    </w:p>
    <w:p w:rsidR="00BB44DA" w:rsidRDefault="00D9408E">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w:t>
      </w:r>
      <w:r>
        <w:rPr>
          <w:b/>
          <w:color w:val="000000"/>
        </w:rPr>
        <w:t>报告期内</w:t>
      </w:r>
      <w:r>
        <w:rPr>
          <w:rFonts w:hint="eastAsia"/>
          <w:b/>
          <w:color w:val="000000"/>
        </w:rPr>
        <w:t>产品</w:t>
      </w:r>
      <w:r>
        <w:rPr>
          <w:b/>
          <w:color w:val="000000"/>
        </w:rPr>
        <w:t>的业绩表现</w:t>
      </w:r>
    </w:p>
    <w:p w:rsidR="00BB44DA" w:rsidRDefault="00D9408E">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1.0466</w:t>
      </w:r>
      <w:r>
        <w:rPr>
          <w:rFonts w:hint="eastAsia"/>
          <w:color w:val="000000"/>
        </w:rPr>
        <w:t>元。</w:t>
      </w:r>
    </w:p>
    <w:p w:rsidR="00BB44DA" w:rsidRDefault="00BB44DA">
      <w:pPr>
        <w:widowControl/>
        <w:jc w:val="left"/>
        <w:rPr>
          <w:rFonts w:ascii="宋体" w:hAnsi="宋体" w:cs="宋体"/>
          <w:color w:val="000000"/>
          <w:kern w:val="0"/>
          <w:sz w:val="24"/>
          <w:szCs w:val="24"/>
        </w:rPr>
      </w:pPr>
    </w:p>
    <w:p w:rsidR="00BB44DA" w:rsidRDefault="00D9408E">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BB44DA" w:rsidRDefault="00BB44DA">
      <w:pPr>
        <w:pStyle w:val="dazhangjie"/>
        <w:rPr>
          <w:rFonts w:hAnsi="Calibri"/>
          <w:b/>
          <w:color w:val="000000"/>
        </w:rPr>
      </w:pPr>
    </w:p>
    <w:p w:rsidR="00BB44DA" w:rsidRDefault="00D9408E">
      <w:pPr>
        <w:pStyle w:val="a8"/>
        <w:rPr>
          <w:b/>
          <w:color w:val="000000"/>
        </w:rPr>
      </w:pPr>
      <w:bookmarkStart w:id="1" w:name="_Hlk65779940"/>
      <w:r>
        <w:rPr>
          <w:rFonts w:hint="eastAsia"/>
          <w:b/>
          <w:color w:val="000000"/>
        </w:rPr>
        <w:lastRenderedPageBreak/>
        <w:t>4.1</w:t>
      </w:r>
      <w:r>
        <w:rPr>
          <w:rFonts w:hint="eastAsia"/>
          <w:b/>
          <w:color w:val="000000"/>
        </w:rPr>
        <w:t>报告期内托管人遵规守信情况声明</w:t>
      </w:r>
    </w:p>
    <w:p w:rsidR="00BB44DA" w:rsidRDefault="00D9408E">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w:t>
      </w:r>
      <w:r>
        <w:rPr>
          <w:rFonts w:hint="eastAsia"/>
        </w:rPr>
        <w:t>2020</w:t>
      </w:r>
      <w:r>
        <w:rPr>
          <w:rFonts w:hint="eastAsia"/>
        </w:rPr>
        <w:t>年</w:t>
      </w:r>
      <w:r>
        <w:rPr>
          <w:rFonts w:hint="eastAsia"/>
        </w:rPr>
        <w:t>01</w:t>
      </w:r>
      <w:r>
        <w:rPr>
          <w:rFonts w:hint="eastAsia"/>
        </w:rPr>
        <w:t>月</w:t>
      </w:r>
      <w:r>
        <w:rPr>
          <w:rFonts w:hint="eastAsia"/>
        </w:rPr>
        <w:t>16</w:t>
      </w:r>
      <w:r>
        <w:rPr>
          <w:rFonts w:hint="eastAsia"/>
        </w:rPr>
        <w:t>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日产品的投资运作，进行了认真、独立的会计核算和必要的投资监督，认真履行了托管人的义务，没有从事任何损害产品份额持有人利益的行为。</w:t>
      </w:r>
    </w:p>
    <w:p w:rsidR="00BB44DA" w:rsidRDefault="00D9408E">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BB44DA" w:rsidRDefault="00D9408E">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BB44DA" w:rsidRDefault="00D9408E">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2" w:name="_GoBack"/>
      <w:bookmarkEnd w:id="2"/>
      <w:r>
        <w:rPr>
          <w:rFonts w:cs="Times New Roman" w:hint="eastAsia"/>
          <w:b/>
          <w:color w:val="000000"/>
        </w:rPr>
        <w:t>年度报告中财务信息等内容的真实、准确和完整发表意见</w:t>
      </w:r>
    </w:p>
    <w:p w:rsidR="00BB44DA" w:rsidRDefault="00D9408E">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w:t>
      </w:r>
      <w:r>
        <w:rPr>
          <w:rFonts w:hint="eastAsia"/>
        </w:rPr>
        <w:t>财务会计报告、投资组合报告等信息真实、准确、完整，未发现有损害产品持有人利益的行为。</w:t>
      </w:r>
      <w:bookmarkEnd w:id="1"/>
    </w:p>
    <w:p w:rsidR="00BB44DA" w:rsidRDefault="00BB44DA">
      <w:pPr>
        <w:pStyle w:val="biaogeleft"/>
        <w:spacing w:line="360" w:lineRule="auto"/>
        <w:ind w:firstLine="480"/>
        <w:rPr>
          <w:color w:val="000000"/>
        </w:rPr>
      </w:pPr>
    </w:p>
    <w:p w:rsidR="00BB44DA" w:rsidRDefault="00D9408E">
      <w:pPr>
        <w:pStyle w:val="dazhangjie"/>
      </w:pPr>
      <w:bookmarkStart w:id="3"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3"/>
    </w:p>
    <w:p w:rsidR="00BB44DA" w:rsidRDefault="00BB44DA">
      <w:pPr>
        <w:widowControl/>
        <w:jc w:val="left"/>
        <w:rPr>
          <w:rFonts w:ascii="宋体" w:hAnsi="宋体" w:cs="宋体"/>
          <w:kern w:val="0"/>
          <w:sz w:val="24"/>
          <w:szCs w:val="24"/>
        </w:rPr>
      </w:pPr>
    </w:p>
    <w:p w:rsidR="00BB44DA" w:rsidRDefault="00D9408E">
      <w:pPr>
        <w:pStyle w:val="zhangjiep"/>
      </w:pPr>
      <w:bookmarkStart w:id="4" w:name="_Toc61271615"/>
      <w:r>
        <w:rPr>
          <w:rFonts w:hint="eastAsia"/>
          <w:b/>
          <w:bCs/>
        </w:rPr>
        <w:t xml:space="preserve">5.1 </w:t>
      </w:r>
      <w:r>
        <w:rPr>
          <w:rFonts w:hint="eastAsia"/>
          <w:b/>
          <w:bCs/>
        </w:rPr>
        <w:t>资产负债表</w:t>
      </w:r>
      <w:bookmarkEnd w:id="4"/>
    </w:p>
    <w:p w:rsidR="00BB44DA" w:rsidRDefault="00D9408E">
      <w:pPr>
        <w:pStyle w:val="biaogeleft"/>
      </w:pPr>
      <w:r>
        <w:rPr>
          <w:rFonts w:hint="eastAsia"/>
        </w:rPr>
        <w:t>会计主体：南京银行珠联璧合安稳</w:t>
      </w:r>
      <w:r>
        <w:rPr>
          <w:rFonts w:hint="eastAsia"/>
        </w:rPr>
        <w:t>2001</w:t>
      </w:r>
      <w:r>
        <w:rPr>
          <w:rFonts w:hint="eastAsia"/>
        </w:rPr>
        <w:t>一年定开公募人民币理财产品</w:t>
      </w:r>
    </w:p>
    <w:p w:rsidR="00BB44DA" w:rsidRDefault="00D9408E">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B44DA" w:rsidRDefault="00D9408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b/>
                <w:bCs/>
              </w:rPr>
              <w:t>资</w:t>
            </w:r>
            <w:r>
              <w:rPr>
                <w:rFonts w:hint="eastAsia"/>
                <w:b/>
                <w:bCs/>
              </w:rPr>
              <w:t xml:space="preserve"> </w:t>
            </w:r>
            <w:r>
              <w:rPr>
                <w:rFonts w:hint="eastAsia"/>
                <w:b/>
                <w:bCs/>
              </w:rPr>
              <w:t>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Ansi="Calibri" w:hint="eastAsia"/>
                <w:color w:val="000000"/>
              </w:rPr>
              <w:t>本期末</w:t>
            </w:r>
            <w:r>
              <w:rPr>
                <w:rFonts w:hAnsi="Calibri" w:hint="eastAsia"/>
                <w:color w:val="000000"/>
              </w:rPr>
              <w:t> </w:t>
            </w:r>
          </w:p>
          <w:p w:rsidR="00BB44DA" w:rsidRDefault="00D9408E">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b/>
                <w:bCs/>
              </w:rPr>
              <w:t>资</w:t>
            </w:r>
            <w:r>
              <w:rPr>
                <w:rFonts w:hint="eastAsia"/>
                <w:b/>
                <w:bCs/>
              </w:rPr>
              <w:t xml:space="preserve"> </w:t>
            </w:r>
            <w:r>
              <w:rPr>
                <w:rFonts w:hint="eastAsia"/>
                <w:b/>
                <w:bCs/>
              </w:rPr>
              <w:t>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rPr>
              <w:t> </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2,406,162.47</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407,423,110.67</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pPr>
            <w:r>
              <w:rPr>
                <w:rFonts w:cs="Arial" w:hint="eastAsia"/>
                <w:color w:val="000000"/>
              </w:rPr>
              <w:lastRenderedPageBreak/>
              <w:t xml:space="preserve">   </w:t>
            </w: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407,423,110.67</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pPr>
            <w:r>
              <w:rPr>
                <w:rFonts w:cs="Arial" w:hint="eastAsia"/>
                <w:color w:val="000000"/>
              </w:rPr>
              <w:t xml:space="preserve">   </w:t>
            </w: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pPr>
            <w:r>
              <w:rPr>
                <w:rFonts w:cs="Arial" w:hint="eastAsia"/>
                <w:color w:val="000000"/>
              </w:rPr>
              <w:t xml:space="preserve">   </w:t>
            </w:r>
            <w:r>
              <w:rPr>
                <w:rFonts w:cs="Arial" w:hint="eastAsia"/>
                <w:color w:val="000000"/>
              </w:rPr>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pPr>
            <w:r>
              <w:rPr>
                <w:rFonts w:cs="Arial" w:hint="eastAsia"/>
                <w:color w:val="000000"/>
              </w:rPr>
              <w:t xml:space="preserve">   </w:t>
            </w: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59,955,289.93</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27,854,758.47</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230,000,000.00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b/>
                <w:bCs/>
                <w:color w:val="000000"/>
              </w:rPr>
              <w:t xml:space="preserve">   </w:t>
            </w: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727,639,321.54</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rPr>
              <w:t>本期末</w:t>
            </w:r>
            <w:r>
              <w:rPr>
                <w:rFonts w:hint="eastAsia"/>
              </w:rPr>
              <w:t> </w:t>
            </w:r>
          </w:p>
          <w:p w:rsidR="00BB44DA" w:rsidRDefault="00D9408E">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b/>
                <w:bCs/>
              </w:rPr>
              <w:t>负</w:t>
            </w:r>
            <w:r>
              <w:rPr>
                <w:rFonts w:hint="eastAsia"/>
                <w:b/>
                <w:bCs/>
              </w:rPr>
              <w:t xml:space="preserve"> </w:t>
            </w:r>
            <w:r>
              <w:rPr>
                <w:rFonts w:hint="eastAsia"/>
                <w:b/>
                <w:bCs/>
              </w:rPr>
              <w:t>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rPr>
              <w:t> </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1,327,836.51</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132,783.30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1,327,836.51</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1,006.93</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288,664.22</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lastRenderedPageBreak/>
              <w:t xml:space="preserve">    </w:t>
            </w: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b/>
                <w:bCs/>
                <w:color w:val="000000"/>
              </w:rPr>
              <w:t xml:space="preserve">   </w:t>
            </w: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3,078,127.47</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rPr>
              <w:t> </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692,291,000.00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0.00</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color w:val="000000"/>
              </w:rPr>
              <w:t xml:space="preserve">    </w:t>
            </w: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32,270,194.07</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b/>
                <w:bCs/>
                <w:color w:val="000000"/>
              </w:rPr>
              <w:t xml:space="preserve">    </w:t>
            </w: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724,561,194.07</w:t>
            </w:r>
          </w:p>
        </w:tc>
      </w:tr>
      <w:tr w:rsidR="00BB44DA">
        <w:tc>
          <w:tcPr>
            <w:tcW w:w="3660"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cs="Arial" w:hint="eastAsia"/>
                <w:b/>
                <w:bCs/>
                <w:color w:val="000000"/>
              </w:rPr>
              <w:t xml:space="preserve">   </w:t>
            </w: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cs="Arial" w:hint="eastAsia"/>
                <w:color w:val="000000"/>
              </w:rPr>
              <w:t>727,639,321.54</w:t>
            </w:r>
          </w:p>
        </w:tc>
      </w:tr>
    </w:tbl>
    <w:p w:rsidR="00BB44DA" w:rsidRDefault="00BB44DA">
      <w:pPr>
        <w:widowControl/>
        <w:jc w:val="left"/>
        <w:rPr>
          <w:rFonts w:ascii="宋体" w:hAnsi="宋体" w:cs="宋体"/>
          <w:kern w:val="0"/>
          <w:sz w:val="24"/>
          <w:szCs w:val="24"/>
        </w:rPr>
      </w:pPr>
    </w:p>
    <w:p w:rsidR="00BB44DA" w:rsidRDefault="00D9408E">
      <w:pPr>
        <w:pStyle w:val="zhangjiep"/>
      </w:pPr>
      <w:bookmarkStart w:id="5" w:name="_Toc61426992"/>
      <w:r>
        <w:rPr>
          <w:rFonts w:hint="eastAsia"/>
          <w:b/>
          <w:bCs/>
        </w:rPr>
        <w:t xml:space="preserve">5.2 </w:t>
      </w:r>
      <w:r>
        <w:rPr>
          <w:rFonts w:hint="eastAsia"/>
          <w:b/>
          <w:bCs/>
        </w:rPr>
        <w:t>利润表</w:t>
      </w:r>
      <w:bookmarkEnd w:id="5"/>
    </w:p>
    <w:p w:rsidR="00BB44DA" w:rsidRDefault="00D9408E">
      <w:pPr>
        <w:pStyle w:val="biaogeleft"/>
      </w:pPr>
      <w:r>
        <w:rPr>
          <w:rFonts w:hint="eastAsia"/>
        </w:rPr>
        <w:t>会计主体：南京银行珠联璧合安稳</w:t>
      </w:r>
      <w:r>
        <w:rPr>
          <w:rFonts w:hint="eastAsia"/>
        </w:rPr>
        <w:t>2001</w:t>
      </w:r>
      <w:r>
        <w:rPr>
          <w:rFonts w:hint="eastAsia"/>
        </w:rPr>
        <w:t>一年定开公募人民币理财产品</w:t>
      </w:r>
    </w:p>
    <w:p w:rsidR="00BB44DA" w:rsidRDefault="00D9408E">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B44DA" w:rsidRDefault="00D9408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BB44DA">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rFonts w:asciiTheme="minorEastAsia" w:eastAsiaTheme="minorEastAsia" w:hAnsiTheme="minorEastAsia"/>
              </w:rPr>
            </w:pPr>
            <w:r>
              <w:rPr>
                <w:rFonts w:asciiTheme="minorEastAsia" w:eastAsiaTheme="minorEastAsia" w:hAnsiTheme="minorEastAsia" w:hint="eastAsia"/>
                <w:b/>
                <w:bCs/>
              </w:rPr>
              <w:t>项</w:t>
            </w:r>
            <w:r>
              <w:rPr>
                <w:rFonts w:asciiTheme="minorEastAsia" w:eastAsiaTheme="minorEastAsia" w:hAnsiTheme="minorEastAsia" w:hint="eastAsia"/>
                <w:b/>
                <w:bCs/>
              </w:rPr>
              <w:t xml:space="preserve"> </w:t>
            </w:r>
            <w:r>
              <w:rPr>
                <w:rFonts w:asciiTheme="minorEastAsia" w:eastAsiaTheme="minorEastAsia" w:hAnsiTheme="minorEastAsia" w:hint="eastAsia"/>
                <w:b/>
                <w:bCs/>
              </w:rPr>
              <w:t>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01</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B44DA">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BB44DA" w:rsidRDefault="00BB44DA">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BB44DA" w:rsidRDefault="00BB44DA">
            <w:pPr>
              <w:widowControl/>
              <w:jc w:val="left"/>
              <w:rPr>
                <w:rFonts w:asciiTheme="minorEastAsia" w:eastAsiaTheme="minorEastAsia" w:hAnsiTheme="minorEastAsia" w:cs="宋体"/>
                <w:kern w:val="0"/>
                <w:sz w:val="24"/>
                <w:szCs w:val="24"/>
              </w:rPr>
            </w:pP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b/>
                <w:bCs/>
                <w:color w:val="000000"/>
              </w:rPr>
              <w:t>35,331,498.69</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35,331,887.54</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136,141.13</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35,094,015.68</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101,730.73</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ascii="Arial" w:hAnsi="Arial" w:cs="Arial"/>
                <w:color w:val="000000"/>
              </w:rPr>
              <w:t xml:space="preserve">　</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-388.85</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-388.85</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w:t>
            </w: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 xml:space="preserve">　</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b/>
                <w:bCs/>
                <w:color w:val="000000"/>
              </w:rPr>
              <w:t>3,061,304.62</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1,327,836.51</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132,783.30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1,327,836.51</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1,000.00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130,145.62</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130,145.62</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124,302.68</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color w:val="000000"/>
              </w:rPr>
              <w:t>17,400.00</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b/>
                <w:bCs/>
                <w:color w:val="000000"/>
              </w:rPr>
              <w:t>32,270,194.07</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ascii="Arial" w:hAnsi="Arial" w:cs="Arial"/>
                <w:color w:val="000000"/>
              </w:rPr>
              <w:t xml:space="preserve">　</w:t>
            </w:r>
          </w:p>
        </w:tc>
      </w:tr>
      <w:tr w:rsidR="00BB44DA">
        <w:tc>
          <w:tcPr>
            <w:tcW w:w="2969"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rPr>
                <w:rFonts w:asciiTheme="minorEastAsia" w:eastAsiaTheme="minorEastAsia" w:hAnsiTheme="minorEastAsia"/>
              </w:rPr>
            </w:pPr>
            <w:r>
              <w:rPr>
                <w:rFonts w:cs="Arial" w:hint="eastAsia"/>
                <w:b/>
                <w:bCs/>
                <w:color w:val="000000"/>
              </w:rPr>
              <w:t>32,270,194.07</w:t>
            </w:r>
          </w:p>
        </w:tc>
      </w:tr>
    </w:tbl>
    <w:p w:rsidR="00BB44DA" w:rsidRDefault="00BB44DA">
      <w:pPr>
        <w:widowControl/>
        <w:jc w:val="left"/>
        <w:rPr>
          <w:rFonts w:ascii="宋体" w:hAnsi="宋体" w:cs="宋体"/>
          <w:kern w:val="0"/>
          <w:sz w:val="24"/>
          <w:szCs w:val="24"/>
        </w:rPr>
      </w:pPr>
    </w:p>
    <w:p w:rsidR="00BB44DA" w:rsidRDefault="00D9408E">
      <w:pPr>
        <w:pStyle w:val="zhangjiep"/>
      </w:pPr>
      <w:bookmarkStart w:id="6" w:name="_Toc61426993"/>
      <w:r>
        <w:rPr>
          <w:rFonts w:hint="eastAsia"/>
          <w:b/>
          <w:bCs/>
        </w:rPr>
        <w:t xml:space="preserve">5.3 </w:t>
      </w:r>
      <w:r>
        <w:rPr>
          <w:rFonts w:hint="eastAsia"/>
          <w:b/>
          <w:bCs/>
        </w:rPr>
        <w:t>所有者权益（基金净值）变动表</w:t>
      </w:r>
      <w:bookmarkEnd w:id="6"/>
    </w:p>
    <w:p w:rsidR="00BB44DA" w:rsidRDefault="00D9408E">
      <w:pPr>
        <w:pStyle w:val="biaogeleft"/>
      </w:pPr>
      <w:r>
        <w:rPr>
          <w:rFonts w:hint="eastAsia"/>
        </w:rPr>
        <w:t>会计主体：南京银行珠联璧合安稳</w:t>
      </w:r>
      <w:r>
        <w:rPr>
          <w:rFonts w:hint="eastAsia"/>
        </w:rPr>
        <w:t>2001</w:t>
      </w:r>
      <w:r>
        <w:rPr>
          <w:rFonts w:hint="eastAsia"/>
        </w:rPr>
        <w:t>一年定开公募人民币理财产品</w:t>
      </w:r>
    </w:p>
    <w:p w:rsidR="00BB44DA" w:rsidRDefault="00D9408E">
      <w:pPr>
        <w:pStyle w:val="biaogeleft"/>
      </w:pPr>
      <w:r>
        <w:rPr>
          <w:rFonts w:hint="eastAsia"/>
        </w:rPr>
        <w:t>本报告期：</w:t>
      </w:r>
      <w:r>
        <w:rPr>
          <w:rFonts w:hint="eastAsia"/>
        </w:rPr>
        <w:t>2020</w:t>
      </w:r>
      <w:r>
        <w:rPr>
          <w:rFonts w:hint="eastAsia"/>
        </w:rPr>
        <w:t>年</w:t>
      </w:r>
      <w:r>
        <w:rPr>
          <w:rFonts w:hint="eastAsia"/>
        </w:rPr>
        <w:t>01</w:t>
      </w:r>
      <w:r>
        <w:rPr>
          <w:rFonts w:hint="eastAsia"/>
        </w:rPr>
        <w:t>月</w:t>
      </w:r>
      <w:r>
        <w:rPr>
          <w:rFonts w:hint="eastAsia"/>
        </w:rPr>
        <w:t>16</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BB44DA" w:rsidRDefault="00D9408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BB44DA">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b/>
                <w:bCs/>
              </w:rPr>
              <w:t>项</w:t>
            </w:r>
            <w:r>
              <w:rPr>
                <w:rFonts w:hint="eastAsia"/>
                <w:b/>
                <w:bCs/>
              </w:rPr>
              <w:t xml:space="preserve"> </w:t>
            </w:r>
            <w:r>
              <w:rPr>
                <w:rFonts w:hint="eastAsia"/>
                <w:b/>
                <w:bCs/>
              </w:rPr>
              <w:t>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rPr>
              <w:t>本期</w:t>
            </w:r>
            <w:r>
              <w:rPr>
                <w:rFonts w:hint="eastAsia"/>
              </w:rPr>
              <w:t> </w:t>
            </w:r>
          </w:p>
          <w:p w:rsidR="00BB44DA" w:rsidRDefault="00D9408E">
            <w:pPr>
              <w:pStyle w:val="biaogecenter"/>
              <w:wordWrap w:val="0"/>
            </w:pPr>
            <w:r>
              <w:rPr>
                <w:rFonts w:hint="eastAsia"/>
              </w:rPr>
              <w:t>2020</w:t>
            </w:r>
            <w:r>
              <w:rPr>
                <w:rFonts w:hint="eastAsia"/>
              </w:rPr>
              <w:t>年</w:t>
            </w:r>
            <w:r>
              <w:rPr>
                <w:rFonts w:hint="eastAsia"/>
              </w:rPr>
              <w:t>01</w:t>
            </w:r>
            <w:r>
              <w:rPr>
                <w:rFonts w:hint="eastAsia"/>
              </w:rPr>
              <w:t>月</w:t>
            </w:r>
            <w:r>
              <w:rPr>
                <w:rFonts w:hint="eastAsia"/>
              </w:rPr>
              <w:t>16</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BB44DA">
        <w:tc>
          <w:tcPr>
            <w:tcW w:w="2116" w:type="dxa"/>
            <w:vMerge/>
            <w:tcBorders>
              <w:top w:val="single" w:sz="8" w:space="0" w:color="000000"/>
              <w:left w:val="single" w:sz="8" w:space="0" w:color="000000"/>
              <w:bottom w:val="single" w:sz="8" w:space="0" w:color="000000"/>
              <w:right w:val="single" w:sz="8" w:space="0" w:color="000000"/>
            </w:tcBorders>
            <w:vAlign w:val="center"/>
          </w:tcPr>
          <w:p w:rsidR="00BB44DA" w:rsidRDefault="00BB44DA">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pPr>
            <w:r>
              <w:rPr>
                <w:rFonts w:hint="eastAsia"/>
              </w:rPr>
              <w:t>所有者权益合计</w:t>
            </w:r>
            <w:r>
              <w:rPr>
                <w:rFonts w:hint="eastAsia"/>
              </w:rPr>
              <w:t> </w:t>
            </w:r>
          </w:p>
        </w:tc>
      </w:tr>
      <w:tr w:rsidR="00BB44DA">
        <w:tc>
          <w:tcPr>
            <w:tcW w:w="211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rPr>
              <w:t>一、期初所有者权益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692,291,000.00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692,291,000.00</w:t>
            </w:r>
          </w:p>
        </w:tc>
      </w:tr>
      <w:tr w:rsidR="00BB44DA">
        <w:tc>
          <w:tcPr>
            <w:tcW w:w="211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rPr>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32,270,194.07</w:t>
            </w:r>
          </w:p>
        </w:tc>
        <w:tc>
          <w:tcPr>
            <w:tcW w:w="2484"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32,270,194.07</w:t>
            </w:r>
          </w:p>
        </w:tc>
      </w:tr>
      <w:tr w:rsidR="00BB44DA">
        <w:tc>
          <w:tcPr>
            <w:tcW w:w="211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r>
      <w:tr w:rsidR="00BB44DA">
        <w:tc>
          <w:tcPr>
            <w:tcW w:w="211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r>
      <w:tr w:rsidR="00BB44DA">
        <w:tc>
          <w:tcPr>
            <w:tcW w:w="211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r>
      <w:tr w:rsidR="00BB44DA">
        <w:tc>
          <w:tcPr>
            <w:tcW w:w="211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w:t>
            </w:r>
          </w:p>
        </w:tc>
      </w:tr>
      <w:tr w:rsidR="00BB44DA">
        <w:tc>
          <w:tcPr>
            <w:tcW w:w="211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692,291,000.00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32,270,194.07</w:t>
            </w:r>
          </w:p>
        </w:tc>
        <w:tc>
          <w:tcPr>
            <w:tcW w:w="2484"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right"/>
              <w:wordWrap w:val="0"/>
            </w:pPr>
            <w:r>
              <w:rPr>
                <w:rFonts w:hint="eastAsia"/>
              </w:rPr>
              <w:t>724,561,194.07</w:t>
            </w:r>
          </w:p>
        </w:tc>
      </w:tr>
    </w:tbl>
    <w:p w:rsidR="00BB44DA" w:rsidRDefault="00BB44DA">
      <w:pPr>
        <w:widowControl/>
        <w:autoSpaceDE w:val="0"/>
        <w:autoSpaceDN w:val="0"/>
        <w:adjustRightInd w:val="0"/>
        <w:spacing w:line="288" w:lineRule="auto"/>
        <w:jc w:val="right"/>
        <w:rPr>
          <w:rFonts w:ascii="宋体" w:hAnsi="宋体" w:cs="宋体"/>
          <w:kern w:val="0"/>
          <w:sz w:val="24"/>
          <w:szCs w:val="24"/>
        </w:rPr>
      </w:pPr>
    </w:p>
    <w:p w:rsidR="00BB44DA" w:rsidRDefault="00BB44DA">
      <w:pPr>
        <w:pStyle w:val="biaogeleft"/>
        <w:spacing w:line="360" w:lineRule="auto"/>
        <w:ind w:firstLine="480"/>
        <w:rPr>
          <w:color w:val="000000"/>
        </w:rPr>
      </w:pPr>
    </w:p>
    <w:p w:rsidR="00BB44DA" w:rsidRDefault="00D9408E">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BB44DA" w:rsidRDefault="00BB44DA">
      <w:pPr>
        <w:widowControl/>
        <w:jc w:val="left"/>
        <w:rPr>
          <w:rFonts w:ascii="宋体" w:hAnsi="宋体" w:cs="宋体"/>
          <w:color w:val="000000"/>
          <w:kern w:val="0"/>
          <w:sz w:val="24"/>
          <w:szCs w:val="24"/>
        </w:rPr>
      </w:pPr>
    </w:p>
    <w:p w:rsidR="00BB44DA" w:rsidRDefault="00D9408E">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BB44DA">
        <w:tc>
          <w:tcPr>
            <w:tcW w:w="891" w:type="dxa"/>
            <w:tcBorders>
              <w:top w:val="single" w:sz="8" w:space="0" w:color="000000"/>
              <w:left w:val="single" w:sz="8" w:space="0" w:color="000000"/>
              <w:bottom w:val="single" w:sz="6" w:space="0" w:color="000000"/>
              <w:right w:val="single" w:sz="8" w:space="0" w:color="000000"/>
            </w:tcBorders>
            <w:vAlign w:val="bottom"/>
          </w:tcPr>
          <w:p w:rsidR="00BB44DA" w:rsidRDefault="00D9408E">
            <w:pPr>
              <w:widowControl/>
              <w:jc w:val="center"/>
              <w:textAlignment w:val="bottom"/>
              <w:rPr>
                <w:color w:val="000000"/>
              </w:rPr>
            </w:pPr>
            <w:r>
              <w:rPr>
                <w:rFonts w:ascii="宋体" w:hAnsi="宋体" w:cs="宋体" w:hint="eastAsia"/>
                <w:color w:val="000000"/>
                <w:kern w:val="0"/>
                <w:sz w:val="24"/>
                <w:szCs w:val="24"/>
                <w:lang/>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BB44DA" w:rsidRDefault="00D9408E">
            <w:pPr>
              <w:widowControl/>
              <w:jc w:val="center"/>
              <w:textAlignment w:val="bottom"/>
              <w:rPr>
                <w:color w:val="000000"/>
              </w:rPr>
            </w:pPr>
            <w:r>
              <w:rPr>
                <w:rFonts w:ascii="宋体" w:hAnsi="宋体" w:cs="宋体" w:hint="eastAsia"/>
                <w:color w:val="000000"/>
                <w:kern w:val="0"/>
                <w:sz w:val="24"/>
                <w:szCs w:val="24"/>
                <w:lang/>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BB44DA" w:rsidRDefault="00D9408E">
            <w:pPr>
              <w:widowControl/>
              <w:jc w:val="center"/>
              <w:textAlignment w:val="bottom"/>
              <w:rPr>
                <w:color w:val="000000"/>
              </w:rPr>
            </w:pPr>
            <w:r>
              <w:rPr>
                <w:rFonts w:ascii="宋体" w:hAnsi="宋体" w:cs="宋体" w:hint="eastAsia"/>
                <w:color w:val="000000"/>
                <w:kern w:val="0"/>
                <w:sz w:val="24"/>
                <w:szCs w:val="24"/>
                <w:lang/>
              </w:rPr>
              <w:t>金额</w:t>
            </w:r>
            <w:r>
              <w:rPr>
                <w:rFonts w:ascii="宋体" w:hAnsi="宋体" w:cs="宋体" w:hint="eastAsia"/>
                <w:color w:val="000000"/>
                <w:kern w:val="0"/>
                <w:sz w:val="24"/>
                <w:szCs w:val="24"/>
                <w:lang/>
              </w:rPr>
              <w:t>(</w:t>
            </w:r>
            <w:r>
              <w:rPr>
                <w:rFonts w:ascii="宋体" w:hAnsi="宋体" w:cs="宋体" w:hint="eastAsia"/>
                <w:color w:val="000000"/>
                <w:kern w:val="0"/>
                <w:sz w:val="24"/>
                <w:szCs w:val="24"/>
                <w:lang/>
              </w:rPr>
              <w:t>元</w:t>
            </w:r>
            <w:r>
              <w:rPr>
                <w:rFonts w:ascii="宋体" w:hAnsi="宋体" w:cs="宋体" w:hint="eastAsia"/>
                <w:color w:val="000000"/>
                <w:kern w:val="0"/>
                <w:sz w:val="24"/>
                <w:szCs w:val="24"/>
                <w:lang/>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BB44DA" w:rsidRDefault="00D9408E">
            <w:pPr>
              <w:widowControl/>
              <w:jc w:val="center"/>
              <w:textAlignment w:val="bottom"/>
              <w:rPr>
                <w:color w:val="000000"/>
              </w:rPr>
            </w:pPr>
            <w:r>
              <w:rPr>
                <w:rFonts w:ascii="宋体" w:hAnsi="宋体" w:cs="宋体" w:hint="eastAsia"/>
                <w:color w:val="000000"/>
                <w:kern w:val="0"/>
                <w:sz w:val="24"/>
                <w:szCs w:val="24"/>
                <w:lang/>
              </w:rPr>
              <w:t>占产品总资产的比例（</w:t>
            </w:r>
            <w:r>
              <w:rPr>
                <w:rFonts w:ascii="宋体" w:hAnsi="宋体" w:cs="宋体" w:hint="eastAsia"/>
                <w:color w:val="000000"/>
                <w:kern w:val="0"/>
                <w:sz w:val="24"/>
                <w:szCs w:val="24"/>
                <w:lang/>
              </w:rPr>
              <w:t>%</w:t>
            </w:r>
            <w:r>
              <w:rPr>
                <w:rFonts w:ascii="宋体" w:hAnsi="宋体" w:cs="宋体" w:hint="eastAsia"/>
                <w:color w:val="000000"/>
                <w:kern w:val="0"/>
                <w:sz w:val="24"/>
                <w:szCs w:val="24"/>
                <w:lang/>
              </w:rPr>
              <w:t>）</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407,423,110.67</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55.99</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230,000,000.00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31.61</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color w:val="000000"/>
                <w:kern w:val="0"/>
                <w:sz w:val="24"/>
                <w:szCs w:val="24"/>
                <w:lang/>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59,955,289.93</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8.24</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lastRenderedPageBreak/>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2,406,162.47</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0.33</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27,854,758.47</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3.83</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0.00</w:t>
            </w:r>
          </w:p>
        </w:tc>
      </w:tr>
      <w:tr w:rsidR="00BB44DA">
        <w:tc>
          <w:tcPr>
            <w:tcW w:w="891"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center"/>
              <w:textAlignment w:val="bottom"/>
              <w:rPr>
                <w:rFonts w:ascii="宋体" w:hAnsi="宋体" w:cs="宋体"/>
                <w:color w:val="000000"/>
                <w:kern w:val="0"/>
                <w:sz w:val="24"/>
                <w:szCs w:val="24"/>
                <w:lang/>
              </w:rPr>
            </w:pPr>
            <w:r>
              <w:rPr>
                <w:rFonts w:ascii="宋体" w:hAnsi="宋体" w:cs="宋体"/>
                <w:color w:val="000000"/>
                <w:kern w:val="0"/>
                <w:sz w:val="24"/>
                <w:szCs w:val="24"/>
                <w:lang/>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lef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727,639,321.54</w:t>
            </w:r>
          </w:p>
        </w:tc>
        <w:tc>
          <w:tcPr>
            <w:tcW w:w="2395" w:type="dxa"/>
            <w:tcBorders>
              <w:top w:val="single" w:sz="8" w:space="0" w:color="000000"/>
              <w:left w:val="single" w:sz="8" w:space="0" w:color="000000"/>
              <w:bottom w:val="single" w:sz="8" w:space="0" w:color="000000"/>
              <w:right w:val="single" w:sz="8" w:space="0" w:color="000000"/>
            </w:tcBorders>
            <w:vAlign w:val="center"/>
          </w:tcPr>
          <w:p w:rsidR="00BB44DA" w:rsidRDefault="00D9408E">
            <w:pPr>
              <w:widowControl/>
              <w:jc w:val="right"/>
              <w:textAlignment w:val="bottom"/>
              <w:rPr>
                <w:rFonts w:ascii="宋体" w:hAnsi="宋体" w:cs="宋体"/>
                <w:color w:val="000000"/>
                <w:kern w:val="0"/>
                <w:sz w:val="24"/>
                <w:szCs w:val="24"/>
                <w:lang/>
              </w:rPr>
            </w:pPr>
            <w:r>
              <w:rPr>
                <w:rFonts w:ascii="宋体" w:hAnsi="宋体" w:cs="宋体" w:hint="eastAsia"/>
                <w:color w:val="000000"/>
                <w:kern w:val="0"/>
                <w:sz w:val="24"/>
                <w:szCs w:val="24"/>
                <w:lang/>
              </w:rPr>
              <w:t>100.00</w:t>
            </w:r>
          </w:p>
        </w:tc>
      </w:tr>
    </w:tbl>
    <w:p w:rsidR="00BB44DA" w:rsidRDefault="00BB44DA">
      <w:pPr>
        <w:widowControl/>
        <w:jc w:val="left"/>
        <w:rPr>
          <w:rFonts w:ascii="宋体" w:hAnsi="宋体" w:cs="宋体"/>
          <w:color w:val="000000"/>
          <w:kern w:val="0"/>
          <w:sz w:val="24"/>
          <w:szCs w:val="24"/>
        </w:rPr>
      </w:pPr>
    </w:p>
    <w:p w:rsidR="00BB44DA" w:rsidRDefault="00D9408E">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BB44DA">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BB44DA" w:rsidRDefault="00D9408E">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BB44DA" w:rsidRDefault="00D9408E">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BB44DA" w:rsidRDefault="00D9408E">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BB44DA" w:rsidRDefault="00D9408E">
            <w:pPr>
              <w:pStyle w:val="biaogecenter"/>
              <w:wordWrap w:val="0"/>
              <w:rPr>
                <w:color w:val="000000"/>
              </w:rPr>
            </w:pPr>
            <w:r>
              <w:rPr>
                <w:rFonts w:hint="eastAsia"/>
                <w:color w:val="000000"/>
              </w:rPr>
              <w:t>占产品资产净值比例（％）</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QTBZZ202001160001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苏汤山旅发</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230,000,000.00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31.74%</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012001189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滨海新城</w:t>
            </w:r>
            <w:r>
              <w:rPr>
                <w:rFonts w:ascii="宋体" w:hAnsi="宋体" w:cs="宋体" w:hint="eastAsia"/>
                <w:color w:val="000000"/>
                <w:kern w:val="0"/>
                <w:sz w:val="24"/>
                <w:szCs w:val="24"/>
              </w:rPr>
              <w:t>SCP001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59,999,234.27</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8.28%</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162686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六新</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50,000,415.48</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6.90%</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145881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兴化债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50,000,344.86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6.90%</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162889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滨江</w:t>
            </w:r>
            <w:r>
              <w:rPr>
                <w:rFonts w:ascii="宋体" w:hAnsi="宋体" w:cs="宋体" w:hint="eastAsia"/>
                <w:color w:val="000000"/>
                <w:kern w:val="0"/>
                <w:sz w:val="24"/>
                <w:szCs w:val="24"/>
              </w:rPr>
              <w:t>D1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50,000,011.51</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6.90%</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162873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镇旅</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50,000,008.76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6.90%</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160206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16</w:t>
            </w:r>
            <w:r>
              <w:rPr>
                <w:rFonts w:ascii="宋体" w:hAnsi="宋体" w:cs="宋体" w:hint="eastAsia"/>
                <w:color w:val="000000"/>
                <w:kern w:val="0"/>
                <w:sz w:val="24"/>
                <w:szCs w:val="24"/>
              </w:rPr>
              <w:t>国开</w:t>
            </w:r>
            <w:r>
              <w:rPr>
                <w:rFonts w:ascii="宋体" w:hAnsi="宋体" w:cs="宋体" w:hint="eastAsia"/>
                <w:color w:val="000000"/>
                <w:kern w:val="0"/>
                <w:sz w:val="24"/>
                <w:szCs w:val="24"/>
              </w:rPr>
              <w:t>06</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40,057,404.33</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5.53%</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150013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通高新</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40,007,005.72</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5.52%</w:t>
            </w:r>
          </w:p>
        </w:tc>
      </w:tr>
      <w:tr w:rsidR="00BB44DA">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032000589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瓯海新城</w:t>
            </w:r>
            <w:r>
              <w:rPr>
                <w:rFonts w:ascii="宋体" w:hAnsi="宋体" w:cs="宋体" w:hint="eastAsia"/>
                <w:color w:val="000000"/>
                <w:kern w:val="0"/>
                <w:sz w:val="24"/>
                <w:szCs w:val="24"/>
              </w:rPr>
              <w:t>PPN002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36,574,239.05</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5.05%</w:t>
            </w:r>
          </w:p>
        </w:tc>
      </w:tr>
      <w:tr w:rsidR="00BB44DA">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BB44DA" w:rsidRDefault="00D9408E">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101900891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常州投资</w:t>
            </w:r>
            <w:r>
              <w:rPr>
                <w:rFonts w:ascii="宋体" w:hAnsi="宋体" w:cs="宋体" w:hint="eastAsia"/>
                <w:color w:val="000000"/>
                <w:kern w:val="0"/>
                <w:sz w:val="24"/>
                <w:szCs w:val="24"/>
              </w:rPr>
              <w:t>MTN003</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20,521,412.46</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BB44DA" w:rsidRDefault="00D9408E">
            <w:pPr>
              <w:jc w:val="right"/>
              <w:rPr>
                <w:rFonts w:ascii="宋体" w:hAnsi="宋体" w:cs="宋体"/>
                <w:color w:val="000000"/>
                <w:kern w:val="0"/>
                <w:sz w:val="24"/>
                <w:szCs w:val="24"/>
              </w:rPr>
            </w:pPr>
            <w:r>
              <w:rPr>
                <w:rFonts w:ascii="宋体" w:hAnsi="宋体" w:cs="宋体" w:hint="eastAsia"/>
                <w:color w:val="000000"/>
                <w:kern w:val="0"/>
                <w:sz w:val="24"/>
                <w:szCs w:val="24"/>
              </w:rPr>
              <w:t>2.83%</w:t>
            </w:r>
          </w:p>
        </w:tc>
      </w:tr>
    </w:tbl>
    <w:p w:rsidR="00BB44DA" w:rsidRDefault="00BB44DA">
      <w:pPr>
        <w:widowControl/>
        <w:jc w:val="left"/>
        <w:rPr>
          <w:rFonts w:ascii="宋体" w:hAnsi="宋体" w:cs="宋体"/>
          <w:b/>
          <w:sz w:val="24"/>
          <w:szCs w:val="24"/>
          <w:shd w:val="clear" w:color="auto" w:fill="FFFFFF"/>
        </w:rPr>
      </w:pPr>
    </w:p>
    <w:p w:rsidR="00BB44DA" w:rsidRDefault="00D9408E">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BB44DA" w:rsidRDefault="00BB44DA">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BB44DA">
        <w:tc>
          <w:tcPr>
            <w:tcW w:w="709"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风险状况</w:t>
            </w:r>
          </w:p>
        </w:tc>
      </w:tr>
      <w:tr w:rsidR="00BB44DA">
        <w:tc>
          <w:tcPr>
            <w:tcW w:w="709"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南京汤山旅游发展有限公司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18</w:t>
            </w:r>
            <w:r>
              <w:rPr>
                <w:rFonts w:hint="eastAsia"/>
                <w:shd w:val="clear" w:color="auto" w:fill="FFFFFF"/>
              </w:rPr>
              <w:t>苏汤山旅发</w:t>
            </w:r>
            <w:r>
              <w:rPr>
                <w:rFonts w:hint="eastAsia"/>
                <w:shd w:val="clear" w:color="auto" w:fill="FFFFFF"/>
              </w:rPr>
              <w:t>ZR001</w:t>
            </w:r>
            <w:r>
              <w:rPr>
                <w:rFonts w:hint="eastAsia"/>
                <w:shd w:val="clear" w:color="auto" w:fill="FFFFFF"/>
              </w:rPr>
              <w:t>（</w:t>
            </w:r>
            <w:r>
              <w:rPr>
                <w:rFonts w:hint="eastAsia"/>
                <w:shd w:val="clear" w:color="auto" w:fill="FFFFFF"/>
              </w:rPr>
              <w:t>3+N</w:t>
            </w:r>
            <w:r>
              <w:rPr>
                <w:rFonts w:hint="eastAsia"/>
                <w:shd w:val="clear" w:color="auto" w:fill="FFFFFF"/>
              </w:rPr>
              <w:t>）</w:t>
            </w:r>
          </w:p>
        </w:tc>
        <w:tc>
          <w:tcPr>
            <w:tcW w:w="1417"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3</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BB44DA" w:rsidRDefault="00D9408E">
            <w:pPr>
              <w:pStyle w:val="biaogecenter"/>
              <w:wordWrap w:val="0"/>
              <w:rPr>
                <w:shd w:val="clear" w:color="auto" w:fill="FFFFFF"/>
              </w:rPr>
            </w:pPr>
            <w:r>
              <w:rPr>
                <w:rFonts w:hint="eastAsia"/>
                <w:shd w:val="clear" w:color="auto" w:fill="FFFFFF"/>
              </w:rPr>
              <w:t>-</w:t>
            </w:r>
          </w:p>
        </w:tc>
      </w:tr>
    </w:tbl>
    <w:p w:rsidR="00BB44DA" w:rsidRDefault="00BB44DA">
      <w:pPr>
        <w:widowControl/>
        <w:jc w:val="left"/>
        <w:rPr>
          <w:rFonts w:ascii="宋体" w:hAnsi="宋体" w:cs="宋体"/>
          <w:color w:val="000000"/>
          <w:kern w:val="0"/>
          <w:sz w:val="24"/>
          <w:szCs w:val="24"/>
        </w:rPr>
      </w:pPr>
    </w:p>
    <w:p w:rsidR="00BB44DA" w:rsidRDefault="00BB44DA">
      <w:pPr>
        <w:widowControl/>
        <w:jc w:val="left"/>
        <w:rPr>
          <w:rFonts w:ascii="宋体" w:hAnsi="宋体" w:cs="宋体"/>
          <w:color w:val="000000"/>
          <w:kern w:val="0"/>
          <w:sz w:val="24"/>
          <w:szCs w:val="24"/>
        </w:rPr>
      </w:pPr>
    </w:p>
    <w:p w:rsidR="00BB44DA" w:rsidRDefault="00D9408E">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BB44DA" w:rsidRDefault="00D9408E">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BB44DA" w:rsidRDefault="00D9408E">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230000000.00</w:t>
      </w:r>
      <w:r>
        <w:rPr>
          <w:rFonts w:ascii="宋体" w:hAnsi="宋体" w:cs="宋体" w:hint="eastAsia"/>
          <w:color w:val="000000"/>
          <w:kern w:val="0"/>
          <w:sz w:val="24"/>
          <w:szCs w:val="24"/>
        </w:rPr>
        <w:t>元。</w:t>
      </w:r>
    </w:p>
    <w:p w:rsidR="00BB44DA" w:rsidRDefault="00BB44D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BB44DA" w:rsidRDefault="00BB44DA">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BB44DA" w:rsidRDefault="00BB44DA">
      <w:pPr>
        <w:widowControl/>
        <w:jc w:val="left"/>
        <w:rPr>
          <w:rFonts w:ascii="宋体" w:hAnsi="宋体" w:cs="宋体"/>
          <w:color w:val="000000"/>
          <w:kern w:val="0"/>
          <w:sz w:val="24"/>
          <w:szCs w:val="24"/>
        </w:rPr>
      </w:pPr>
    </w:p>
    <w:p w:rsidR="00BB44DA" w:rsidRDefault="00BB44DA">
      <w:pPr>
        <w:widowControl/>
        <w:jc w:val="left"/>
        <w:rPr>
          <w:rFonts w:ascii="宋体" w:hAnsi="宋体" w:cs="宋体"/>
          <w:color w:val="000000"/>
          <w:kern w:val="0"/>
          <w:sz w:val="24"/>
          <w:szCs w:val="24"/>
        </w:rPr>
      </w:pPr>
    </w:p>
    <w:p w:rsidR="00BB44DA" w:rsidRDefault="00BB44DA">
      <w:pPr>
        <w:widowControl/>
        <w:jc w:val="left"/>
        <w:rPr>
          <w:rFonts w:ascii="宋体" w:hAnsi="宋体" w:cs="宋体"/>
          <w:color w:val="000000"/>
          <w:kern w:val="0"/>
          <w:sz w:val="24"/>
          <w:szCs w:val="24"/>
        </w:rPr>
      </w:pPr>
    </w:p>
    <w:p w:rsidR="00BB44DA" w:rsidRDefault="00BB44DA">
      <w:pPr>
        <w:widowControl/>
        <w:jc w:val="left"/>
        <w:rPr>
          <w:b/>
          <w:color w:val="000000"/>
        </w:rPr>
      </w:pPr>
    </w:p>
    <w:p w:rsidR="00BB44DA" w:rsidRDefault="00D9408E">
      <w:pPr>
        <w:pStyle w:val="biaogeright"/>
        <w:rPr>
          <w:b/>
        </w:rPr>
      </w:pPr>
      <w:r>
        <w:rPr>
          <w:rFonts w:hint="eastAsia"/>
          <w:b/>
        </w:rPr>
        <w:t>南京银行股份有限公司</w:t>
      </w:r>
    </w:p>
    <w:p w:rsidR="00BB44DA" w:rsidRDefault="00D9408E">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p w:rsidR="00BB44DA" w:rsidRDefault="00BB44DA">
      <w:pPr>
        <w:pStyle w:val="biaogeright"/>
        <w:rPr>
          <w:color w:val="000000"/>
        </w:rPr>
      </w:pPr>
    </w:p>
    <w:sectPr w:rsidR="00BB44DA" w:rsidSect="00BB44DA">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08E" w:rsidRDefault="00D9408E" w:rsidP="00BB44DA">
      <w:r>
        <w:separator/>
      </w:r>
    </w:p>
  </w:endnote>
  <w:endnote w:type="continuationSeparator" w:id="1">
    <w:p w:rsidR="00D9408E" w:rsidRDefault="00D9408E" w:rsidP="00BB44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DA" w:rsidRDefault="00BB44DA">
    <w:pPr>
      <w:pStyle w:val="a5"/>
      <w:framePr w:wrap="around" w:vAnchor="text" w:hAnchor="margin" w:xAlign="center" w:y="1"/>
      <w:rPr>
        <w:rStyle w:val="aa"/>
      </w:rPr>
    </w:pPr>
    <w:r>
      <w:fldChar w:fldCharType="begin"/>
    </w:r>
    <w:r w:rsidR="00D9408E">
      <w:rPr>
        <w:rStyle w:val="aa"/>
      </w:rPr>
      <w:instrText xml:space="preserve">PAGE  </w:instrText>
    </w:r>
    <w:r>
      <w:fldChar w:fldCharType="end"/>
    </w:r>
  </w:p>
  <w:p w:rsidR="00BB44DA" w:rsidRDefault="00BB44D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DA" w:rsidRDefault="00BB44DA">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0D9" w:rsidRDefault="00E570D9">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DA" w:rsidRDefault="00BB44DA">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4DA" w:rsidRDefault="00BB44D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08E" w:rsidRDefault="00D9408E" w:rsidP="00BB44DA">
      <w:r>
        <w:separator/>
      </w:r>
    </w:p>
  </w:footnote>
  <w:footnote w:type="continuationSeparator" w:id="1">
    <w:p w:rsidR="00D9408E" w:rsidRDefault="00D9408E" w:rsidP="00BB44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0D9" w:rsidRDefault="00E570D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0D9" w:rsidRDefault="00E570D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70D9" w:rsidRDefault="00E570D9">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A4E32"/>
    <w:rsid w:val="000D5066"/>
    <w:rsid w:val="000D74DA"/>
    <w:rsid w:val="000F6191"/>
    <w:rsid w:val="00130CE8"/>
    <w:rsid w:val="00152201"/>
    <w:rsid w:val="00172A27"/>
    <w:rsid w:val="00176636"/>
    <w:rsid w:val="00183C84"/>
    <w:rsid w:val="001B5A92"/>
    <w:rsid w:val="001C05F9"/>
    <w:rsid w:val="001C5395"/>
    <w:rsid w:val="001E274F"/>
    <w:rsid w:val="0020218B"/>
    <w:rsid w:val="00211F26"/>
    <w:rsid w:val="002263FC"/>
    <w:rsid w:val="002562AA"/>
    <w:rsid w:val="002A3AE9"/>
    <w:rsid w:val="002C196E"/>
    <w:rsid w:val="002D296F"/>
    <w:rsid w:val="002D75D0"/>
    <w:rsid w:val="002E795C"/>
    <w:rsid w:val="00305714"/>
    <w:rsid w:val="00313E71"/>
    <w:rsid w:val="00321CB7"/>
    <w:rsid w:val="00323A89"/>
    <w:rsid w:val="003379A9"/>
    <w:rsid w:val="00350ADF"/>
    <w:rsid w:val="00355623"/>
    <w:rsid w:val="00377860"/>
    <w:rsid w:val="003A0419"/>
    <w:rsid w:val="003C4D3B"/>
    <w:rsid w:val="003E09EA"/>
    <w:rsid w:val="003F0AC3"/>
    <w:rsid w:val="00456251"/>
    <w:rsid w:val="004C1607"/>
    <w:rsid w:val="004C1BE1"/>
    <w:rsid w:val="005069D8"/>
    <w:rsid w:val="0056162E"/>
    <w:rsid w:val="00563B93"/>
    <w:rsid w:val="00567DB3"/>
    <w:rsid w:val="00575BEA"/>
    <w:rsid w:val="005B3434"/>
    <w:rsid w:val="005E0D0A"/>
    <w:rsid w:val="005E269F"/>
    <w:rsid w:val="005E2884"/>
    <w:rsid w:val="005E5050"/>
    <w:rsid w:val="005F2C7B"/>
    <w:rsid w:val="005F4073"/>
    <w:rsid w:val="005F4D04"/>
    <w:rsid w:val="005F7DA9"/>
    <w:rsid w:val="006054F8"/>
    <w:rsid w:val="0065419A"/>
    <w:rsid w:val="00654220"/>
    <w:rsid w:val="00663B94"/>
    <w:rsid w:val="00677F66"/>
    <w:rsid w:val="006B3475"/>
    <w:rsid w:val="006C7F31"/>
    <w:rsid w:val="006E4E94"/>
    <w:rsid w:val="00730BEE"/>
    <w:rsid w:val="0073101E"/>
    <w:rsid w:val="00735153"/>
    <w:rsid w:val="00745421"/>
    <w:rsid w:val="007A4219"/>
    <w:rsid w:val="007C1D95"/>
    <w:rsid w:val="007D1DCF"/>
    <w:rsid w:val="0080200C"/>
    <w:rsid w:val="00814110"/>
    <w:rsid w:val="0082561A"/>
    <w:rsid w:val="00846B2E"/>
    <w:rsid w:val="00853290"/>
    <w:rsid w:val="0085663C"/>
    <w:rsid w:val="008664C9"/>
    <w:rsid w:val="008768AB"/>
    <w:rsid w:val="008926F7"/>
    <w:rsid w:val="008A7510"/>
    <w:rsid w:val="008C78BD"/>
    <w:rsid w:val="008F0FA3"/>
    <w:rsid w:val="00900D90"/>
    <w:rsid w:val="009354D6"/>
    <w:rsid w:val="00970A98"/>
    <w:rsid w:val="009A2DB0"/>
    <w:rsid w:val="009C781F"/>
    <w:rsid w:val="009D5296"/>
    <w:rsid w:val="009E6170"/>
    <w:rsid w:val="00A37451"/>
    <w:rsid w:val="00A4484F"/>
    <w:rsid w:val="00A65749"/>
    <w:rsid w:val="00A724B6"/>
    <w:rsid w:val="00A76D4B"/>
    <w:rsid w:val="00A77C47"/>
    <w:rsid w:val="00A9119C"/>
    <w:rsid w:val="00AA4549"/>
    <w:rsid w:val="00AC5144"/>
    <w:rsid w:val="00B13014"/>
    <w:rsid w:val="00B17559"/>
    <w:rsid w:val="00B33B19"/>
    <w:rsid w:val="00B404E6"/>
    <w:rsid w:val="00B4360D"/>
    <w:rsid w:val="00B61EA9"/>
    <w:rsid w:val="00B670D1"/>
    <w:rsid w:val="00B74DCA"/>
    <w:rsid w:val="00B82868"/>
    <w:rsid w:val="00B83F0A"/>
    <w:rsid w:val="00BB44DA"/>
    <w:rsid w:val="00BC02E0"/>
    <w:rsid w:val="00BC3903"/>
    <w:rsid w:val="00BC55A9"/>
    <w:rsid w:val="00BE47E0"/>
    <w:rsid w:val="00BF75C8"/>
    <w:rsid w:val="00C1762E"/>
    <w:rsid w:val="00C22DF9"/>
    <w:rsid w:val="00C25123"/>
    <w:rsid w:val="00C30A48"/>
    <w:rsid w:val="00C375A7"/>
    <w:rsid w:val="00C62DF8"/>
    <w:rsid w:val="00C640FB"/>
    <w:rsid w:val="00C74EEB"/>
    <w:rsid w:val="00CA3774"/>
    <w:rsid w:val="00CA5538"/>
    <w:rsid w:val="00CB054E"/>
    <w:rsid w:val="00CC52D7"/>
    <w:rsid w:val="00CF5D61"/>
    <w:rsid w:val="00D23AB6"/>
    <w:rsid w:val="00D26A28"/>
    <w:rsid w:val="00D42895"/>
    <w:rsid w:val="00D50309"/>
    <w:rsid w:val="00D51AA9"/>
    <w:rsid w:val="00D7264A"/>
    <w:rsid w:val="00D84E43"/>
    <w:rsid w:val="00D870DF"/>
    <w:rsid w:val="00D9408E"/>
    <w:rsid w:val="00DB0C2F"/>
    <w:rsid w:val="00DB3ABD"/>
    <w:rsid w:val="00DB3BF6"/>
    <w:rsid w:val="00DC31CC"/>
    <w:rsid w:val="00DC728A"/>
    <w:rsid w:val="00DD2F3C"/>
    <w:rsid w:val="00DE55D6"/>
    <w:rsid w:val="00E1059D"/>
    <w:rsid w:val="00E155DF"/>
    <w:rsid w:val="00E246E1"/>
    <w:rsid w:val="00E52186"/>
    <w:rsid w:val="00E560F1"/>
    <w:rsid w:val="00E570D9"/>
    <w:rsid w:val="00E62A3D"/>
    <w:rsid w:val="00E81C1D"/>
    <w:rsid w:val="00E944FA"/>
    <w:rsid w:val="00E9797A"/>
    <w:rsid w:val="00EA303E"/>
    <w:rsid w:val="00EA7ABC"/>
    <w:rsid w:val="00EB2746"/>
    <w:rsid w:val="00EE0436"/>
    <w:rsid w:val="00F102EC"/>
    <w:rsid w:val="00F1465C"/>
    <w:rsid w:val="00F41324"/>
    <w:rsid w:val="00F57C12"/>
    <w:rsid w:val="00F609FD"/>
    <w:rsid w:val="00F859AB"/>
    <w:rsid w:val="00F87DFE"/>
    <w:rsid w:val="00F92ECE"/>
    <w:rsid w:val="00F950D0"/>
    <w:rsid w:val="00FA2C26"/>
    <w:rsid w:val="00FC00C5"/>
    <w:rsid w:val="030F2BA7"/>
    <w:rsid w:val="04240CEE"/>
    <w:rsid w:val="065551D3"/>
    <w:rsid w:val="06C37561"/>
    <w:rsid w:val="074F31E7"/>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AA91FE0"/>
    <w:rsid w:val="6D05415D"/>
    <w:rsid w:val="6F66394D"/>
    <w:rsid w:val="73193673"/>
    <w:rsid w:val="742938C1"/>
    <w:rsid w:val="74543F24"/>
    <w:rsid w:val="74BE328D"/>
    <w:rsid w:val="75FD6939"/>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44D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B44DA"/>
    <w:pPr>
      <w:jc w:val="left"/>
    </w:pPr>
  </w:style>
  <w:style w:type="paragraph" w:styleId="a4">
    <w:name w:val="Balloon Text"/>
    <w:basedOn w:val="a"/>
    <w:link w:val="Char0"/>
    <w:uiPriority w:val="99"/>
    <w:unhideWhenUsed/>
    <w:qFormat/>
    <w:rsid w:val="00BB44DA"/>
    <w:rPr>
      <w:sz w:val="18"/>
      <w:szCs w:val="18"/>
    </w:rPr>
  </w:style>
  <w:style w:type="paragraph" w:styleId="a5">
    <w:name w:val="footer"/>
    <w:basedOn w:val="a"/>
    <w:link w:val="Char1"/>
    <w:uiPriority w:val="99"/>
    <w:unhideWhenUsed/>
    <w:qFormat/>
    <w:rsid w:val="00BB44DA"/>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BB44DA"/>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BB44DA"/>
    <w:pPr>
      <w:snapToGrid w:val="0"/>
      <w:jc w:val="left"/>
    </w:pPr>
    <w:rPr>
      <w:sz w:val="18"/>
    </w:rPr>
  </w:style>
  <w:style w:type="paragraph" w:styleId="a8">
    <w:name w:val="Normal (Web)"/>
    <w:basedOn w:val="a"/>
    <w:qFormat/>
    <w:rsid w:val="00BB44DA"/>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BB44DA"/>
    <w:rPr>
      <w:b/>
      <w:bCs/>
    </w:rPr>
  </w:style>
  <w:style w:type="character" w:styleId="aa">
    <w:name w:val="page number"/>
    <w:basedOn w:val="a0"/>
    <w:uiPriority w:val="99"/>
    <w:unhideWhenUsed/>
    <w:qFormat/>
    <w:rsid w:val="00BB44DA"/>
  </w:style>
  <w:style w:type="character" w:styleId="ab">
    <w:name w:val="annotation reference"/>
    <w:uiPriority w:val="99"/>
    <w:unhideWhenUsed/>
    <w:qFormat/>
    <w:rsid w:val="00BB44DA"/>
    <w:rPr>
      <w:sz w:val="21"/>
      <w:szCs w:val="21"/>
    </w:rPr>
  </w:style>
  <w:style w:type="character" w:styleId="ac">
    <w:name w:val="footnote reference"/>
    <w:uiPriority w:val="99"/>
    <w:unhideWhenUsed/>
    <w:qFormat/>
    <w:rsid w:val="00BB44DA"/>
    <w:rPr>
      <w:vertAlign w:val="superscript"/>
    </w:rPr>
  </w:style>
  <w:style w:type="character" w:customStyle="1" w:styleId="Char0">
    <w:name w:val="批注框文本 Char"/>
    <w:link w:val="a4"/>
    <w:uiPriority w:val="99"/>
    <w:semiHidden/>
    <w:qFormat/>
    <w:rsid w:val="00BB44DA"/>
    <w:rPr>
      <w:kern w:val="2"/>
      <w:sz w:val="18"/>
      <w:szCs w:val="18"/>
    </w:rPr>
  </w:style>
  <w:style w:type="character" w:customStyle="1" w:styleId="Char2">
    <w:name w:val="页眉 Char"/>
    <w:link w:val="a6"/>
    <w:uiPriority w:val="99"/>
    <w:semiHidden/>
    <w:qFormat/>
    <w:locked/>
    <w:rsid w:val="00BB44DA"/>
    <w:rPr>
      <w:rFonts w:ascii="Times New Roman" w:hAnsi="Times New Roman" w:cs="Times New Roman" w:hint="default"/>
      <w:sz w:val="18"/>
      <w:szCs w:val="18"/>
    </w:rPr>
  </w:style>
  <w:style w:type="character" w:customStyle="1" w:styleId="Char3">
    <w:name w:val="批注主题 Char"/>
    <w:link w:val="a9"/>
    <w:uiPriority w:val="99"/>
    <w:semiHidden/>
    <w:qFormat/>
    <w:rsid w:val="00BB44DA"/>
    <w:rPr>
      <w:b/>
      <w:bCs/>
      <w:kern w:val="2"/>
      <w:sz w:val="21"/>
      <w:szCs w:val="22"/>
    </w:rPr>
  </w:style>
  <w:style w:type="character" w:customStyle="1" w:styleId="Char1">
    <w:name w:val="页脚 Char"/>
    <w:link w:val="a5"/>
    <w:uiPriority w:val="99"/>
    <w:semiHidden/>
    <w:qFormat/>
    <w:locked/>
    <w:rsid w:val="00BB44DA"/>
    <w:rPr>
      <w:rFonts w:ascii="Times New Roman" w:hAnsi="Times New Roman" w:cs="Times New Roman" w:hint="default"/>
      <w:sz w:val="18"/>
      <w:szCs w:val="18"/>
    </w:rPr>
  </w:style>
  <w:style w:type="character" w:customStyle="1" w:styleId="Char">
    <w:name w:val="批注文字 Char"/>
    <w:link w:val="a3"/>
    <w:uiPriority w:val="99"/>
    <w:qFormat/>
    <w:rsid w:val="00BB44DA"/>
    <w:rPr>
      <w:kern w:val="2"/>
      <w:sz w:val="21"/>
      <w:szCs w:val="22"/>
    </w:rPr>
  </w:style>
  <w:style w:type="paragraph" w:customStyle="1" w:styleId="zhongyaotishi">
    <w:name w:val="zhongyaotishi"/>
    <w:basedOn w:val="a"/>
    <w:qFormat/>
    <w:rsid w:val="00BB44D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BB44D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BB44D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BB44D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BB44D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BB44DA"/>
    <w:pPr>
      <w:widowControl w:val="0"/>
      <w:jc w:val="center"/>
    </w:pPr>
    <w:rPr>
      <w:kern w:val="2"/>
      <w:sz w:val="33"/>
      <w:szCs w:val="22"/>
    </w:rPr>
  </w:style>
  <w:style w:type="paragraph" w:customStyle="1" w:styleId="biaogeleft">
    <w:name w:val="biaoge_left"/>
    <w:basedOn w:val="a"/>
    <w:qFormat/>
    <w:rsid w:val="00BB44D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BB44D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BB44D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BB44D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BB44D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BB44DA"/>
    <w:pPr>
      <w:widowControl w:val="0"/>
    </w:pPr>
    <w:rPr>
      <w:kern w:val="2"/>
      <w:sz w:val="21"/>
      <w:szCs w:val="22"/>
    </w:rPr>
  </w:style>
  <w:style w:type="paragraph" w:customStyle="1" w:styleId="neirong">
    <w:name w:val="neirong"/>
    <w:basedOn w:val="a"/>
    <w:qFormat/>
    <w:rsid w:val="00BB44DA"/>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rsid w:val="00BB44DA"/>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10</Pages>
  <Words>834</Words>
  <Characters>4757</Characters>
  <Application>Microsoft Office Word</Application>
  <DocSecurity>0</DocSecurity>
  <Lines>39</Lines>
  <Paragraphs>11</Paragraphs>
  <ScaleCrop>false</ScaleCrop>
  <Company>微软中国</Company>
  <LinksUpToDate>false</LinksUpToDate>
  <CharactersWithSpaces>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33</cp:revision>
  <cp:lastPrinted>2019-09-11T00:56:00Z</cp:lastPrinted>
  <dcterms:created xsi:type="dcterms:W3CDTF">2020-12-16T03:30:00Z</dcterms:created>
  <dcterms:modified xsi:type="dcterms:W3CDTF">2021-03-30T02:19:00Z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6D5042E53A6F4B5FA39EEF47040D626D</vt:lpwstr>
  </property>
</Properties>
</file>