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5D" w:rsidRDefault="0075275D">
      <w:pPr>
        <w:pStyle w:val="dazhangjie"/>
        <w:rPr>
          <w:b/>
          <w:bCs/>
          <w:color w:val="000000"/>
        </w:rPr>
      </w:pPr>
    </w:p>
    <w:p w:rsidR="0075275D" w:rsidRDefault="0075275D">
      <w:pPr>
        <w:pStyle w:val="dazhangjie"/>
        <w:rPr>
          <w:b/>
          <w:bCs/>
          <w:color w:val="000000"/>
        </w:rPr>
      </w:pPr>
    </w:p>
    <w:p w:rsidR="0075275D" w:rsidRDefault="0075275D">
      <w:pPr>
        <w:pStyle w:val="dazhangjie"/>
        <w:rPr>
          <w:b/>
          <w:bCs/>
          <w:color w:val="000000"/>
        </w:rPr>
      </w:pPr>
    </w:p>
    <w:p w:rsidR="0075275D" w:rsidRDefault="00360B7D">
      <w:pPr>
        <w:pStyle w:val="dazhangjie"/>
        <w:spacing w:before="240" w:after="120"/>
        <w:rPr>
          <w:rFonts w:ascii="黑体" w:eastAsia="黑体" w:hAnsi="黑体"/>
          <w:b/>
          <w:bCs/>
          <w:sz w:val="36"/>
        </w:rPr>
      </w:pPr>
      <w:r>
        <w:rPr>
          <w:rFonts w:ascii="黑体" w:eastAsia="黑体" w:hAnsi="黑体" w:hint="eastAsia"/>
          <w:b/>
          <w:bCs/>
          <w:sz w:val="36"/>
        </w:rPr>
        <w:t>南京银行珠联璧合安稳</w:t>
      </w:r>
      <w:r>
        <w:rPr>
          <w:rFonts w:ascii="黑体" w:eastAsia="黑体" w:hAnsi="黑体"/>
          <w:b/>
          <w:bCs/>
          <w:sz w:val="36"/>
        </w:rPr>
        <w:t>1912</w:t>
      </w:r>
      <w:r>
        <w:rPr>
          <w:rFonts w:ascii="黑体" w:eastAsia="黑体" w:hAnsi="黑体"/>
          <w:b/>
          <w:bCs/>
          <w:sz w:val="36"/>
        </w:rPr>
        <w:t>一年定开公募人民币理财产品</w:t>
      </w:r>
    </w:p>
    <w:p w:rsidR="0075275D" w:rsidRDefault="00360B7D">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75275D" w:rsidRDefault="0075275D">
      <w:pPr>
        <w:pStyle w:val="dazhangjie"/>
        <w:spacing w:before="240" w:after="120"/>
        <w:rPr>
          <w:rFonts w:ascii="黑体" w:eastAsia="黑体" w:hAnsi="黑体"/>
          <w:b/>
          <w:bCs/>
          <w:color w:val="000000"/>
          <w:sz w:val="36"/>
        </w:rPr>
      </w:pPr>
    </w:p>
    <w:p w:rsidR="0075275D" w:rsidRDefault="0075275D">
      <w:pPr>
        <w:pStyle w:val="dazhangjie"/>
        <w:spacing w:before="240" w:after="120"/>
        <w:rPr>
          <w:rFonts w:ascii="黑体" w:eastAsia="黑体" w:hAnsi="黑体"/>
          <w:b/>
          <w:bCs/>
          <w:color w:val="000000"/>
          <w:sz w:val="36"/>
        </w:rPr>
      </w:pPr>
    </w:p>
    <w:p w:rsidR="0075275D" w:rsidRDefault="0075275D">
      <w:pPr>
        <w:pStyle w:val="dazhangjie"/>
        <w:spacing w:before="240" w:after="120"/>
        <w:rPr>
          <w:rFonts w:ascii="黑体" w:eastAsia="黑体" w:hAnsi="黑体"/>
          <w:b/>
          <w:bCs/>
          <w:color w:val="000000"/>
          <w:sz w:val="36"/>
        </w:rPr>
      </w:pPr>
    </w:p>
    <w:p w:rsidR="0075275D" w:rsidRDefault="0075275D">
      <w:pPr>
        <w:pStyle w:val="dazhangjie"/>
        <w:spacing w:before="240" w:after="120"/>
        <w:rPr>
          <w:rFonts w:ascii="黑体" w:eastAsia="黑体" w:hAnsi="黑体"/>
          <w:b/>
          <w:bCs/>
          <w:color w:val="000000"/>
          <w:sz w:val="36"/>
        </w:rPr>
      </w:pPr>
    </w:p>
    <w:p w:rsidR="0075275D" w:rsidRDefault="0075275D">
      <w:pPr>
        <w:pStyle w:val="dazhangjie"/>
        <w:spacing w:before="240" w:after="120"/>
        <w:rPr>
          <w:rFonts w:ascii="黑体" w:eastAsia="黑体" w:hAnsi="黑体"/>
          <w:b/>
          <w:bCs/>
          <w:color w:val="000000"/>
          <w:sz w:val="36"/>
        </w:rPr>
      </w:pPr>
    </w:p>
    <w:p w:rsidR="0075275D" w:rsidRDefault="0075275D">
      <w:pPr>
        <w:pStyle w:val="dazhangjie"/>
        <w:spacing w:before="240" w:after="120"/>
        <w:rPr>
          <w:rFonts w:ascii="黑体" w:eastAsia="黑体" w:hAnsi="黑体"/>
          <w:b/>
          <w:bCs/>
          <w:color w:val="000000"/>
          <w:sz w:val="36"/>
        </w:rPr>
      </w:pPr>
    </w:p>
    <w:p w:rsidR="0075275D" w:rsidRDefault="0075275D">
      <w:pPr>
        <w:pStyle w:val="dazhangjie"/>
        <w:spacing w:before="240" w:after="120"/>
        <w:rPr>
          <w:rFonts w:ascii="黑体" w:eastAsia="黑体" w:hAnsi="黑体"/>
          <w:b/>
          <w:bCs/>
          <w:color w:val="000000"/>
          <w:sz w:val="36"/>
        </w:rPr>
      </w:pPr>
    </w:p>
    <w:p w:rsidR="0075275D" w:rsidRDefault="0075275D">
      <w:pPr>
        <w:pStyle w:val="dazhangjie"/>
        <w:spacing w:before="240" w:after="120"/>
        <w:rPr>
          <w:rFonts w:ascii="黑体" w:eastAsia="黑体" w:hAnsi="黑体"/>
          <w:b/>
          <w:bCs/>
          <w:color w:val="000000"/>
          <w:sz w:val="36"/>
        </w:rPr>
      </w:pPr>
    </w:p>
    <w:p w:rsidR="0075275D" w:rsidRDefault="0075275D">
      <w:pPr>
        <w:pStyle w:val="dazhangjie"/>
        <w:spacing w:before="240" w:after="120"/>
        <w:ind w:left="0"/>
        <w:jc w:val="both"/>
        <w:rPr>
          <w:rFonts w:ascii="黑体" w:eastAsia="黑体" w:hAnsi="黑体"/>
          <w:b/>
          <w:bCs/>
          <w:color w:val="000000"/>
          <w:sz w:val="36"/>
        </w:rPr>
      </w:pPr>
    </w:p>
    <w:p w:rsidR="0075275D" w:rsidRDefault="00360B7D">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75275D" w:rsidRDefault="00360B7D">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75275D" w:rsidRDefault="0075275D">
      <w:pPr>
        <w:widowControl/>
        <w:jc w:val="left"/>
        <w:rPr>
          <w:rFonts w:ascii="宋体" w:hAnsi="宋体" w:cs="宋体"/>
          <w:color w:val="000000"/>
          <w:kern w:val="0"/>
          <w:sz w:val="24"/>
          <w:szCs w:val="24"/>
        </w:rPr>
        <w:sectPr w:rsidR="0075275D">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75275D" w:rsidRDefault="0075275D">
      <w:pPr>
        <w:widowControl/>
        <w:jc w:val="left"/>
        <w:rPr>
          <w:rFonts w:ascii="宋体" w:hAnsi="宋体" w:cs="宋体"/>
          <w:color w:val="000000"/>
          <w:kern w:val="0"/>
          <w:sz w:val="24"/>
          <w:szCs w:val="24"/>
        </w:rPr>
      </w:pPr>
    </w:p>
    <w:p w:rsidR="0075275D" w:rsidRDefault="00360B7D">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75275D" w:rsidRDefault="0075275D">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75275D">
        <w:tc>
          <w:tcPr>
            <w:tcW w:w="2811"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rPr>
              <w:t>南京银行珠联璧合安稳</w:t>
            </w:r>
            <w:r>
              <w:rPr>
                <w:rFonts w:hint="eastAsia"/>
              </w:rPr>
              <w:t>1912</w:t>
            </w:r>
            <w:r>
              <w:rPr>
                <w:rFonts w:hint="eastAsia"/>
              </w:rPr>
              <w:t>一年定开公募人民币理财产品</w:t>
            </w:r>
          </w:p>
        </w:tc>
      </w:tr>
      <w:tr w:rsidR="0075275D">
        <w:tc>
          <w:tcPr>
            <w:tcW w:w="2811"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pPr>
            <w:r>
              <w:t>C1086919000022</w:t>
            </w:r>
            <w:r>
              <w:rPr>
                <w:rFonts w:hint="eastAsia"/>
              </w:rPr>
              <w:t>（投资者可依据该编码在中国理财网</w:t>
            </w:r>
            <w:r>
              <w:rPr>
                <w:rFonts w:hint="eastAsia"/>
              </w:rPr>
              <w:t>www.chinawealth.com.cn</w:t>
            </w:r>
            <w:r>
              <w:rPr>
                <w:rFonts w:hint="eastAsia"/>
              </w:rPr>
              <w:t>查询理财产品相关信息）</w:t>
            </w:r>
          </w:p>
        </w:tc>
      </w:tr>
      <w:tr w:rsidR="0075275D">
        <w:tc>
          <w:tcPr>
            <w:tcW w:w="2811"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rPr>
              <w:t>开放式</w:t>
            </w:r>
            <w:r>
              <w:rPr>
                <w:rFonts w:hint="eastAsia"/>
              </w:rPr>
              <w:t>净值型</w:t>
            </w:r>
          </w:p>
        </w:tc>
      </w:tr>
      <w:tr w:rsidR="0075275D">
        <w:tc>
          <w:tcPr>
            <w:tcW w:w="2811" w:type="dxa"/>
            <w:tcBorders>
              <w:top w:val="single" w:sz="8" w:space="0" w:color="000000"/>
              <w:left w:val="single" w:sz="8" w:space="0" w:color="000000"/>
              <w:bottom w:val="single" w:sz="6" w:space="0" w:color="000000"/>
              <w:right w:val="single" w:sz="8" w:space="0" w:color="000000"/>
            </w:tcBorders>
            <w:vAlign w:val="center"/>
          </w:tcPr>
          <w:p w:rsidR="0075275D" w:rsidRDefault="007A4804">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rPr>
              <w:t>2019</w:t>
            </w:r>
            <w:r>
              <w:rPr>
                <w:rFonts w:hint="eastAsia"/>
              </w:rPr>
              <w:t>年</w:t>
            </w:r>
            <w:r>
              <w:rPr>
                <w:rFonts w:hint="eastAsia"/>
              </w:rPr>
              <w:t>12</w:t>
            </w:r>
            <w:r>
              <w:rPr>
                <w:rFonts w:hint="eastAsia"/>
              </w:rPr>
              <w:t>月</w:t>
            </w:r>
            <w:r>
              <w:rPr>
                <w:rFonts w:hint="eastAsia"/>
              </w:rPr>
              <w:t>05</w:t>
            </w:r>
            <w:r>
              <w:rPr>
                <w:rFonts w:hint="eastAsia"/>
              </w:rPr>
              <w:t>日</w:t>
            </w:r>
          </w:p>
        </w:tc>
      </w:tr>
      <w:tr w:rsidR="0075275D">
        <w:tc>
          <w:tcPr>
            <w:tcW w:w="2811"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highlight w:val="yellow"/>
              </w:rPr>
            </w:pPr>
            <w:r>
              <w:rPr>
                <w:rFonts w:hint="eastAsia"/>
              </w:rPr>
              <w:t>1,247,959,466.60</w:t>
            </w:r>
            <w:r>
              <w:rPr>
                <w:rFonts w:hint="eastAsia"/>
              </w:rPr>
              <w:t>份</w:t>
            </w:r>
          </w:p>
        </w:tc>
      </w:tr>
      <w:tr w:rsidR="0075275D">
        <w:tc>
          <w:tcPr>
            <w:tcW w:w="2811"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color w:val="000000"/>
              </w:rPr>
              <w:t>100.49%</w:t>
            </w:r>
          </w:p>
        </w:tc>
      </w:tr>
      <w:tr w:rsidR="0075275D">
        <w:tc>
          <w:tcPr>
            <w:tcW w:w="2811"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color w:val="000000"/>
              </w:rPr>
              <w:t>-</w:t>
            </w:r>
          </w:p>
        </w:tc>
      </w:tr>
      <w:tr w:rsidR="0075275D">
        <w:tc>
          <w:tcPr>
            <w:tcW w:w="2811"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rPr>
              <w:t>南京银行股份有限公司</w:t>
            </w:r>
          </w:p>
        </w:tc>
      </w:tr>
      <w:tr w:rsidR="0075275D">
        <w:tc>
          <w:tcPr>
            <w:tcW w:w="2811"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left"/>
              <w:wordWrap w:val="0"/>
              <w:rPr>
                <w:color w:val="000000"/>
              </w:rPr>
            </w:pPr>
            <w:r>
              <w:rPr>
                <w:rFonts w:hint="eastAsia"/>
              </w:rPr>
              <w:t>南京银行股份有限公司</w:t>
            </w:r>
          </w:p>
        </w:tc>
      </w:tr>
    </w:tbl>
    <w:p w:rsidR="0075275D" w:rsidRDefault="0075275D">
      <w:pPr>
        <w:widowControl/>
        <w:jc w:val="left"/>
        <w:rPr>
          <w:rFonts w:ascii="宋体" w:hAnsi="宋体" w:cs="宋体"/>
          <w:color w:val="000000"/>
          <w:kern w:val="0"/>
          <w:sz w:val="24"/>
          <w:szCs w:val="24"/>
        </w:rPr>
      </w:pPr>
    </w:p>
    <w:p w:rsidR="0075275D" w:rsidRDefault="0075275D">
      <w:pPr>
        <w:pStyle w:val="dazhangjie"/>
        <w:rPr>
          <w:rFonts w:hAnsi="Calibri"/>
          <w:b/>
          <w:color w:val="000000"/>
        </w:rPr>
      </w:pPr>
    </w:p>
    <w:p w:rsidR="0075275D" w:rsidRDefault="00360B7D">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75275D" w:rsidRDefault="0075275D">
      <w:pPr>
        <w:widowControl/>
        <w:jc w:val="left"/>
        <w:rPr>
          <w:rFonts w:ascii="宋体" w:hAnsi="宋体" w:cs="宋体"/>
          <w:color w:val="000000"/>
          <w:kern w:val="0"/>
          <w:sz w:val="24"/>
          <w:szCs w:val="24"/>
        </w:rPr>
      </w:pPr>
    </w:p>
    <w:p w:rsidR="0075275D" w:rsidRDefault="00360B7D">
      <w:pPr>
        <w:pStyle w:val="zhangjiep"/>
        <w:rPr>
          <w:color w:val="000000"/>
        </w:rPr>
      </w:pPr>
      <w:r>
        <w:rPr>
          <w:rFonts w:hint="eastAsia"/>
          <w:b/>
          <w:bCs/>
          <w:color w:val="000000"/>
        </w:rPr>
        <w:t xml:space="preserve">2.1 </w:t>
      </w:r>
      <w:r>
        <w:rPr>
          <w:rFonts w:hint="eastAsia"/>
          <w:b/>
          <w:bCs/>
          <w:color w:val="000000"/>
        </w:rPr>
        <w:t>主要财务指标</w:t>
      </w:r>
    </w:p>
    <w:p w:rsidR="0075275D" w:rsidRDefault="00360B7D">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75275D">
        <w:tc>
          <w:tcPr>
            <w:tcW w:w="5220"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75275D">
        <w:tc>
          <w:tcPr>
            <w:tcW w:w="5220"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right"/>
              <w:jc w:val="center"/>
              <w:rPr>
                <w:color w:val="000000"/>
                <w:highlight w:val="yellow"/>
              </w:rPr>
            </w:pPr>
            <w:r>
              <w:rPr>
                <w:rFonts w:hint="eastAsia"/>
              </w:rPr>
              <w:t>1,252,584,667.09</w:t>
            </w:r>
          </w:p>
        </w:tc>
      </w:tr>
      <w:tr w:rsidR="0075275D">
        <w:tc>
          <w:tcPr>
            <w:tcW w:w="5220"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right"/>
              <w:jc w:val="center"/>
              <w:rPr>
                <w:color w:val="000000"/>
                <w:highlight w:val="yellow"/>
              </w:rPr>
            </w:pPr>
            <w:r>
              <w:rPr>
                <w:rFonts w:hint="eastAsia"/>
              </w:rPr>
              <w:t>1.0037</w:t>
            </w:r>
          </w:p>
        </w:tc>
      </w:tr>
      <w:tr w:rsidR="0075275D">
        <w:tc>
          <w:tcPr>
            <w:tcW w:w="5220"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right"/>
              <w:jc w:val="center"/>
              <w:rPr>
                <w:color w:val="000000"/>
                <w:highlight w:val="yellow"/>
              </w:rPr>
            </w:pPr>
            <w:r>
              <w:rPr>
                <w:color w:val="000000"/>
              </w:rPr>
              <w:t>1.0510</w:t>
            </w:r>
          </w:p>
        </w:tc>
      </w:tr>
      <w:tr w:rsidR="0075275D">
        <w:tc>
          <w:tcPr>
            <w:tcW w:w="5220" w:type="dxa"/>
            <w:vAlign w:val="center"/>
          </w:tcPr>
          <w:p w:rsidR="0075275D" w:rsidRDefault="0075275D">
            <w:pPr>
              <w:widowControl/>
              <w:jc w:val="left"/>
              <w:rPr>
                <w:rFonts w:ascii="宋体" w:hAnsi="宋体" w:cs="宋体"/>
                <w:color w:val="000000"/>
                <w:kern w:val="0"/>
                <w:sz w:val="24"/>
                <w:szCs w:val="24"/>
              </w:rPr>
            </w:pPr>
          </w:p>
        </w:tc>
        <w:tc>
          <w:tcPr>
            <w:tcW w:w="3825" w:type="dxa"/>
            <w:vAlign w:val="center"/>
          </w:tcPr>
          <w:p w:rsidR="0075275D" w:rsidRDefault="0075275D">
            <w:pPr>
              <w:widowControl/>
              <w:jc w:val="left"/>
              <w:rPr>
                <w:color w:val="000000"/>
                <w:kern w:val="0"/>
                <w:sz w:val="20"/>
                <w:szCs w:val="20"/>
              </w:rPr>
            </w:pPr>
          </w:p>
        </w:tc>
      </w:tr>
    </w:tbl>
    <w:p w:rsidR="0075275D" w:rsidRDefault="0075275D">
      <w:pPr>
        <w:pStyle w:val="biaogeleft"/>
        <w:ind w:left="0"/>
        <w:rPr>
          <w:color w:val="000000"/>
        </w:rPr>
      </w:pPr>
    </w:p>
    <w:p w:rsidR="0075275D" w:rsidRDefault="0075275D">
      <w:pPr>
        <w:widowControl/>
        <w:jc w:val="left"/>
        <w:rPr>
          <w:rFonts w:ascii="宋体" w:hAnsi="宋体" w:cs="宋体"/>
          <w:color w:val="000000"/>
          <w:kern w:val="0"/>
          <w:sz w:val="24"/>
          <w:szCs w:val="24"/>
        </w:rPr>
      </w:pPr>
    </w:p>
    <w:p w:rsidR="0075275D" w:rsidRDefault="00360B7D">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75275D" w:rsidRDefault="00360B7D">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75275D" w:rsidRDefault="00360B7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75275D" w:rsidRDefault="00360B7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w:t>
      </w:r>
      <w:r>
        <w:rPr>
          <w:rFonts w:asciiTheme="minorEastAsia" w:eastAsiaTheme="minorEastAsia" w:hAnsiTheme="minorEastAsia" w:hint="eastAsia"/>
          <w:sz w:val="24"/>
          <w:szCs w:val="24"/>
        </w:rPr>
        <w:t>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75275D" w:rsidRDefault="00360B7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75275D" w:rsidRDefault="00360B7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w:t>
      </w:r>
      <w:r>
        <w:rPr>
          <w:rFonts w:asciiTheme="minorEastAsia" w:eastAsiaTheme="minorEastAsia" w:hAnsiTheme="minorEastAsia" w:hint="eastAsia"/>
          <w:sz w:val="24"/>
          <w:szCs w:val="24"/>
        </w:rPr>
        <w:t>配置，选择性价比较优的城投信用债及非标资产作为主要底仓，适当利用杠杆增厚收益。后续将在严格控制风险的基础上，精选个券，充分发挥票息策略优势，辅以杠杆增厚收益。</w:t>
      </w:r>
    </w:p>
    <w:p w:rsidR="0075275D" w:rsidRDefault="00360B7D">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75275D" w:rsidRDefault="00360B7D">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75275D" w:rsidRDefault="00360B7D">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75275D" w:rsidRDefault="00360B7D">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1.00</w:t>
      </w:r>
      <w:r>
        <w:rPr>
          <w:rFonts w:hint="eastAsia"/>
        </w:rPr>
        <w:t>37</w:t>
      </w:r>
      <w:r>
        <w:rPr>
          <w:rFonts w:hint="eastAsia"/>
          <w:color w:val="000000"/>
        </w:rPr>
        <w:t>元。</w:t>
      </w:r>
    </w:p>
    <w:p w:rsidR="0075275D" w:rsidRDefault="0075275D">
      <w:pPr>
        <w:widowControl/>
        <w:jc w:val="left"/>
        <w:rPr>
          <w:rFonts w:ascii="宋体" w:hAnsi="宋体" w:cs="宋体"/>
          <w:color w:val="000000"/>
          <w:kern w:val="0"/>
          <w:sz w:val="24"/>
          <w:szCs w:val="24"/>
        </w:rPr>
      </w:pPr>
    </w:p>
    <w:p w:rsidR="0075275D" w:rsidRDefault="00360B7D">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75275D" w:rsidRDefault="0075275D">
      <w:pPr>
        <w:pStyle w:val="dazhangjie"/>
        <w:rPr>
          <w:rFonts w:hAnsi="Calibri"/>
          <w:b/>
          <w:color w:val="000000"/>
        </w:rPr>
      </w:pPr>
    </w:p>
    <w:p w:rsidR="0075275D" w:rsidRDefault="00360B7D">
      <w:pPr>
        <w:pStyle w:val="a8"/>
        <w:rPr>
          <w:b/>
          <w:color w:val="000000"/>
        </w:rPr>
      </w:pPr>
      <w:bookmarkStart w:id="1" w:name="_Hlk65779940"/>
      <w:r>
        <w:rPr>
          <w:rFonts w:hint="eastAsia"/>
          <w:b/>
          <w:color w:val="000000"/>
        </w:rPr>
        <w:lastRenderedPageBreak/>
        <w:t>4.1</w:t>
      </w:r>
      <w:r>
        <w:rPr>
          <w:rFonts w:hint="eastAsia"/>
          <w:b/>
          <w:color w:val="000000"/>
        </w:rPr>
        <w:t>报告期内托管人遵规守信情况声明</w:t>
      </w:r>
    </w:p>
    <w:p w:rsidR="0075275D" w:rsidRDefault="00360B7D">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75275D" w:rsidRDefault="00360B7D">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75275D" w:rsidRDefault="00360B7D">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5275D" w:rsidRDefault="00360B7D">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托管人对本年度报告中财务信息等内容的真实、准确和完整发表意见</w:t>
      </w:r>
    </w:p>
    <w:p w:rsidR="0075275D" w:rsidRDefault="00360B7D">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1"/>
    </w:p>
    <w:p w:rsidR="0075275D" w:rsidRDefault="0075275D">
      <w:pPr>
        <w:pStyle w:val="biaogeleft"/>
        <w:spacing w:line="360" w:lineRule="auto"/>
        <w:ind w:firstLine="480"/>
        <w:rPr>
          <w:color w:val="000000"/>
        </w:rPr>
      </w:pPr>
    </w:p>
    <w:p w:rsidR="0075275D" w:rsidRDefault="00360B7D">
      <w:pPr>
        <w:pStyle w:val="dazhangjie"/>
      </w:pPr>
      <w:bookmarkStart w:id="2"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2"/>
    </w:p>
    <w:p w:rsidR="0075275D" w:rsidRDefault="0075275D">
      <w:pPr>
        <w:widowControl/>
        <w:jc w:val="left"/>
        <w:rPr>
          <w:rFonts w:ascii="宋体" w:hAnsi="宋体" w:cs="宋体"/>
          <w:kern w:val="0"/>
          <w:sz w:val="24"/>
          <w:szCs w:val="24"/>
        </w:rPr>
      </w:pPr>
    </w:p>
    <w:p w:rsidR="0075275D" w:rsidRDefault="00360B7D">
      <w:pPr>
        <w:pStyle w:val="zhangjiep"/>
      </w:pPr>
      <w:bookmarkStart w:id="3" w:name="_Toc61271615"/>
      <w:r>
        <w:rPr>
          <w:rFonts w:hint="eastAsia"/>
          <w:b/>
          <w:bCs/>
        </w:rPr>
        <w:t xml:space="preserve">5.1 </w:t>
      </w:r>
      <w:r>
        <w:rPr>
          <w:rFonts w:hint="eastAsia"/>
          <w:b/>
          <w:bCs/>
        </w:rPr>
        <w:t>资产负债表</w:t>
      </w:r>
      <w:bookmarkEnd w:id="3"/>
    </w:p>
    <w:p w:rsidR="0075275D" w:rsidRDefault="00360B7D">
      <w:pPr>
        <w:pStyle w:val="biaogeleft"/>
      </w:pPr>
      <w:r>
        <w:rPr>
          <w:rFonts w:hint="eastAsia"/>
        </w:rPr>
        <w:t>会计主体：南京银行珠联璧合安稳</w:t>
      </w:r>
      <w:r>
        <w:rPr>
          <w:rFonts w:hint="eastAsia"/>
        </w:rPr>
        <w:t>1912</w:t>
      </w:r>
      <w:r>
        <w:rPr>
          <w:rFonts w:hint="eastAsia"/>
        </w:rPr>
        <w:t>一年定开公募人民币理财产品</w:t>
      </w:r>
    </w:p>
    <w:p w:rsidR="0075275D" w:rsidRDefault="00360B7D">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5275D" w:rsidRDefault="00360B7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Ansi="Calibri" w:hint="eastAsia"/>
                <w:color w:val="000000"/>
              </w:rPr>
              <w:t>本期末</w:t>
            </w:r>
            <w:r>
              <w:rPr>
                <w:rFonts w:hAnsi="Calibri" w:hint="eastAsia"/>
                <w:color w:val="000000"/>
              </w:rPr>
              <w:t> </w:t>
            </w:r>
          </w:p>
          <w:p w:rsidR="0075275D" w:rsidRDefault="00360B7D">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Ansi="Calibri" w:hint="eastAsia"/>
                <w:color w:val="000000"/>
              </w:rPr>
              <w:t>上年度末</w:t>
            </w:r>
            <w:r>
              <w:rPr>
                <w:rFonts w:hAnsi="Calibri" w:hint="eastAsia"/>
                <w:color w:val="000000"/>
              </w:rPr>
              <w:t> </w:t>
            </w:r>
          </w:p>
          <w:p w:rsidR="0075275D" w:rsidRDefault="00360B7D">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75275D">
            <w:pPr>
              <w:rPr>
                <w:rFonts w:ascii="宋体" w:hAnsi="宋体" w:cs="宋体"/>
                <w:kern w:val="0"/>
                <w:sz w:val="24"/>
                <w:szCs w:val="24"/>
              </w:rPr>
            </w:pP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8,095,867.07</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74,538,498.24</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3,264.25</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572,439.22</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812,487,793.62</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758,583,175.85</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pPr>
            <w:r>
              <w:rPr>
                <w:rFonts w:cs="Arial" w:hint="eastAsia"/>
                <w:color w:val="000000"/>
              </w:rPr>
              <w:lastRenderedPageBreak/>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754,488,687.69</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630,584,710.24</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70,000,000.00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pP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57,999,105.93</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57,998,465.61</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16,635,771.67</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14,250,521.88</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1,609,267.12</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6,000.40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165,000,000.00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400,000,000.00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255,000,000.00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1,258,831,963.73</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1,247,950,635.59</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本期末</w:t>
            </w:r>
            <w:r>
              <w:rPr>
                <w:rFonts w:hint="eastAsia"/>
              </w:rPr>
              <w:t> </w:t>
            </w:r>
          </w:p>
          <w:p w:rsidR="0075275D" w:rsidRDefault="00360B7D">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上年度末</w:t>
            </w:r>
            <w:r>
              <w:rPr>
                <w:rFonts w:hint="eastAsia"/>
              </w:rPr>
              <w:t> </w:t>
            </w:r>
          </w:p>
          <w:p w:rsidR="0075275D" w:rsidRDefault="00360B7D">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 </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2,770,867.48</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183,992.85</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267,197.53</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18,399.15</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lastRenderedPageBreak/>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2,671,985.31</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183,992.85</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1,767.38</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535,478.94</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136,182.06</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6,247,296.64</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522,566.91</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75275D">
            <w:pPr>
              <w:rPr>
                <w:rFonts w:ascii="宋体" w:hAnsi="宋体" w:cs="宋体"/>
                <w:kern w:val="0"/>
                <w:sz w:val="24"/>
                <w:szCs w:val="24"/>
              </w:rPr>
            </w:pP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1,247,959,466.60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1,243,655,000.00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0.00</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4,625,200.49</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3,773,068.68</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1,252,584,667.09</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1,247,428,068.68</w:t>
            </w:r>
          </w:p>
        </w:tc>
      </w:tr>
      <w:tr w:rsidR="0075275D">
        <w:tc>
          <w:tcPr>
            <w:tcW w:w="260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1,258,831,963.73</w:t>
            </w:r>
          </w:p>
        </w:tc>
        <w:tc>
          <w:tcPr>
            <w:tcW w:w="2620"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cs="Arial" w:hint="eastAsia"/>
                <w:color w:val="000000"/>
              </w:rPr>
              <w:t>1,247,950,635.59</w:t>
            </w:r>
          </w:p>
        </w:tc>
      </w:tr>
    </w:tbl>
    <w:p w:rsidR="0075275D" w:rsidRDefault="0075275D">
      <w:pPr>
        <w:widowControl/>
        <w:jc w:val="left"/>
        <w:rPr>
          <w:rFonts w:ascii="宋体" w:hAnsi="宋体" w:cs="宋体"/>
          <w:kern w:val="0"/>
          <w:sz w:val="24"/>
          <w:szCs w:val="24"/>
        </w:rPr>
      </w:pPr>
    </w:p>
    <w:p w:rsidR="0075275D" w:rsidRDefault="00360B7D">
      <w:pPr>
        <w:pStyle w:val="zhangjiep"/>
      </w:pPr>
      <w:bookmarkStart w:id="4" w:name="_Toc61426608"/>
      <w:r>
        <w:rPr>
          <w:rFonts w:hint="eastAsia"/>
          <w:b/>
          <w:bCs/>
        </w:rPr>
        <w:t xml:space="preserve">5.2 </w:t>
      </w:r>
      <w:r>
        <w:rPr>
          <w:rFonts w:hint="eastAsia"/>
          <w:b/>
          <w:bCs/>
        </w:rPr>
        <w:t>利润表</w:t>
      </w:r>
      <w:bookmarkEnd w:id="4"/>
    </w:p>
    <w:p w:rsidR="0075275D" w:rsidRDefault="00360B7D">
      <w:pPr>
        <w:pStyle w:val="biaogeleft"/>
      </w:pPr>
      <w:r>
        <w:rPr>
          <w:rFonts w:hint="eastAsia"/>
        </w:rPr>
        <w:t>会计主体：南京银行珠联璧合安稳</w:t>
      </w:r>
      <w:r>
        <w:rPr>
          <w:rFonts w:hint="eastAsia"/>
        </w:rPr>
        <w:t>1912</w:t>
      </w:r>
      <w:r>
        <w:rPr>
          <w:rFonts w:hint="eastAsia"/>
        </w:rPr>
        <w:t>一年定开公募人民币理财产品</w:t>
      </w:r>
    </w:p>
    <w:p w:rsidR="0075275D" w:rsidRDefault="00360B7D">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5275D" w:rsidRDefault="00360B7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75275D">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75275D">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75275D" w:rsidRDefault="0075275D">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75275D" w:rsidRDefault="0075275D">
            <w:pPr>
              <w:widowControl/>
              <w:jc w:val="left"/>
              <w:rPr>
                <w:rFonts w:asciiTheme="minorEastAsia" w:eastAsiaTheme="minorEastAsia" w:hAnsiTheme="minorEastAsia" w:cs="宋体"/>
                <w:kern w:val="0"/>
                <w:sz w:val="24"/>
                <w:szCs w:val="24"/>
              </w:rPr>
            </w:pP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b/>
                <w:bCs/>
                <w:color w:val="000000"/>
              </w:rPr>
              <w:t>65,681,269.83</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64,511,354.77</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70,823.63</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60,708,276.59</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3,670,843.37</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61,411.18</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ascii="Arial" w:hAnsi="Arial" w:cs="Arial"/>
                <w:color w:val="000000"/>
              </w:rPr>
              <w:t xml:space="preserve">　</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46,407.95</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0.00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0.00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0.00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0.00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0.00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0.00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0.00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46,407.95</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0.00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0.00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 xml:space="preserve">　</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1,123,507.11</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b/>
                <w:bCs/>
                <w:color w:val="000000"/>
              </w:rPr>
              <w:t>5,919,200.90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2,586,874.63</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248,798.38</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2,487,992.46</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-665.40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339,599.27</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339,599.27</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230,301.56</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color w:val="000000"/>
              </w:rPr>
              <w:t>26,300.00</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b/>
                <w:bCs/>
                <w:color w:val="000000"/>
              </w:rPr>
              <w:t>59,762,068.93</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ascii="Arial" w:hAnsi="Arial" w:cs="Arial"/>
                <w:color w:val="000000"/>
              </w:rPr>
              <w:t xml:space="preserve">　</w:t>
            </w:r>
          </w:p>
        </w:tc>
      </w:tr>
      <w:tr w:rsidR="0075275D">
        <w:tc>
          <w:tcPr>
            <w:tcW w:w="2969" w:type="dxa"/>
            <w:tcBorders>
              <w:top w:val="single" w:sz="8" w:space="0" w:color="000000"/>
              <w:left w:val="single" w:sz="8" w:space="0" w:color="000000"/>
              <w:bottom w:val="single" w:sz="8" w:space="0" w:color="000000"/>
              <w:right w:val="single" w:sz="8" w:space="0" w:color="000000"/>
            </w:tcBorders>
            <w:vAlign w:val="center"/>
          </w:tcPr>
          <w:p w:rsidR="0075275D" w:rsidRDefault="00360B7D">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rPr>
                <w:rFonts w:asciiTheme="minorEastAsia" w:eastAsiaTheme="minorEastAsia" w:hAnsiTheme="minorEastAsia"/>
              </w:rPr>
            </w:pPr>
            <w:r>
              <w:rPr>
                <w:rFonts w:cs="Arial" w:hint="eastAsia"/>
                <w:b/>
                <w:bCs/>
                <w:color w:val="000000"/>
              </w:rPr>
              <w:t>59,762,068.93</w:t>
            </w:r>
          </w:p>
        </w:tc>
      </w:tr>
    </w:tbl>
    <w:p w:rsidR="0075275D" w:rsidRDefault="0075275D">
      <w:pPr>
        <w:widowControl/>
        <w:jc w:val="left"/>
        <w:rPr>
          <w:rFonts w:ascii="宋体" w:hAnsi="宋体" w:cs="宋体"/>
          <w:kern w:val="0"/>
          <w:sz w:val="24"/>
          <w:szCs w:val="24"/>
        </w:rPr>
      </w:pPr>
    </w:p>
    <w:p w:rsidR="0075275D" w:rsidRDefault="00360B7D">
      <w:pPr>
        <w:pStyle w:val="zhangjiep"/>
      </w:pPr>
      <w:bookmarkStart w:id="5" w:name="_Toc61426609"/>
      <w:r>
        <w:rPr>
          <w:rFonts w:hint="eastAsia"/>
          <w:b/>
          <w:bCs/>
        </w:rPr>
        <w:t xml:space="preserve">5.3 </w:t>
      </w:r>
      <w:r>
        <w:rPr>
          <w:rFonts w:hint="eastAsia"/>
          <w:b/>
          <w:bCs/>
        </w:rPr>
        <w:t>所有者权益（基金净值）变动表</w:t>
      </w:r>
      <w:bookmarkEnd w:id="5"/>
    </w:p>
    <w:p w:rsidR="0075275D" w:rsidRDefault="00360B7D">
      <w:pPr>
        <w:pStyle w:val="biaogeleft"/>
      </w:pPr>
      <w:r>
        <w:rPr>
          <w:rFonts w:hint="eastAsia"/>
        </w:rPr>
        <w:t>会计主体：南京银行珠联璧合安稳</w:t>
      </w:r>
      <w:r>
        <w:rPr>
          <w:rFonts w:hint="eastAsia"/>
        </w:rPr>
        <w:t>1912</w:t>
      </w:r>
      <w:r>
        <w:rPr>
          <w:rFonts w:hint="eastAsia"/>
        </w:rPr>
        <w:t>一年定开公募人民币理财产品</w:t>
      </w:r>
    </w:p>
    <w:p w:rsidR="0075275D" w:rsidRDefault="00360B7D">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5275D" w:rsidRDefault="00360B7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lastRenderedPageBreak/>
        <w:t>单位：人民币元</w:t>
      </w:r>
    </w:p>
    <w:tbl>
      <w:tblPr>
        <w:tblW w:w="9198" w:type="dxa"/>
        <w:tblInd w:w="108" w:type="dxa"/>
        <w:tblLayout w:type="fixed"/>
        <w:tblLook w:val="04A0"/>
      </w:tblPr>
      <w:tblGrid>
        <w:gridCol w:w="2116"/>
        <w:gridCol w:w="2299"/>
        <w:gridCol w:w="2299"/>
        <w:gridCol w:w="2484"/>
      </w:tblGrid>
      <w:tr w:rsidR="0075275D">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本期</w:t>
            </w:r>
            <w:r>
              <w:rPr>
                <w:rFonts w:hint="eastAsia"/>
              </w:rPr>
              <w:t> </w:t>
            </w:r>
          </w:p>
          <w:p w:rsidR="0075275D" w:rsidRDefault="00360B7D">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5275D">
        <w:tc>
          <w:tcPr>
            <w:tcW w:w="2116" w:type="dxa"/>
            <w:vMerge/>
            <w:tcBorders>
              <w:top w:val="single" w:sz="8" w:space="0" w:color="000000"/>
              <w:left w:val="single" w:sz="8" w:space="0" w:color="000000"/>
              <w:bottom w:val="single" w:sz="8" w:space="0" w:color="000000"/>
              <w:right w:val="single" w:sz="8" w:space="0" w:color="000000"/>
            </w:tcBorders>
            <w:vAlign w:val="center"/>
          </w:tcPr>
          <w:p w:rsidR="0075275D" w:rsidRDefault="0075275D">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所有者权益合计</w:t>
            </w:r>
            <w:r>
              <w:rPr>
                <w:rFonts w:hint="eastAsia"/>
              </w:rPr>
              <w:t> </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1,243,655,000.00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3,773,068.68</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1,247,428,068.68</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59,762,068.93</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59,762,068.93</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4,304,466.60</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4,304,466.60</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537,447,000.00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537,447,000.00</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-533,142,533.40</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-533,142,533.40</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-58,909,937.12</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-58,909,937.12</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1,247,959,466.60</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4,625,200.49</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1,252,584,667.09</w:t>
            </w:r>
          </w:p>
        </w:tc>
      </w:tr>
      <w:tr w:rsidR="0075275D">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上年度可比期间</w:t>
            </w:r>
            <w:r>
              <w:rPr>
                <w:rFonts w:hint="eastAsia"/>
              </w:rPr>
              <w:t> </w:t>
            </w:r>
          </w:p>
          <w:p w:rsidR="0075275D" w:rsidRDefault="00360B7D">
            <w:pPr>
              <w:pStyle w:val="biaogecenter"/>
              <w:wordWrap w:val="0"/>
            </w:pPr>
            <w:r>
              <w:rPr>
                <w:rFonts w:hint="eastAsia"/>
              </w:rPr>
              <w:t>2019</w:t>
            </w:r>
            <w:r>
              <w:rPr>
                <w:rFonts w:hint="eastAsia"/>
              </w:rPr>
              <w:t>年</w:t>
            </w:r>
            <w:r>
              <w:rPr>
                <w:rFonts w:hint="eastAsia"/>
              </w:rPr>
              <w:t>12</w:t>
            </w:r>
            <w:r>
              <w:rPr>
                <w:rFonts w:hint="eastAsia"/>
              </w:rPr>
              <w:t>月</w:t>
            </w:r>
            <w:r>
              <w:rPr>
                <w:rFonts w:hint="eastAsia"/>
              </w:rPr>
              <w:t>05</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75275D">
        <w:tc>
          <w:tcPr>
            <w:tcW w:w="2116" w:type="dxa"/>
            <w:vMerge/>
            <w:tcBorders>
              <w:top w:val="single" w:sz="8" w:space="0" w:color="000000"/>
              <w:left w:val="single" w:sz="8" w:space="0" w:color="000000"/>
              <w:bottom w:val="single" w:sz="8" w:space="0" w:color="000000"/>
              <w:right w:val="single" w:sz="8" w:space="0" w:color="000000"/>
            </w:tcBorders>
            <w:vAlign w:val="center"/>
          </w:tcPr>
          <w:p w:rsidR="0075275D" w:rsidRDefault="0075275D">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所有者权益合计</w:t>
            </w:r>
            <w:r>
              <w:rPr>
                <w:rFonts w:hint="eastAsia"/>
              </w:rPr>
              <w:t> </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1,243,655,000.00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1,243,655,000.00</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3,773,068.68</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3,773,068.68</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t>三、本期基金份额</w:t>
            </w:r>
            <w:r>
              <w:rPr>
                <w:rFonts w:hint="eastAsia"/>
              </w:rPr>
              <w:lastRenderedPageBreak/>
              <w:t>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w:t>
            </w:r>
          </w:p>
        </w:tc>
      </w:tr>
      <w:tr w:rsidR="0075275D">
        <w:tc>
          <w:tcPr>
            <w:tcW w:w="211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1,243,655,000.00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3,773,068.68</w:t>
            </w:r>
          </w:p>
        </w:tc>
        <w:tc>
          <w:tcPr>
            <w:tcW w:w="2484"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right"/>
              <w:wordWrap w:val="0"/>
            </w:pPr>
            <w:r>
              <w:rPr>
                <w:rFonts w:hint="eastAsia"/>
              </w:rPr>
              <w:t>1,247,428,068.68</w:t>
            </w:r>
          </w:p>
        </w:tc>
      </w:tr>
    </w:tbl>
    <w:p w:rsidR="0075275D" w:rsidRDefault="0075275D">
      <w:pPr>
        <w:widowControl/>
        <w:autoSpaceDE w:val="0"/>
        <w:autoSpaceDN w:val="0"/>
        <w:adjustRightInd w:val="0"/>
        <w:spacing w:line="288" w:lineRule="auto"/>
        <w:jc w:val="right"/>
        <w:rPr>
          <w:rFonts w:ascii="宋体" w:hAnsi="宋体" w:cs="宋体"/>
          <w:kern w:val="0"/>
          <w:sz w:val="24"/>
          <w:szCs w:val="24"/>
        </w:rPr>
      </w:pPr>
    </w:p>
    <w:p w:rsidR="0075275D" w:rsidRDefault="0075275D">
      <w:pPr>
        <w:pStyle w:val="biaogeleft"/>
        <w:spacing w:line="360" w:lineRule="auto"/>
        <w:ind w:firstLine="480"/>
        <w:rPr>
          <w:color w:val="000000"/>
        </w:rPr>
      </w:pPr>
    </w:p>
    <w:p w:rsidR="0075275D" w:rsidRDefault="00360B7D">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75275D" w:rsidRDefault="0075275D">
      <w:pPr>
        <w:widowControl/>
        <w:jc w:val="left"/>
        <w:rPr>
          <w:rFonts w:ascii="宋体" w:hAnsi="宋体" w:cs="宋体"/>
          <w:color w:val="000000"/>
          <w:kern w:val="0"/>
          <w:sz w:val="24"/>
          <w:szCs w:val="24"/>
        </w:rPr>
      </w:pPr>
    </w:p>
    <w:p w:rsidR="0075275D" w:rsidRDefault="00360B7D">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75275D">
        <w:tc>
          <w:tcPr>
            <w:tcW w:w="891" w:type="dxa"/>
            <w:tcBorders>
              <w:top w:val="single" w:sz="8" w:space="0" w:color="000000"/>
              <w:left w:val="single" w:sz="8" w:space="0" w:color="000000"/>
              <w:bottom w:val="single" w:sz="6" w:space="0" w:color="000000"/>
              <w:right w:val="single" w:sz="8" w:space="0" w:color="000000"/>
            </w:tcBorders>
            <w:vAlign w:val="bottom"/>
          </w:tcPr>
          <w:p w:rsidR="0075275D" w:rsidRDefault="00360B7D">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75275D" w:rsidRDefault="00360B7D">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75275D" w:rsidRDefault="00360B7D">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75275D" w:rsidRDefault="00360B7D">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754,488,687.69</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59.94</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57,999,105.93</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4.61</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420,000,000.00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33.36</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8,095,867.07</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0.64</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3,264.25</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16,635,771.67</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1.32</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1,609,267.12</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0.13</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275D">
        <w:tc>
          <w:tcPr>
            <w:tcW w:w="89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275D">
        <w:tc>
          <w:tcPr>
            <w:tcW w:w="891" w:type="dxa"/>
            <w:tcBorders>
              <w:top w:val="single" w:sz="8" w:space="0" w:color="000000"/>
              <w:left w:val="single" w:sz="8" w:space="0" w:color="000000"/>
              <w:bottom w:val="single" w:sz="8"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275D">
        <w:tc>
          <w:tcPr>
            <w:tcW w:w="891" w:type="dxa"/>
            <w:tcBorders>
              <w:top w:val="single" w:sz="8" w:space="0" w:color="000000"/>
              <w:left w:val="single" w:sz="8" w:space="0" w:color="000000"/>
              <w:bottom w:val="single" w:sz="8" w:space="0" w:color="000000"/>
              <w:right w:val="single" w:sz="8" w:space="0" w:color="000000"/>
            </w:tcBorders>
            <w:vAlign w:val="center"/>
          </w:tcPr>
          <w:p w:rsidR="0075275D" w:rsidRDefault="00360B7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75275D" w:rsidRDefault="00360B7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1,258,831,963.73</w:t>
            </w:r>
          </w:p>
        </w:tc>
        <w:tc>
          <w:tcPr>
            <w:tcW w:w="2395" w:type="dxa"/>
            <w:tcBorders>
              <w:top w:val="single" w:sz="8" w:space="0" w:color="000000"/>
              <w:left w:val="single" w:sz="8" w:space="0" w:color="000000"/>
              <w:bottom w:val="single" w:sz="8" w:space="0" w:color="000000"/>
              <w:right w:val="single" w:sz="8" w:space="0" w:color="000000"/>
            </w:tcBorders>
            <w:vAlign w:val="center"/>
          </w:tcPr>
          <w:p w:rsidR="0075275D" w:rsidRDefault="00360B7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75275D" w:rsidRDefault="0075275D">
      <w:pPr>
        <w:widowControl/>
        <w:jc w:val="left"/>
        <w:rPr>
          <w:rFonts w:ascii="宋体" w:hAnsi="宋体" w:cs="宋体"/>
          <w:color w:val="000000"/>
          <w:kern w:val="0"/>
          <w:sz w:val="24"/>
          <w:szCs w:val="24"/>
        </w:rPr>
      </w:pPr>
    </w:p>
    <w:p w:rsidR="0075275D" w:rsidRDefault="00360B7D">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75275D">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75275D" w:rsidRDefault="00360B7D">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75275D" w:rsidRDefault="00360B7D">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75275D" w:rsidRDefault="00360B7D">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75275D" w:rsidRDefault="00360B7D">
            <w:pPr>
              <w:pStyle w:val="biaogecenter"/>
              <w:wordWrap w:val="0"/>
              <w:rPr>
                <w:color w:val="000000"/>
              </w:rPr>
            </w:pPr>
            <w:r>
              <w:rPr>
                <w:rFonts w:hint="eastAsia"/>
                <w:color w:val="000000"/>
              </w:rPr>
              <w:t>占产品资产净值比例（％）</w:t>
            </w:r>
          </w:p>
        </w:tc>
      </w:tr>
      <w:tr w:rsidR="0075275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75D" w:rsidRDefault="00360B7D">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QTBZZ202012020001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苏泰交通</w:t>
            </w:r>
            <w:r>
              <w:rPr>
                <w:rFonts w:ascii="宋体" w:hAnsi="宋体" w:cs="宋体" w:hint="eastAsia"/>
                <w:color w:val="000000"/>
                <w:kern w:val="0"/>
                <w:sz w:val="24"/>
                <w:szCs w:val="24"/>
              </w:rPr>
              <w:t>ZR003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165,000,000.00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13.17%</w:t>
            </w:r>
          </w:p>
        </w:tc>
      </w:tr>
      <w:tr w:rsidR="0075275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75D" w:rsidRDefault="00360B7D">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20088228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泰州鑫泰</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145,000,000.00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11.58%</w:t>
            </w:r>
          </w:p>
        </w:tc>
      </w:tr>
      <w:tr w:rsidR="0075275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75D" w:rsidRDefault="00360B7D">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20088204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泰州华诚</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110,000,000.00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8.78%</w:t>
            </w:r>
          </w:p>
        </w:tc>
      </w:tr>
      <w:tr w:rsidR="0075275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75D" w:rsidRDefault="00360B7D">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118874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启东</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70,000,570.09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5.59%</w:t>
            </w:r>
          </w:p>
        </w:tc>
      </w:tr>
      <w:tr w:rsidR="0075275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75D" w:rsidRDefault="00360B7D">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135323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昆银桥</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70,000,134.02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5.59%</w:t>
            </w:r>
          </w:p>
        </w:tc>
      </w:tr>
      <w:tr w:rsidR="0075275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75D" w:rsidRDefault="00360B7D">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042000026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海安开投</w:t>
            </w:r>
            <w:r>
              <w:rPr>
                <w:rFonts w:ascii="宋体" w:hAnsi="宋体" w:cs="宋体" w:hint="eastAsia"/>
                <w:color w:val="000000"/>
                <w:kern w:val="0"/>
                <w:sz w:val="24"/>
                <w:szCs w:val="24"/>
              </w:rPr>
              <w:t>CP001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70,000,013.63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5.59%</w:t>
            </w:r>
          </w:p>
        </w:tc>
      </w:tr>
      <w:tr w:rsidR="0075275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75D" w:rsidRDefault="00360B7D">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162628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阳山</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60,000,397.94</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4.79%</w:t>
            </w:r>
          </w:p>
        </w:tc>
      </w:tr>
      <w:tr w:rsidR="0075275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75D" w:rsidRDefault="00360B7D">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145233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港闸</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60,000,346.14</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4.79%</w:t>
            </w:r>
          </w:p>
        </w:tc>
      </w:tr>
      <w:tr w:rsidR="0075275D">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75D" w:rsidRDefault="00360B7D">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139594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启东</w:t>
            </w:r>
            <w:r>
              <w:rPr>
                <w:rFonts w:ascii="宋体" w:hAnsi="宋体" w:cs="宋体" w:hint="eastAsia"/>
                <w:color w:val="000000"/>
                <w:kern w:val="0"/>
                <w:sz w:val="24"/>
                <w:szCs w:val="24"/>
              </w:rPr>
              <w:t>A6</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57,999,105.93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4.63%</w:t>
            </w:r>
          </w:p>
        </w:tc>
      </w:tr>
      <w:tr w:rsidR="0075275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75D" w:rsidRDefault="00360B7D">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101764031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万盛经开</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50,496,651.84</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275D" w:rsidRDefault="00360B7D">
            <w:pPr>
              <w:jc w:val="right"/>
              <w:rPr>
                <w:rFonts w:ascii="宋体" w:hAnsi="宋体" w:cs="宋体"/>
                <w:color w:val="000000"/>
                <w:kern w:val="0"/>
                <w:sz w:val="24"/>
                <w:szCs w:val="24"/>
              </w:rPr>
            </w:pPr>
            <w:r>
              <w:rPr>
                <w:rFonts w:ascii="宋体" w:hAnsi="宋体" w:cs="宋体" w:hint="eastAsia"/>
                <w:color w:val="000000"/>
                <w:kern w:val="0"/>
                <w:sz w:val="24"/>
                <w:szCs w:val="24"/>
              </w:rPr>
              <w:t>4.03%</w:t>
            </w:r>
          </w:p>
        </w:tc>
      </w:tr>
    </w:tbl>
    <w:p w:rsidR="0075275D" w:rsidRDefault="0075275D">
      <w:pPr>
        <w:widowControl/>
        <w:jc w:val="left"/>
        <w:rPr>
          <w:rFonts w:ascii="宋体" w:hAnsi="宋体" w:cs="宋体"/>
          <w:b/>
          <w:sz w:val="24"/>
          <w:szCs w:val="24"/>
          <w:shd w:val="clear" w:color="auto" w:fill="FFFFFF"/>
        </w:rPr>
      </w:pPr>
    </w:p>
    <w:p w:rsidR="0075275D" w:rsidRDefault="00360B7D">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75275D" w:rsidRDefault="0075275D">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75275D">
        <w:tc>
          <w:tcPr>
            <w:tcW w:w="709"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center"/>
              <w:wordWrap w:val="0"/>
              <w:rPr>
                <w:shd w:val="clear" w:color="auto" w:fill="FFFFFF"/>
              </w:rPr>
            </w:pPr>
            <w:bookmarkStart w:id="6" w:name="_GoBack" w:colFirst="5" w:colLast="5"/>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风险状况</w:t>
            </w:r>
          </w:p>
        </w:tc>
      </w:tr>
      <w:tr w:rsidR="0075275D">
        <w:tc>
          <w:tcPr>
            <w:tcW w:w="70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泰州华诚医学投资集团有限公司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20</w:t>
            </w:r>
            <w:r>
              <w:rPr>
                <w:rFonts w:hint="eastAsia"/>
                <w:shd w:val="clear" w:color="auto" w:fill="FFFFFF"/>
              </w:rPr>
              <w:t>泰州华诚</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313</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w:t>
            </w:r>
          </w:p>
        </w:tc>
      </w:tr>
      <w:tr w:rsidR="0075275D">
        <w:tc>
          <w:tcPr>
            <w:tcW w:w="70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泰州市交通产业集团有限公司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20</w:t>
            </w:r>
            <w:r>
              <w:rPr>
                <w:rFonts w:hint="eastAsia"/>
                <w:shd w:val="clear" w:color="auto" w:fill="FFFFFF"/>
              </w:rPr>
              <w:t>苏泰交通</w:t>
            </w:r>
            <w:r>
              <w:rPr>
                <w:rFonts w:hint="eastAsia"/>
                <w:shd w:val="clear" w:color="auto" w:fill="FFFFFF"/>
              </w:rPr>
              <w:t>ZR003</w:t>
            </w:r>
          </w:p>
        </w:tc>
        <w:tc>
          <w:tcPr>
            <w:tcW w:w="1417"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310</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w:t>
            </w:r>
          </w:p>
        </w:tc>
      </w:tr>
      <w:tr w:rsidR="0075275D">
        <w:tc>
          <w:tcPr>
            <w:tcW w:w="709"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pPr>
            <w:r>
              <w:rPr>
                <w:rFonts w:hint="eastAsia"/>
              </w:rPr>
              <w:t>3</w:t>
            </w:r>
          </w:p>
        </w:tc>
        <w:tc>
          <w:tcPr>
            <w:tcW w:w="127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泰州鑫泰集团有限公司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20</w:t>
            </w:r>
            <w:r>
              <w:rPr>
                <w:rFonts w:hint="eastAsia"/>
                <w:shd w:val="clear" w:color="auto" w:fill="FFFFFF"/>
              </w:rPr>
              <w:t>泰州鑫泰</w:t>
            </w:r>
            <w:r>
              <w:rPr>
                <w:rFonts w:hint="eastAsia"/>
                <w:shd w:val="clear" w:color="auto" w:fill="FFFFFF"/>
              </w:rPr>
              <w:t>02</w:t>
            </w:r>
          </w:p>
        </w:tc>
        <w:tc>
          <w:tcPr>
            <w:tcW w:w="1417"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337</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5275D" w:rsidRDefault="00360B7D">
            <w:pPr>
              <w:pStyle w:val="biaogecenter"/>
              <w:wordWrap w:val="0"/>
              <w:rPr>
                <w:shd w:val="clear" w:color="auto" w:fill="FFFFFF"/>
              </w:rPr>
            </w:pPr>
            <w:r>
              <w:rPr>
                <w:rFonts w:hint="eastAsia"/>
                <w:shd w:val="clear" w:color="auto" w:fill="FFFFFF"/>
              </w:rPr>
              <w:t>-</w:t>
            </w:r>
          </w:p>
        </w:tc>
      </w:tr>
      <w:bookmarkEnd w:id="6"/>
    </w:tbl>
    <w:p w:rsidR="0075275D" w:rsidRDefault="0075275D">
      <w:pPr>
        <w:widowControl/>
        <w:jc w:val="left"/>
        <w:rPr>
          <w:rFonts w:ascii="宋体" w:hAnsi="宋体" w:cs="宋体"/>
          <w:color w:val="000000"/>
          <w:kern w:val="0"/>
          <w:sz w:val="24"/>
          <w:szCs w:val="24"/>
        </w:rPr>
      </w:pPr>
    </w:p>
    <w:p w:rsidR="0075275D" w:rsidRDefault="0075275D">
      <w:pPr>
        <w:widowControl/>
        <w:jc w:val="left"/>
        <w:rPr>
          <w:rFonts w:ascii="宋体" w:hAnsi="宋体" w:cs="宋体"/>
          <w:color w:val="000000"/>
          <w:kern w:val="0"/>
          <w:sz w:val="24"/>
          <w:szCs w:val="24"/>
        </w:rPr>
      </w:pPr>
    </w:p>
    <w:p w:rsidR="0075275D" w:rsidRDefault="00360B7D">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75275D" w:rsidRDefault="00360B7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75275D" w:rsidRDefault="00360B7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50496651.84</w:t>
      </w:r>
      <w:r>
        <w:rPr>
          <w:rFonts w:ascii="宋体" w:hAnsi="宋体" w:cs="宋体" w:hint="eastAsia"/>
          <w:color w:val="000000"/>
          <w:kern w:val="0"/>
          <w:sz w:val="24"/>
          <w:szCs w:val="24"/>
        </w:rPr>
        <w:t>元。</w:t>
      </w:r>
    </w:p>
    <w:p w:rsidR="0075275D" w:rsidRDefault="0075275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75275D" w:rsidRDefault="0075275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75275D" w:rsidRDefault="0075275D">
      <w:pPr>
        <w:widowControl/>
        <w:jc w:val="left"/>
        <w:rPr>
          <w:rFonts w:ascii="宋体" w:hAnsi="宋体" w:cs="宋体"/>
          <w:color w:val="000000"/>
          <w:kern w:val="0"/>
          <w:sz w:val="24"/>
          <w:szCs w:val="24"/>
        </w:rPr>
      </w:pPr>
    </w:p>
    <w:p w:rsidR="0075275D" w:rsidRDefault="0075275D">
      <w:pPr>
        <w:widowControl/>
        <w:jc w:val="left"/>
        <w:rPr>
          <w:rFonts w:ascii="宋体" w:hAnsi="宋体" w:cs="宋体"/>
          <w:color w:val="000000"/>
          <w:kern w:val="0"/>
          <w:sz w:val="24"/>
          <w:szCs w:val="24"/>
        </w:rPr>
      </w:pPr>
    </w:p>
    <w:p w:rsidR="0075275D" w:rsidRDefault="0075275D">
      <w:pPr>
        <w:widowControl/>
        <w:jc w:val="left"/>
        <w:rPr>
          <w:rFonts w:ascii="宋体" w:hAnsi="宋体" w:cs="宋体"/>
          <w:color w:val="000000"/>
          <w:kern w:val="0"/>
          <w:sz w:val="24"/>
          <w:szCs w:val="24"/>
        </w:rPr>
      </w:pPr>
    </w:p>
    <w:p w:rsidR="0075275D" w:rsidRDefault="0075275D">
      <w:pPr>
        <w:widowControl/>
        <w:jc w:val="left"/>
        <w:rPr>
          <w:color w:val="000000"/>
        </w:rPr>
      </w:pPr>
    </w:p>
    <w:p w:rsidR="0075275D" w:rsidRDefault="00360B7D">
      <w:pPr>
        <w:pStyle w:val="biaogeright"/>
        <w:rPr>
          <w:b/>
        </w:rPr>
      </w:pPr>
      <w:r>
        <w:rPr>
          <w:rFonts w:hint="eastAsia"/>
          <w:b/>
        </w:rPr>
        <w:t>南京银行股份有限公司</w:t>
      </w:r>
    </w:p>
    <w:p w:rsidR="0075275D" w:rsidRDefault="00360B7D">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75275D" w:rsidRDefault="0075275D">
      <w:pPr>
        <w:pStyle w:val="biaogeright"/>
        <w:rPr>
          <w:color w:val="000000"/>
        </w:rPr>
      </w:pPr>
    </w:p>
    <w:sectPr w:rsidR="0075275D" w:rsidSect="0075275D">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B7D" w:rsidRDefault="00360B7D" w:rsidP="0075275D">
      <w:r>
        <w:separator/>
      </w:r>
    </w:p>
  </w:endnote>
  <w:endnote w:type="continuationSeparator" w:id="1">
    <w:p w:rsidR="00360B7D" w:rsidRDefault="00360B7D" w:rsidP="007527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75D" w:rsidRDefault="0075275D">
    <w:pPr>
      <w:pStyle w:val="a5"/>
      <w:framePr w:wrap="around" w:vAnchor="text" w:hAnchor="margin" w:xAlign="center" w:y="1"/>
      <w:rPr>
        <w:rStyle w:val="aa"/>
      </w:rPr>
    </w:pPr>
    <w:r>
      <w:fldChar w:fldCharType="begin"/>
    </w:r>
    <w:r w:rsidR="00360B7D">
      <w:rPr>
        <w:rStyle w:val="aa"/>
      </w:rPr>
      <w:instrText xml:space="preserve">PAGE  </w:instrText>
    </w:r>
    <w:r>
      <w:fldChar w:fldCharType="end"/>
    </w:r>
  </w:p>
  <w:p w:rsidR="0075275D" w:rsidRDefault="0075275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75D" w:rsidRDefault="0075275D">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804" w:rsidRDefault="007A4804">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75D" w:rsidRDefault="0075275D">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75D" w:rsidRDefault="0075275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B7D" w:rsidRDefault="00360B7D" w:rsidP="0075275D">
      <w:r>
        <w:separator/>
      </w:r>
    </w:p>
  </w:footnote>
  <w:footnote w:type="continuationSeparator" w:id="1">
    <w:p w:rsidR="00360B7D" w:rsidRDefault="00360B7D" w:rsidP="007527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75D" w:rsidRDefault="0075275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804" w:rsidRDefault="007A480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804" w:rsidRDefault="007A4804">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A7C0B"/>
    <w:rsid w:val="000D0286"/>
    <w:rsid w:val="000D5066"/>
    <w:rsid w:val="000F6191"/>
    <w:rsid w:val="00130CE8"/>
    <w:rsid w:val="00137291"/>
    <w:rsid w:val="00152201"/>
    <w:rsid w:val="00172A27"/>
    <w:rsid w:val="00176636"/>
    <w:rsid w:val="00183C84"/>
    <w:rsid w:val="001B6295"/>
    <w:rsid w:val="001C05F9"/>
    <w:rsid w:val="001C5395"/>
    <w:rsid w:val="00211F26"/>
    <w:rsid w:val="002263FC"/>
    <w:rsid w:val="00231AFE"/>
    <w:rsid w:val="0024017D"/>
    <w:rsid w:val="00255E6A"/>
    <w:rsid w:val="00291327"/>
    <w:rsid w:val="002A3AE9"/>
    <w:rsid w:val="002B3115"/>
    <w:rsid w:val="002C196E"/>
    <w:rsid w:val="002C43C6"/>
    <w:rsid w:val="002D296F"/>
    <w:rsid w:val="002D75D0"/>
    <w:rsid w:val="002E6A43"/>
    <w:rsid w:val="002E795C"/>
    <w:rsid w:val="0030171E"/>
    <w:rsid w:val="00305714"/>
    <w:rsid w:val="00313E71"/>
    <w:rsid w:val="00321CB7"/>
    <w:rsid w:val="003379A9"/>
    <w:rsid w:val="00350090"/>
    <w:rsid w:val="00350ADF"/>
    <w:rsid w:val="00355623"/>
    <w:rsid w:val="00360B7D"/>
    <w:rsid w:val="003A0419"/>
    <w:rsid w:val="003C4D3B"/>
    <w:rsid w:val="003E09EA"/>
    <w:rsid w:val="003F0AC3"/>
    <w:rsid w:val="00456251"/>
    <w:rsid w:val="004B273B"/>
    <w:rsid w:val="004C1607"/>
    <w:rsid w:val="004C1BE1"/>
    <w:rsid w:val="005069D8"/>
    <w:rsid w:val="0056162E"/>
    <w:rsid w:val="00563B93"/>
    <w:rsid w:val="00567DB3"/>
    <w:rsid w:val="00575BEA"/>
    <w:rsid w:val="005B3434"/>
    <w:rsid w:val="005E2884"/>
    <w:rsid w:val="005E5050"/>
    <w:rsid w:val="005F18BC"/>
    <w:rsid w:val="005F2C7B"/>
    <w:rsid w:val="005F4D04"/>
    <w:rsid w:val="005F7DA9"/>
    <w:rsid w:val="006054F8"/>
    <w:rsid w:val="006232EC"/>
    <w:rsid w:val="0065419A"/>
    <w:rsid w:val="00654220"/>
    <w:rsid w:val="00663B94"/>
    <w:rsid w:val="00677F66"/>
    <w:rsid w:val="006C7F31"/>
    <w:rsid w:val="006E4E94"/>
    <w:rsid w:val="006F2B3D"/>
    <w:rsid w:val="0070728D"/>
    <w:rsid w:val="00730BEE"/>
    <w:rsid w:val="0073101E"/>
    <w:rsid w:val="00732F40"/>
    <w:rsid w:val="00735153"/>
    <w:rsid w:val="007416BA"/>
    <w:rsid w:val="00745421"/>
    <w:rsid w:val="0075275D"/>
    <w:rsid w:val="00774680"/>
    <w:rsid w:val="00775722"/>
    <w:rsid w:val="007A4219"/>
    <w:rsid w:val="007A4804"/>
    <w:rsid w:val="007E561E"/>
    <w:rsid w:val="0080200C"/>
    <w:rsid w:val="00814110"/>
    <w:rsid w:val="0082561A"/>
    <w:rsid w:val="00846B2E"/>
    <w:rsid w:val="00853290"/>
    <w:rsid w:val="0085663C"/>
    <w:rsid w:val="00862110"/>
    <w:rsid w:val="008768AB"/>
    <w:rsid w:val="008926F7"/>
    <w:rsid w:val="008A3978"/>
    <w:rsid w:val="008A7510"/>
    <w:rsid w:val="008C78BD"/>
    <w:rsid w:val="008F0FA3"/>
    <w:rsid w:val="00900D90"/>
    <w:rsid w:val="009354D6"/>
    <w:rsid w:val="00970A98"/>
    <w:rsid w:val="009B124A"/>
    <w:rsid w:val="009C781F"/>
    <w:rsid w:val="009D5296"/>
    <w:rsid w:val="009E6170"/>
    <w:rsid w:val="009F6513"/>
    <w:rsid w:val="00A00B25"/>
    <w:rsid w:val="00A00BFE"/>
    <w:rsid w:val="00A37451"/>
    <w:rsid w:val="00A4484F"/>
    <w:rsid w:val="00A76D4B"/>
    <w:rsid w:val="00A77C47"/>
    <w:rsid w:val="00A84521"/>
    <w:rsid w:val="00A9119C"/>
    <w:rsid w:val="00AA4549"/>
    <w:rsid w:val="00AC5144"/>
    <w:rsid w:val="00AE75E0"/>
    <w:rsid w:val="00B13014"/>
    <w:rsid w:val="00B17559"/>
    <w:rsid w:val="00B33B19"/>
    <w:rsid w:val="00B404E6"/>
    <w:rsid w:val="00B4360D"/>
    <w:rsid w:val="00B5150C"/>
    <w:rsid w:val="00B61EA9"/>
    <w:rsid w:val="00B63DF4"/>
    <w:rsid w:val="00B670D1"/>
    <w:rsid w:val="00B74DCA"/>
    <w:rsid w:val="00BC02E0"/>
    <w:rsid w:val="00BC3903"/>
    <w:rsid w:val="00BE47E0"/>
    <w:rsid w:val="00BF75C8"/>
    <w:rsid w:val="00C03205"/>
    <w:rsid w:val="00C1762E"/>
    <w:rsid w:val="00C22DF9"/>
    <w:rsid w:val="00C25123"/>
    <w:rsid w:val="00C30A48"/>
    <w:rsid w:val="00C342E6"/>
    <w:rsid w:val="00C365EE"/>
    <w:rsid w:val="00C375A7"/>
    <w:rsid w:val="00C51E43"/>
    <w:rsid w:val="00C52049"/>
    <w:rsid w:val="00C62DF8"/>
    <w:rsid w:val="00C640FB"/>
    <w:rsid w:val="00CB054E"/>
    <w:rsid w:val="00CC52D7"/>
    <w:rsid w:val="00CF561E"/>
    <w:rsid w:val="00D12D64"/>
    <w:rsid w:val="00D23209"/>
    <w:rsid w:val="00D23AB6"/>
    <w:rsid w:val="00D42895"/>
    <w:rsid w:val="00D50309"/>
    <w:rsid w:val="00D51AA9"/>
    <w:rsid w:val="00D7264A"/>
    <w:rsid w:val="00D84E43"/>
    <w:rsid w:val="00D870DF"/>
    <w:rsid w:val="00DB0C2F"/>
    <w:rsid w:val="00DB25B5"/>
    <w:rsid w:val="00DB3BF6"/>
    <w:rsid w:val="00DC31CC"/>
    <w:rsid w:val="00DC728A"/>
    <w:rsid w:val="00DD2F3C"/>
    <w:rsid w:val="00E1059D"/>
    <w:rsid w:val="00E135E6"/>
    <w:rsid w:val="00E155DF"/>
    <w:rsid w:val="00E246E1"/>
    <w:rsid w:val="00E560F1"/>
    <w:rsid w:val="00E72DCC"/>
    <w:rsid w:val="00E944FA"/>
    <w:rsid w:val="00E9797A"/>
    <w:rsid w:val="00EA7ABC"/>
    <w:rsid w:val="00EB2746"/>
    <w:rsid w:val="00EB5AE0"/>
    <w:rsid w:val="00EE0436"/>
    <w:rsid w:val="00F12B44"/>
    <w:rsid w:val="00F1465C"/>
    <w:rsid w:val="00F41324"/>
    <w:rsid w:val="00F57C12"/>
    <w:rsid w:val="00F609FD"/>
    <w:rsid w:val="00F859AB"/>
    <w:rsid w:val="00F950D0"/>
    <w:rsid w:val="00FA2C26"/>
    <w:rsid w:val="00FE6019"/>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C73E01"/>
    <w:rsid w:val="44F30C78"/>
    <w:rsid w:val="459870AF"/>
    <w:rsid w:val="45ED49CE"/>
    <w:rsid w:val="46F0109E"/>
    <w:rsid w:val="47475A63"/>
    <w:rsid w:val="4BCA232B"/>
    <w:rsid w:val="4E276A76"/>
    <w:rsid w:val="506954C1"/>
    <w:rsid w:val="509017BA"/>
    <w:rsid w:val="51482FC3"/>
    <w:rsid w:val="52830253"/>
    <w:rsid w:val="541C469D"/>
    <w:rsid w:val="55F73C55"/>
    <w:rsid w:val="5617604A"/>
    <w:rsid w:val="5974142B"/>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30EAB"/>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75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5275D"/>
    <w:pPr>
      <w:jc w:val="left"/>
    </w:pPr>
  </w:style>
  <w:style w:type="paragraph" w:styleId="a4">
    <w:name w:val="Balloon Text"/>
    <w:basedOn w:val="a"/>
    <w:link w:val="Char0"/>
    <w:uiPriority w:val="99"/>
    <w:unhideWhenUsed/>
    <w:qFormat/>
    <w:rsid w:val="0075275D"/>
    <w:rPr>
      <w:sz w:val="18"/>
      <w:szCs w:val="18"/>
    </w:rPr>
  </w:style>
  <w:style w:type="paragraph" w:styleId="a5">
    <w:name w:val="footer"/>
    <w:basedOn w:val="a"/>
    <w:link w:val="Char1"/>
    <w:uiPriority w:val="99"/>
    <w:unhideWhenUsed/>
    <w:qFormat/>
    <w:rsid w:val="0075275D"/>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5275D"/>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5275D"/>
    <w:pPr>
      <w:snapToGrid w:val="0"/>
      <w:jc w:val="left"/>
    </w:pPr>
    <w:rPr>
      <w:sz w:val="18"/>
    </w:rPr>
  </w:style>
  <w:style w:type="paragraph" w:styleId="a8">
    <w:name w:val="Normal (Web)"/>
    <w:basedOn w:val="a"/>
    <w:qFormat/>
    <w:rsid w:val="0075275D"/>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5275D"/>
    <w:rPr>
      <w:b/>
      <w:bCs/>
    </w:rPr>
  </w:style>
  <w:style w:type="character" w:styleId="aa">
    <w:name w:val="page number"/>
    <w:basedOn w:val="a0"/>
    <w:uiPriority w:val="99"/>
    <w:unhideWhenUsed/>
    <w:qFormat/>
    <w:rsid w:val="0075275D"/>
  </w:style>
  <w:style w:type="character" w:styleId="ab">
    <w:name w:val="annotation reference"/>
    <w:uiPriority w:val="99"/>
    <w:unhideWhenUsed/>
    <w:qFormat/>
    <w:rsid w:val="0075275D"/>
    <w:rPr>
      <w:sz w:val="21"/>
      <w:szCs w:val="21"/>
    </w:rPr>
  </w:style>
  <w:style w:type="character" w:styleId="ac">
    <w:name w:val="footnote reference"/>
    <w:uiPriority w:val="99"/>
    <w:unhideWhenUsed/>
    <w:qFormat/>
    <w:rsid w:val="0075275D"/>
    <w:rPr>
      <w:vertAlign w:val="superscript"/>
    </w:rPr>
  </w:style>
  <w:style w:type="character" w:customStyle="1" w:styleId="Char0">
    <w:name w:val="批注框文本 Char"/>
    <w:link w:val="a4"/>
    <w:uiPriority w:val="99"/>
    <w:semiHidden/>
    <w:qFormat/>
    <w:rsid w:val="0075275D"/>
    <w:rPr>
      <w:kern w:val="2"/>
      <w:sz w:val="18"/>
      <w:szCs w:val="18"/>
    </w:rPr>
  </w:style>
  <w:style w:type="character" w:customStyle="1" w:styleId="Char2">
    <w:name w:val="页眉 Char"/>
    <w:link w:val="a6"/>
    <w:uiPriority w:val="99"/>
    <w:semiHidden/>
    <w:qFormat/>
    <w:locked/>
    <w:rsid w:val="0075275D"/>
    <w:rPr>
      <w:rFonts w:ascii="Times New Roman" w:hAnsi="Times New Roman" w:cs="Times New Roman" w:hint="default"/>
      <w:sz w:val="18"/>
      <w:szCs w:val="18"/>
    </w:rPr>
  </w:style>
  <w:style w:type="character" w:customStyle="1" w:styleId="Char3">
    <w:name w:val="批注主题 Char"/>
    <w:link w:val="a9"/>
    <w:uiPriority w:val="99"/>
    <w:semiHidden/>
    <w:qFormat/>
    <w:rsid w:val="0075275D"/>
    <w:rPr>
      <w:b/>
      <w:bCs/>
      <w:kern w:val="2"/>
      <w:sz w:val="21"/>
      <w:szCs w:val="22"/>
    </w:rPr>
  </w:style>
  <w:style w:type="character" w:customStyle="1" w:styleId="Char1">
    <w:name w:val="页脚 Char"/>
    <w:link w:val="a5"/>
    <w:uiPriority w:val="99"/>
    <w:semiHidden/>
    <w:qFormat/>
    <w:locked/>
    <w:rsid w:val="0075275D"/>
    <w:rPr>
      <w:rFonts w:ascii="Times New Roman" w:hAnsi="Times New Roman" w:cs="Times New Roman" w:hint="default"/>
      <w:sz w:val="18"/>
      <w:szCs w:val="18"/>
    </w:rPr>
  </w:style>
  <w:style w:type="character" w:customStyle="1" w:styleId="Char">
    <w:name w:val="批注文字 Char"/>
    <w:link w:val="a3"/>
    <w:uiPriority w:val="99"/>
    <w:qFormat/>
    <w:rsid w:val="0075275D"/>
    <w:rPr>
      <w:kern w:val="2"/>
      <w:sz w:val="21"/>
      <w:szCs w:val="22"/>
    </w:rPr>
  </w:style>
  <w:style w:type="paragraph" w:customStyle="1" w:styleId="zhongyaotishi">
    <w:name w:val="zhongyaotishi"/>
    <w:basedOn w:val="a"/>
    <w:qFormat/>
    <w:rsid w:val="0075275D"/>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5275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5275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5275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5275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5275D"/>
    <w:pPr>
      <w:widowControl w:val="0"/>
      <w:jc w:val="center"/>
    </w:pPr>
    <w:rPr>
      <w:kern w:val="2"/>
      <w:sz w:val="33"/>
      <w:szCs w:val="22"/>
    </w:rPr>
  </w:style>
  <w:style w:type="paragraph" w:customStyle="1" w:styleId="biaogeleft">
    <w:name w:val="biaoge_left"/>
    <w:basedOn w:val="a"/>
    <w:qFormat/>
    <w:rsid w:val="0075275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5275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5275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5275D"/>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5275D"/>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5275D"/>
    <w:pPr>
      <w:widowControl w:val="0"/>
    </w:pPr>
    <w:rPr>
      <w:kern w:val="2"/>
      <w:sz w:val="21"/>
      <w:szCs w:val="22"/>
    </w:rPr>
  </w:style>
  <w:style w:type="paragraph" w:customStyle="1" w:styleId="neirong">
    <w:name w:val="neirong"/>
    <w:basedOn w:val="a"/>
    <w:qFormat/>
    <w:rsid w:val="0075275D"/>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Pages>
  <Words>989</Words>
  <Characters>5642</Characters>
  <Application>Microsoft Office Word</Application>
  <DocSecurity>0</DocSecurity>
  <Lines>47</Lines>
  <Paragraphs>13</Paragraphs>
  <ScaleCrop>false</ScaleCrop>
  <Company>微软中国</Company>
  <LinksUpToDate>false</LinksUpToDate>
  <CharactersWithSpaces>6618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47</cp:revision>
  <cp:lastPrinted>2019-09-11T00:56:00Z</cp:lastPrinted>
  <dcterms:created xsi:type="dcterms:W3CDTF">2020-12-16T03:30:00Z</dcterms:created>
  <dcterms:modified xsi:type="dcterms:W3CDTF">2021-03-30T02:19:00Z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93656681EAC44E55B2B5DA8C324BCBDB</vt:lpwstr>
  </property>
</Properties>
</file>