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EF4" w:rsidRDefault="00CD5EF4">
      <w:pPr>
        <w:pStyle w:val="dazhangjie"/>
        <w:rPr>
          <w:b/>
          <w:bCs/>
          <w:color w:val="000000"/>
        </w:rPr>
      </w:pPr>
    </w:p>
    <w:p w:rsidR="00CD5EF4" w:rsidRDefault="00CD5EF4">
      <w:pPr>
        <w:pStyle w:val="dazhangjie"/>
        <w:rPr>
          <w:b/>
          <w:bCs/>
          <w:color w:val="000000"/>
        </w:rPr>
      </w:pPr>
    </w:p>
    <w:p w:rsidR="00CD5EF4" w:rsidRDefault="00CD5EF4">
      <w:pPr>
        <w:pStyle w:val="dazhangjie"/>
        <w:rPr>
          <w:b/>
          <w:bCs/>
          <w:color w:val="000000"/>
        </w:rPr>
      </w:pPr>
    </w:p>
    <w:p w:rsidR="00CD5EF4" w:rsidRDefault="007F236B">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b/>
          <w:bCs/>
          <w:sz w:val="36"/>
        </w:rPr>
        <w:t>1911</w:t>
      </w:r>
      <w:r>
        <w:rPr>
          <w:rFonts w:ascii="黑体" w:eastAsia="黑体" w:hAnsi="黑体"/>
          <w:b/>
          <w:bCs/>
          <w:sz w:val="36"/>
        </w:rPr>
        <w:t>一年定开公募人民币理财产品</w:t>
      </w:r>
    </w:p>
    <w:p w:rsidR="00CD5EF4" w:rsidRDefault="007F236B">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rPr>
          <w:rFonts w:ascii="黑体" w:eastAsia="黑体" w:hAnsi="黑体"/>
          <w:b/>
          <w:bCs/>
          <w:color w:val="000000"/>
          <w:sz w:val="36"/>
        </w:rPr>
      </w:pPr>
    </w:p>
    <w:p w:rsidR="00CD5EF4" w:rsidRDefault="00CD5EF4">
      <w:pPr>
        <w:pStyle w:val="dazhangjie"/>
        <w:spacing w:before="240" w:after="120"/>
        <w:ind w:left="0"/>
        <w:jc w:val="both"/>
        <w:rPr>
          <w:rFonts w:ascii="黑体" w:eastAsia="黑体" w:hAnsi="黑体"/>
          <w:b/>
          <w:bCs/>
          <w:color w:val="000000"/>
          <w:sz w:val="36"/>
        </w:rPr>
      </w:pPr>
    </w:p>
    <w:p w:rsidR="00CD5EF4" w:rsidRDefault="007F236B">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CD5EF4" w:rsidRDefault="007F236B">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CD5EF4" w:rsidRDefault="00CD5EF4">
      <w:pPr>
        <w:widowControl/>
        <w:jc w:val="left"/>
        <w:rPr>
          <w:rFonts w:ascii="宋体" w:hAnsi="宋体" w:cs="宋体"/>
          <w:color w:val="000000"/>
          <w:kern w:val="0"/>
          <w:sz w:val="24"/>
          <w:szCs w:val="24"/>
        </w:rPr>
        <w:sectPr w:rsidR="00CD5EF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CD5EF4" w:rsidRDefault="00CD5EF4">
      <w:pPr>
        <w:widowControl/>
        <w:jc w:val="left"/>
        <w:rPr>
          <w:rFonts w:ascii="宋体" w:hAnsi="宋体" w:cs="宋体"/>
          <w:color w:val="000000"/>
          <w:kern w:val="0"/>
          <w:sz w:val="24"/>
          <w:szCs w:val="24"/>
        </w:rPr>
      </w:pPr>
    </w:p>
    <w:p w:rsidR="00CD5EF4" w:rsidRDefault="007F236B">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CD5EF4" w:rsidRDefault="00CD5EF4">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南京银行珠联璧合安稳</w:t>
            </w:r>
            <w:r>
              <w:rPr>
                <w:rFonts w:hint="eastAsia"/>
              </w:rPr>
              <w:t>1911</w:t>
            </w:r>
            <w:r>
              <w:rPr>
                <w:rFonts w:hint="eastAsia"/>
              </w:rPr>
              <w:t>一年定开公募人民币理财产品</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pPr>
            <w:r>
              <w:t>C1086919000020</w:t>
            </w:r>
            <w:r>
              <w:rPr>
                <w:rFonts w:hint="eastAsia"/>
              </w:rPr>
              <w:t>（投资者可依据该编码在中国理财网</w:t>
            </w:r>
            <w:r>
              <w:rPr>
                <w:rFonts w:hint="eastAsia"/>
              </w:rPr>
              <w:t>www.chinawealth.com.cn</w:t>
            </w:r>
            <w:r>
              <w:rPr>
                <w:rFonts w:hint="eastAsia"/>
              </w:rPr>
              <w:t>查询理财产品相关信息）</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开放式</w:t>
            </w:r>
            <w:r>
              <w:rPr>
                <w:rFonts w:hint="eastAsia"/>
              </w:rPr>
              <w:t>净值型</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1149B1">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2019</w:t>
            </w:r>
            <w:r>
              <w:rPr>
                <w:rFonts w:hint="eastAsia"/>
              </w:rPr>
              <w:t>年</w:t>
            </w:r>
            <w:r>
              <w:rPr>
                <w:rFonts w:hint="eastAsia"/>
              </w:rPr>
              <w:t>11</w:t>
            </w:r>
            <w:r>
              <w:rPr>
                <w:rFonts w:hint="eastAsia"/>
              </w:rPr>
              <w:t>月</w:t>
            </w:r>
            <w:r>
              <w:rPr>
                <w:rFonts w:hint="eastAsia"/>
              </w:rPr>
              <w:t>07</w:t>
            </w:r>
            <w:r>
              <w:rPr>
                <w:rFonts w:hint="eastAsia"/>
              </w:rPr>
              <w:t>日</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highlight w:val="yellow"/>
              </w:rPr>
            </w:pPr>
            <w:r>
              <w:rPr>
                <w:rFonts w:hint="eastAsia"/>
              </w:rPr>
              <w:t>1,010,065,154.00</w:t>
            </w:r>
            <w:r>
              <w:rPr>
                <w:rFonts w:hint="eastAsia"/>
              </w:rPr>
              <w:t>份</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103.54%</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南京银行股份有限公司</w:t>
            </w:r>
          </w:p>
        </w:tc>
      </w:tr>
      <w:tr w:rsidR="00CD5EF4">
        <w:tc>
          <w:tcPr>
            <w:tcW w:w="281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left"/>
              <w:wordWrap w:val="0"/>
              <w:rPr>
                <w:color w:val="000000"/>
              </w:rPr>
            </w:pPr>
            <w:r>
              <w:rPr>
                <w:rFonts w:hint="eastAsia"/>
              </w:rPr>
              <w:t>南京银行股份有限公司</w:t>
            </w:r>
          </w:p>
        </w:tc>
      </w:tr>
    </w:tbl>
    <w:p w:rsidR="00CD5EF4" w:rsidRDefault="00CD5EF4">
      <w:pPr>
        <w:widowControl/>
        <w:jc w:val="left"/>
        <w:rPr>
          <w:rFonts w:ascii="宋体" w:hAnsi="宋体" w:cs="宋体"/>
          <w:color w:val="000000"/>
          <w:kern w:val="0"/>
          <w:sz w:val="24"/>
          <w:szCs w:val="24"/>
        </w:rPr>
      </w:pPr>
    </w:p>
    <w:p w:rsidR="00CD5EF4" w:rsidRDefault="00CD5EF4">
      <w:pPr>
        <w:pStyle w:val="dazhangjie"/>
        <w:rPr>
          <w:rFonts w:hAnsi="Calibri"/>
          <w:b/>
          <w:color w:val="000000"/>
        </w:rPr>
      </w:pPr>
    </w:p>
    <w:p w:rsidR="00CD5EF4" w:rsidRDefault="007F236B">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CD5EF4" w:rsidRDefault="00CD5EF4">
      <w:pPr>
        <w:widowControl/>
        <w:jc w:val="left"/>
        <w:rPr>
          <w:rFonts w:ascii="宋体" w:hAnsi="宋体" w:cs="宋体"/>
          <w:color w:val="000000"/>
          <w:kern w:val="0"/>
          <w:sz w:val="24"/>
          <w:szCs w:val="24"/>
        </w:rPr>
      </w:pPr>
    </w:p>
    <w:p w:rsidR="00CD5EF4" w:rsidRDefault="007F236B">
      <w:pPr>
        <w:pStyle w:val="zhangjiep"/>
        <w:rPr>
          <w:color w:val="000000"/>
        </w:rPr>
      </w:pPr>
      <w:r>
        <w:rPr>
          <w:rFonts w:hint="eastAsia"/>
          <w:b/>
          <w:bCs/>
          <w:color w:val="000000"/>
        </w:rPr>
        <w:t xml:space="preserve">2.1 </w:t>
      </w:r>
      <w:r>
        <w:rPr>
          <w:rFonts w:hint="eastAsia"/>
          <w:b/>
          <w:bCs/>
          <w:color w:val="000000"/>
        </w:rPr>
        <w:t>主要财务指标</w:t>
      </w:r>
    </w:p>
    <w:p w:rsidR="00CD5EF4" w:rsidRDefault="007F236B">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CD5EF4">
        <w:tc>
          <w:tcPr>
            <w:tcW w:w="5220"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CD5EF4">
        <w:tc>
          <w:tcPr>
            <w:tcW w:w="5220"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right"/>
              <w:jc w:val="center"/>
              <w:rPr>
                <w:color w:val="000000"/>
                <w:highlight w:val="yellow"/>
              </w:rPr>
            </w:pPr>
            <w:r>
              <w:rPr>
                <w:rFonts w:hint="eastAsia"/>
              </w:rPr>
              <w:t>1,016,992,043.57</w:t>
            </w:r>
          </w:p>
        </w:tc>
      </w:tr>
      <w:tr w:rsidR="00CD5EF4">
        <w:tc>
          <w:tcPr>
            <w:tcW w:w="5220"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right"/>
              <w:jc w:val="center"/>
              <w:rPr>
                <w:color w:val="000000"/>
                <w:highlight w:val="yellow"/>
              </w:rPr>
            </w:pPr>
            <w:r>
              <w:rPr>
                <w:rFonts w:hint="eastAsia"/>
              </w:rPr>
              <w:t>1.0069</w:t>
            </w:r>
          </w:p>
        </w:tc>
      </w:tr>
      <w:tr w:rsidR="00CD5EF4">
        <w:tc>
          <w:tcPr>
            <w:tcW w:w="5220"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right"/>
              <w:jc w:val="center"/>
              <w:rPr>
                <w:color w:val="000000"/>
                <w:highlight w:val="yellow"/>
              </w:rPr>
            </w:pPr>
            <w:r>
              <w:rPr>
                <w:color w:val="000000"/>
              </w:rPr>
              <w:t>1.0525</w:t>
            </w:r>
          </w:p>
        </w:tc>
      </w:tr>
      <w:tr w:rsidR="00CD5EF4">
        <w:tc>
          <w:tcPr>
            <w:tcW w:w="5220" w:type="dxa"/>
            <w:vAlign w:val="center"/>
          </w:tcPr>
          <w:p w:rsidR="00CD5EF4" w:rsidRDefault="00CD5EF4">
            <w:pPr>
              <w:widowControl/>
              <w:jc w:val="left"/>
              <w:rPr>
                <w:rFonts w:ascii="宋体" w:hAnsi="宋体" w:cs="宋体"/>
                <w:color w:val="000000"/>
                <w:kern w:val="0"/>
                <w:sz w:val="24"/>
                <w:szCs w:val="24"/>
              </w:rPr>
            </w:pPr>
          </w:p>
        </w:tc>
        <w:tc>
          <w:tcPr>
            <w:tcW w:w="3825" w:type="dxa"/>
            <w:vAlign w:val="center"/>
          </w:tcPr>
          <w:p w:rsidR="00CD5EF4" w:rsidRDefault="00CD5EF4">
            <w:pPr>
              <w:widowControl/>
              <w:jc w:val="left"/>
              <w:rPr>
                <w:color w:val="000000"/>
                <w:kern w:val="0"/>
                <w:sz w:val="20"/>
                <w:szCs w:val="20"/>
              </w:rPr>
            </w:pPr>
          </w:p>
        </w:tc>
      </w:tr>
    </w:tbl>
    <w:p w:rsidR="00CD5EF4" w:rsidRDefault="00CD5EF4">
      <w:pPr>
        <w:pStyle w:val="biaogeleft"/>
        <w:ind w:left="0"/>
        <w:rPr>
          <w:color w:val="000000"/>
        </w:rPr>
      </w:pPr>
    </w:p>
    <w:p w:rsidR="00CD5EF4" w:rsidRDefault="00CD5EF4">
      <w:pPr>
        <w:widowControl/>
        <w:jc w:val="left"/>
        <w:rPr>
          <w:rFonts w:ascii="宋体" w:hAnsi="宋体" w:cs="宋体"/>
          <w:color w:val="000000"/>
          <w:kern w:val="0"/>
          <w:sz w:val="24"/>
          <w:szCs w:val="24"/>
        </w:rPr>
      </w:pPr>
    </w:p>
    <w:p w:rsidR="00CD5EF4" w:rsidRDefault="007F236B">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CD5EF4" w:rsidRDefault="007F236B">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CD5EF4" w:rsidRDefault="007F236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CD5EF4" w:rsidRDefault="007F236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w:t>
      </w:r>
      <w:r>
        <w:rPr>
          <w:rFonts w:asciiTheme="minorEastAsia" w:eastAsiaTheme="minorEastAsia" w:hAnsiTheme="minorEastAsia" w:hint="eastAsia"/>
          <w:sz w:val="24"/>
          <w:szCs w:val="24"/>
        </w:rPr>
        <w:t>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CD5EF4" w:rsidRDefault="007F236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CD5EF4" w:rsidRDefault="007F236B">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w:t>
      </w:r>
      <w:r>
        <w:rPr>
          <w:rFonts w:asciiTheme="minorEastAsia" w:eastAsiaTheme="minorEastAsia" w:hAnsiTheme="minorEastAsia" w:hint="eastAsia"/>
          <w:sz w:val="24"/>
          <w:szCs w:val="24"/>
        </w:rPr>
        <w:t>配置，选择性价比较优的城投信用债及非标资产作为主要底仓，适当利用杠杆增厚收益。后续将在严格控制风险的基础上，精选个券，充分发挥票息策略优势，辅以杠杆增厚收益。</w:t>
      </w:r>
    </w:p>
    <w:p w:rsidR="00CD5EF4" w:rsidRDefault="007F236B">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CD5EF4" w:rsidRDefault="007F236B">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CD5EF4" w:rsidRDefault="007F236B">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CD5EF4" w:rsidRDefault="007F236B">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w:t>
      </w:r>
      <w:r>
        <w:rPr>
          <w:rFonts w:hint="eastAsia"/>
        </w:rPr>
        <w:t>69</w:t>
      </w:r>
      <w:r>
        <w:rPr>
          <w:rFonts w:hint="eastAsia"/>
          <w:color w:val="000000"/>
        </w:rPr>
        <w:t>元。</w:t>
      </w:r>
    </w:p>
    <w:p w:rsidR="00CD5EF4" w:rsidRDefault="00CD5EF4">
      <w:pPr>
        <w:widowControl/>
        <w:jc w:val="left"/>
        <w:rPr>
          <w:rFonts w:ascii="宋体" w:hAnsi="宋体" w:cs="宋体"/>
          <w:color w:val="000000"/>
          <w:kern w:val="0"/>
          <w:sz w:val="24"/>
          <w:szCs w:val="24"/>
        </w:rPr>
      </w:pPr>
    </w:p>
    <w:p w:rsidR="00CD5EF4" w:rsidRDefault="007F236B">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CD5EF4" w:rsidRDefault="00CD5EF4">
      <w:pPr>
        <w:pStyle w:val="dazhangjie"/>
        <w:rPr>
          <w:rFonts w:hAnsi="Calibri"/>
          <w:b/>
          <w:color w:val="000000"/>
        </w:rPr>
      </w:pPr>
    </w:p>
    <w:p w:rsidR="00CD5EF4" w:rsidRDefault="007F236B">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CD5EF4" w:rsidRDefault="007F236B">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CD5EF4" w:rsidRDefault="007F236B">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CD5EF4" w:rsidRDefault="007F236B">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CD5EF4" w:rsidRDefault="007F236B">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CD5EF4" w:rsidRDefault="007F236B">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CD5EF4" w:rsidRDefault="00CD5EF4">
      <w:pPr>
        <w:pStyle w:val="biaogeleft"/>
        <w:spacing w:line="360" w:lineRule="auto"/>
        <w:ind w:firstLine="480"/>
        <w:rPr>
          <w:color w:val="000000"/>
        </w:rPr>
      </w:pPr>
    </w:p>
    <w:p w:rsidR="00CD5EF4" w:rsidRDefault="007F236B">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CD5EF4" w:rsidRDefault="00CD5EF4">
      <w:pPr>
        <w:widowControl/>
        <w:jc w:val="left"/>
        <w:rPr>
          <w:rFonts w:ascii="宋体" w:hAnsi="宋体" w:cs="宋体"/>
          <w:kern w:val="0"/>
          <w:sz w:val="24"/>
          <w:szCs w:val="24"/>
        </w:rPr>
      </w:pPr>
    </w:p>
    <w:p w:rsidR="00CD5EF4" w:rsidRDefault="007F236B">
      <w:pPr>
        <w:pStyle w:val="zhangjiep"/>
      </w:pPr>
      <w:bookmarkStart w:id="4" w:name="_Toc61271615"/>
      <w:r>
        <w:rPr>
          <w:rFonts w:hint="eastAsia"/>
          <w:b/>
          <w:bCs/>
        </w:rPr>
        <w:t xml:space="preserve">5.1 </w:t>
      </w:r>
      <w:r>
        <w:rPr>
          <w:rFonts w:hint="eastAsia"/>
          <w:b/>
          <w:bCs/>
        </w:rPr>
        <w:t>资产负债表</w:t>
      </w:r>
      <w:bookmarkEnd w:id="4"/>
    </w:p>
    <w:p w:rsidR="00CD5EF4" w:rsidRDefault="007F236B">
      <w:pPr>
        <w:pStyle w:val="biaogeleft"/>
      </w:pPr>
      <w:r>
        <w:rPr>
          <w:rFonts w:hint="eastAsia"/>
        </w:rPr>
        <w:t>会计主体：南京银行珠联璧合安稳</w:t>
      </w:r>
      <w:r>
        <w:rPr>
          <w:rFonts w:hint="eastAsia"/>
        </w:rPr>
        <w:t>1911</w:t>
      </w:r>
      <w:r>
        <w:rPr>
          <w:rFonts w:hint="eastAsia"/>
        </w:rPr>
        <w:t>一年定开公募人民币理财产品</w:t>
      </w:r>
    </w:p>
    <w:p w:rsidR="00CD5EF4" w:rsidRDefault="007F236B">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D5EF4" w:rsidRDefault="007F236B">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Ansi="Calibri" w:hint="eastAsia"/>
                <w:color w:val="000000"/>
              </w:rPr>
              <w:t>本期末</w:t>
            </w:r>
            <w:r>
              <w:rPr>
                <w:rFonts w:hAnsi="Calibri" w:hint="eastAsia"/>
                <w:color w:val="000000"/>
              </w:rPr>
              <w:t> </w:t>
            </w:r>
          </w:p>
          <w:p w:rsidR="00CD5EF4" w:rsidRDefault="007F236B">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Ansi="Calibri" w:hint="eastAsia"/>
                <w:color w:val="000000"/>
              </w:rPr>
              <w:t>上年度末</w:t>
            </w:r>
            <w:r>
              <w:rPr>
                <w:rFonts w:hAnsi="Calibri" w:hint="eastAsia"/>
                <w:color w:val="000000"/>
              </w:rPr>
              <w:t> </w:t>
            </w:r>
          </w:p>
          <w:p w:rsidR="00CD5EF4" w:rsidRDefault="007F236B">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CD5EF4">
            <w:pPr>
              <w:rPr>
                <w:rFonts w:ascii="宋体" w:hAnsi="宋体" w:cs="宋体"/>
                <w:kern w:val="0"/>
                <w:sz w:val="24"/>
                <w:szCs w:val="24"/>
              </w:rPr>
            </w:pP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7,128,406.03</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8,750,318.97</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920,293,443.36</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895,102,478.40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920,293,443.36</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756,752,358.28</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cs="Arial" w:hint="eastAsia"/>
                <w:color w:val="000000"/>
              </w:rPr>
              <w:t xml:space="preserve"> </w:t>
            </w: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138,350,120.12</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25,177,997.06</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25,037,819.34</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435,616.44</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50,000,000.00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300,000,000.00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50,000,000.00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1,053,035,462.89</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1,228,890,616.71</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本期末</w:t>
            </w:r>
            <w:r>
              <w:rPr>
                <w:rFonts w:hint="eastAsia"/>
              </w:rPr>
              <w:t> </w:t>
            </w:r>
          </w:p>
          <w:p w:rsidR="00CD5EF4" w:rsidRDefault="007F236B">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上年度末</w:t>
            </w:r>
            <w:r>
              <w:rPr>
                <w:rFonts w:hint="eastAsia"/>
              </w:rPr>
              <w:t> </w:t>
            </w:r>
          </w:p>
          <w:p w:rsidR="00CD5EF4" w:rsidRDefault="007F236B">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 </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29,759,835.36</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24,989,842.51</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2,850,609.92</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360,253.85</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269,331.68</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36,025.55</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2,693,304.74</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360,253.85</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1,438.84</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1,794.99</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418,866.59</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264,895.68</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50,032.19</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35,144.48</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36,043,419.32</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26,048,210.91</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CD5EF4">
            <w:pPr>
              <w:rPr>
                <w:rFonts w:ascii="宋体" w:hAnsi="宋体" w:cs="宋体"/>
                <w:kern w:val="0"/>
                <w:sz w:val="24"/>
                <w:szCs w:val="24"/>
              </w:rPr>
            </w:pP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1,010,065,154.00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1,195,387,000.00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0.00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6,926,889.57</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7,455,405.80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1,016,992,043.57</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1,202,842,405.80</w:t>
            </w:r>
          </w:p>
        </w:tc>
      </w:tr>
      <w:tr w:rsidR="00CD5EF4">
        <w:tc>
          <w:tcPr>
            <w:tcW w:w="260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1,053,035,462.89</w:t>
            </w:r>
          </w:p>
        </w:tc>
        <w:tc>
          <w:tcPr>
            <w:tcW w:w="2620"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cs="Arial" w:hint="eastAsia"/>
                <w:color w:val="000000"/>
              </w:rPr>
              <w:t>1,228,890,616.71</w:t>
            </w:r>
          </w:p>
        </w:tc>
      </w:tr>
    </w:tbl>
    <w:p w:rsidR="00CD5EF4" w:rsidRDefault="00CD5EF4">
      <w:pPr>
        <w:widowControl/>
        <w:jc w:val="left"/>
        <w:rPr>
          <w:rFonts w:ascii="宋体" w:hAnsi="宋体" w:cs="宋体"/>
          <w:kern w:val="0"/>
          <w:sz w:val="24"/>
          <w:szCs w:val="24"/>
        </w:rPr>
      </w:pPr>
    </w:p>
    <w:p w:rsidR="00CD5EF4" w:rsidRDefault="007F236B">
      <w:pPr>
        <w:pStyle w:val="zhangjiep"/>
      </w:pPr>
      <w:bookmarkStart w:id="5" w:name="_Toc61426480"/>
      <w:r>
        <w:rPr>
          <w:rFonts w:hint="eastAsia"/>
          <w:b/>
          <w:bCs/>
        </w:rPr>
        <w:t xml:space="preserve">5.2 </w:t>
      </w:r>
      <w:r>
        <w:rPr>
          <w:rFonts w:hint="eastAsia"/>
          <w:b/>
          <w:bCs/>
        </w:rPr>
        <w:t>利润表</w:t>
      </w:r>
      <w:bookmarkEnd w:id="5"/>
    </w:p>
    <w:p w:rsidR="00CD5EF4" w:rsidRDefault="007F236B">
      <w:pPr>
        <w:pStyle w:val="biaogeleft"/>
      </w:pPr>
      <w:r>
        <w:rPr>
          <w:rFonts w:hint="eastAsia"/>
        </w:rPr>
        <w:t>会计主体：南京银行珠联璧合安稳</w:t>
      </w:r>
      <w:r>
        <w:rPr>
          <w:rFonts w:hint="eastAsia"/>
        </w:rPr>
        <w:t>1911</w:t>
      </w:r>
      <w:r>
        <w:rPr>
          <w:rFonts w:hint="eastAsia"/>
        </w:rPr>
        <w:t>一年定开公募人民币理财产品</w:t>
      </w:r>
    </w:p>
    <w:p w:rsidR="00CD5EF4" w:rsidRDefault="007F236B">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D5EF4" w:rsidRDefault="007F236B">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CD5EF4">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CD5EF4">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CD5EF4" w:rsidRDefault="00CD5EF4">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CD5EF4" w:rsidRDefault="00CD5EF4">
            <w:pPr>
              <w:widowControl/>
              <w:jc w:val="left"/>
              <w:rPr>
                <w:rFonts w:asciiTheme="minorEastAsia" w:eastAsiaTheme="minorEastAsia" w:hAnsiTheme="minorEastAsia" w:cs="宋体"/>
                <w:kern w:val="0"/>
                <w:sz w:val="24"/>
                <w:szCs w:val="24"/>
              </w:rPr>
            </w:pP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b/>
                <w:bCs/>
                <w:color w:val="000000"/>
              </w:rPr>
              <w:t>60,176,783.18</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59,763,008.12</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68,023.54</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58,190,314.21</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849,458.79</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655,211.58</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ascii="Arial" w:hAnsi="Arial" w:cs="Arial"/>
                <w:color w:val="000000"/>
              </w:rPr>
              <w:t xml:space="preserve">　</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-9,153.71</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-9,153.71</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 xml:space="preserve">　</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422,928.77</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b/>
                <w:bCs/>
                <w:color w:val="000000"/>
              </w:rPr>
              <w:t>6,161,568.36</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2,490,356.07</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233,306.13</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2,333,050.89</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867,197.12</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867,197.12</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208,258.15</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color w:val="000000"/>
              </w:rPr>
              <w:t>29,400.00</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b/>
                <w:bCs/>
                <w:color w:val="000000"/>
              </w:rPr>
              <w:t>54,015,214.82</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ascii="Arial" w:hAnsi="Arial" w:cs="Arial"/>
                <w:color w:val="000000"/>
              </w:rPr>
              <w:t xml:space="preserve">　</w:t>
            </w:r>
          </w:p>
        </w:tc>
      </w:tr>
      <w:tr w:rsidR="00CD5EF4">
        <w:tc>
          <w:tcPr>
            <w:tcW w:w="2969"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rPr>
                <w:rFonts w:asciiTheme="minorEastAsia" w:eastAsiaTheme="minorEastAsia" w:hAnsiTheme="minorEastAsia"/>
              </w:rPr>
            </w:pPr>
            <w:r>
              <w:rPr>
                <w:rFonts w:cs="Arial" w:hint="eastAsia"/>
                <w:b/>
                <w:bCs/>
                <w:color w:val="000000"/>
              </w:rPr>
              <w:t>54,015,214.82</w:t>
            </w:r>
          </w:p>
        </w:tc>
      </w:tr>
    </w:tbl>
    <w:p w:rsidR="00CD5EF4" w:rsidRDefault="00CD5EF4">
      <w:pPr>
        <w:widowControl/>
        <w:jc w:val="left"/>
        <w:rPr>
          <w:rFonts w:ascii="宋体" w:hAnsi="宋体" w:cs="宋体"/>
          <w:kern w:val="0"/>
          <w:sz w:val="24"/>
          <w:szCs w:val="24"/>
        </w:rPr>
      </w:pPr>
    </w:p>
    <w:p w:rsidR="00CD5EF4" w:rsidRDefault="007F236B">
      <w:pPr>
        <w:pStyle w:val="zhangjiep"/>
      </w:pPr>
      <w:bookmarkStart w:id="6" w:name="_Toc61426481"/>
      <w:r>
        <w:rPr>
          <w:rFonts w:hint="eastAsia"/>
          <w:b/>
          <w:bCs/>
        </w:rPr>
        <w:t xml:space="preserve">5.3 </w:t>
      </w:r>
      <w:r>
        <w:rPr>
          <w:rFonts w:hint="eastAsia"/>
          <w:b/>
          <w:bCs/>
        </w:rPr>
        <w:t>所有者权益（基金净值）变动表</w:t>
      </w:r>
      <w:bookmarkEnd w:id="6"/>
    </w:p>
    <w:p w:rsidR="00CD5EF4" w:rsidRDefault="007F236B">
      <w:pPr>
        <w:pStyle w:val="biaogeleft"/>
      </w:pPr>
      <w:r>
        <w:rPr>
          <w:rFonts w:hint="eastAsia"/>
        </w:rPr>
        <w:t>会计主体：南京银行珠联璧合安稳</w:t>
      </w:r>
      <w:r>
        <w:rPr>
          <w:rFonts w:hint="eastAsia"/>
        </w:rPr>
        <w:t>1911</w:t>
      </w:r>
      <w:r>
        <w:rPr>
          <w:rFonts w:hint="eastAsia"/>
        </w:rPr>
        <w:t>一年定开公募人民币理财产品</w:t>
      </w:r>
    </w:p>
    <w:p w:rsidR="00CD5EF4" w:rsidRDefault="007F236B">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D5EF4" w:rsidRDefault="007F236B">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CD5EF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本期</w:t>
            </w:r>
            <w:r>
              <w:rPr>
                <w:rFonts w:hint="eastAsia"/>
              </w:rPr>
              <w:t> </w:t>
            </w:r>
          </w:p>
          <w:p w:rsidR="00CD5EF4" w:rsidRDefault="007F236B">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D5EF4">
        <w:tc>
          <w:tcPr>
            <w:tcW w:w="2116" w:type="dxa"/>
            <w:vMerge/>
            <w:tcBorders>
              <w:top w:val="single" w:sz="8" w:space="0" w:color="000000"/>
              <w:left w:val="single" w:sz="8" w:space="0" w:color="000000"/>
              <w:bottom w:val="single" w:sz="8" w:space="0" w:color="000000"/>
              <w:right w:val="single" w:sz="8" w:space="0" w:color="000000"/>
            </w:tcBorders>
            <w:vAlign w:val="center"/>
          </w:tcPr>
          <w:p w:rsidR="00CD5EF4" w:rsidRDefault="00CD5EF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所有者权益合计</w:t>
            </w:r>
            <w:r>
              <w:rPr>
                <w:rFonts w:hint="eastAsia"/>
              </w:rPr>
              <w:t> </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1,195,387,000.00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7,455,405.80</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1,202,842,405.80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54,015,214.82</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54,015,214.82</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-185,321,846.00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-185,321,846.00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382,549,000.00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382,549,000.00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-567,870,846.00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-567,870,846.00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-54,543,731.05</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-54,543,731.05</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1,010,065,154.00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6,926,889.57</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1,016,992,043.57</w:t>
            </w:r>
          </w:p>
        </w:tc>
      </w:tr>
      <w:tr w:rsidR="00CD5EF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上年度可比期间</w:t>
            </w:r>
            <w:r>
              <w:rPr>
                <w:rFonts w:hint="eastAsia"/>
              </w:rPr>
              <w:t> </w:t>
            </w:r>
          </w:p>
          <w:p w:rsidR="00CD5EF4" w:rsidRDefault="007F236B">
            <w:pPr>
              <w:pStyle w:val="biaogecenter"/>
              <w:wordWrap w:val="0"/>
            </w:pPr>
            <w:r>
              <w:rPr>
                <w:rFonts w:hint="eastAsia"/>
              </w:rPr>
              <w:t>2019</w:t>
            </w:r>
            <w:r>
              <w:rPr>
                <w:rFonts w:hint="eastAsia"/>
              </w:rPr>
              <w:t>年</w:t>
            </w:r>
            <w:r>
              <w:rPr>
                <w:rFonts w:hint="eastAsia"/>
              </w:rPr>
              <w:t>11</w:t>
            </w:r>
            <w:r>
              <w:rPr>
                <w:rFonts w:hint="eastAsia"/>
              </w:rPr>
              <w:t>月</w:t>
            </w:r>
            <w:r>
              <w:rPr>
                <w:rFonts w:hint="eastAsia"/>
              </w:rPr>
              <w:t>07</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CD5EF4">
        <w:tc>
          <w:tcPr>
            <w:tcW w:w="2116" w:type="dxa"/>
            <w:vMerge/>
            <w:tcBorders>
              <w:top w:val="single" w:sz="8" w:space="0" w:color="000000"/>
              <w:left w:val="single" w:sz="8" w:space="0" w:color="000000"/>
              <w:bottom w:val="single" w:sz="8" w:space="0" w:color="000000"/>
              <w:right w:val="single" w:sz="8" w:space="0" w:color="000000"/>
            </w:tcBorders>
            <w:vAlign w:val="center"/>
          </w:tcPr>
          <w:p w:rsidR="00CD5EF4" w:rsidRDefault="00CD5EF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所有者权益合计</w:t>
            </w:r>
            <w:r>
              <w:rPr>
                <w:rFonts w:hint="eastAsia"/>
              </w:rPr>
              <w:t> </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1,195,387,000.00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1,195,387,000.00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7,455,405.80</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7,455,405.80</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w:t>
            </w:r>
          </w:p>
        </w:tc>
      </w:tr>
      <w:tr w:rsidR="00CD5EF4">
        <w:tc>
          <w:tcPr>
            <w:tcW w:w="211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1,195,387,000.00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7,455,405.80</w:t>
            </w:r>
          </w:p>
        </w:tc>
        <w:tc>
          <w:tcPr>
            <w:tcW w:w="2484"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right"/>
              <w:wordWrap w:val="0"/>
            </w:pPr>
            <w:r>
              <w:rPr>
                <w:rFonts w:hint="eastAsia"/>
              </w:rPr>
              <w:t>1,202,842,405.80</w:t>
            </w:r>
          </w:p>
        </w:tc>
      </w:tr>
    </w:tbl>
    <w:p w:rsidR="00CD5EF4" w:rsidRDefault="00CD5EF4">
      <w:pPr>
        <w:widowControl/>
        <w:autoSpaceDE w:val="0"/>
        <w:autoSpaceDN w:val="0"/>
        <w:adjustRightInd w:val="0"/>
        <w:spacing w:line="288" w:lineRule="auto"/>
        <w:jc w:val="right"/>
        <w:rPr>
          <w:rFonts w:ascii="宋体" w:hAnsi="宋体" w:cs="宋体"/>
          <w:kern w:val="0"/>
          <w:sz w:val="24"/>
          <w:szCs w:val="24"/>
        </w:rPr>
      </w:pPr>
    </w:p>
    <w:p w:rsidR="00CD5EF4" w:rsidRDefault="00CD5EF4">
      <w:pPr>
        <w:pStyle w:val="biaogeleft"/>
        <w:spacing w:line="360" w:lineRule="auto"/>
        <w:ind w:firstLine="480"/>
        <w:rPr>
          <w:color w:val="000000"/>
        </w:rPr>
      </w:pPr>
    </w:p>
    <w:p w:rsidR="00CD5EF4" w:rsidRDefault="007F236B">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CD5EF4" w:rsidRDefault="00CD5EF4">
      <w:pPr>
        <w:widowControl/>
        <w:jc w:val="left"/>
        <w:rPr>
          <w:rFonts w:ascii="宋体" w:hAnsi="宋体" w:cs="宋体"/>
          <w:color w:val="000000"/>
          <w:kern w:val="0"/>
          <w:sz w:val="24"/>
          <w:szCs w:val="24"/>
        </w:rPr>
      </w:pPr>
    </w:p>
    <w:p w:rsidR="00CD5EF4" w:rsidRDefault="007F236B">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CD5EF4">
        <w:tc>
          <w:tcPr>
            <w:tcW w:w="891" w:type="dxa"/>
            <w:tcBorders>
              <w:top w:val="single" w:sz="8" w:space="0" w:color="000000"/>
              <w:left w:val="single" w:sz="8" w:space="0" w:color="000000"/>
              <w:bottom w:val="single" w:sz="6" w:space="0" w:color="000000"/>
              <w:right w:val="single" w:sz="8" w:space="0" w:color="000000"/>
            </w:tcBorders>
            <w:vAlign w:val="bottom"/>
          </w:tcPr>
          <w:p w:rsidR="00CD5EF4" w:rsidRDefault="007F236B">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CD5EF4" w:rsidRDefault="007F236B">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CD5EF4" w:rsidRDefault="007F236B">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CD5EF4" w:rsidRDefault="007F236B">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920,293,443.36</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87.39</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9.50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7,128,406.03</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0.68</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25,177,997.06</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2.39</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435,616.44</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D5EF4">
        <w:tc>
          <w:tcPr>
            <w:tcW w:w="891"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1,053,035,462.89</w:t>
            </w:r>
          </w:p>
        </w:tc>
        <w:tc>
          <w:tcPr>
            <w:tcW w:w="2395" w:type="dxa"/>
            <w:tcBorders>
              <w:top w:val="single" w:sz="8" w:space="0" w:color="000000"/>
              <w:left w:val="single" w:sz="8" w:space="0" w:color="000000"/>
              <w:bottom w:val="single" w:sz="8" w:space="0" w:color="000000"/>
              <w:right w:val="single" w:sz="8" w:space="0" w:color="000000"/>
            </w:tcBorders>
            <w:vAlign w:val="center"/>
          </w:tcPr>
          <w:p w:rsidR="00CD5EF4" w:rsidRDefault="007F236B">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CD5EF4" w:rsidRDefault="00CD5EF4">
      <w:pPr>
        <w:widowControl/>
        <w:jc w:val="left"/>
        <w:rPr>
          <w:rFonts w:ascii="宋体" w:hAnsi="宋体" w:cs="宋体"/>
          <w:color w:val="000000"/>
          <w:kern w:val="0"/>
          <w:sz w:val="24"/>
          <w:szCs w:val="24"/>
        </w:rPr>
      </w:pPr>
    </w:p>
    <w:p w:rsidR="00CD5EF4" w:rsidRDefault="007F236B">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CD5EF4">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CD5EF4" w:rsidRDefault="007F236B">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CD5EF4" w:rsidRDefault="007F236B">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CD5EF4" w:rsidRDefault="007F236B">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CD5EF4" w:rsidRDefault="007F236B">
            <w:pPr>
              <w:pStyle w:val="biaogecenter"/>
              <w:wordWrap w:val="0"/>
              <w:rPr>
                <w:color w:val="000000"/>
              </w:rPr>
            </w:pPr>
            <w:r>
              <w:rPr>
                <w:rFonts w:hint="eastAsia"/>
                <w:color w:val="000000"/>
              </w:rPr>
              <w:t>占产品资产净值比例（％）</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145233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17</w:t>
            </w:r>
            <w:r>
              <w:rPr>
                <w:rFonts w:hint="eastAsia"/>
                <w:color w:val="000000"/>
              </w:rPr>
              <w:t>港闸</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80,000,445.87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7.87%</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145213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16</w:t>
            </w:r>
            <w:r>
              <w:rPr>
                <w:rFonts w:hint="eastAsia"/>
                <w:color w:val="000000"/>
              </w:rPr>
              <w:t>清浦</w:t>
            </w:r>
            <w:r>
              <w:rPr>
                <w:rFonts w:hint="eastAsia"/>
                <w:color w:val="000000"/>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80,000,391.04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7.87%</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118874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16</w:t>
            </w:r>
            <w:r>
              <w:rPr>
                <w:rFonts w:hint="eastAsia"/>
                <w:color w:val="000000"/>
              </w:rPr>
              <w:t>启东</w:t>
            </w:r>
            <w:r>
              <w:rPr>
                <w:rFonts w:hint="eastAsia"/>
                <w:color w:val="000000"/>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80,000,324.50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7.87%</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101900336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19</w:t>
            </w:r>
            <w:r>
              <w:rPr>
                <w:rFonts w:hint="eastAsia"/>
                <w:color w:val="000000"/>
              </w:rPr>
              <w:t>南京浦口</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60,001,176.96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5.90%</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135323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16</w:t>
            </w:r>
            <w:r>
              <w:rPr>
                <w:rFonts w:hint="eastAsia"/>
                <w:color w:val="000000"/>
              </w:rPr>
              <w:t>昆银桥</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60,000,108.33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5.90%</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102000202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20</w:t>
            </w:r>
            <w:r>
              <w:rPr>
                <w:rFonts w:hint="eastAsia"/>
                <w:color w:val="000000"/>
              </w:rPr>
              <w:t>南京农副</w:t>
            </w:r>
            <w:r>
              <w:rPr>
                <w:rFonts w:hint="eastAsia"/>
                <w:color w:val="000000"/>
              </w:rPr>
              <w:t>(</w:t>
            </w:r>
            <w:r>
              <w:rPr>
                <w:rFonts w:hint="eastAsia"/>
                <w:color w:val="000000"/>
              </w:rPr>
              <w:t>疫情防控债</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50,003,240.57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4.92%</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102001572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20</w:t>
            </w:r>
            <w:r>
              <w:rPr>
                <w:rFonts w:hint="eastAsia"/>
                <w:color w:val="000000"/>
              </w:rPr>
              <w:t>渝医药</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50,000,243.71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4.92%</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042000036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20</w:t>
            </w:r>
            <w:r>
              <w:rPr>
                <w:rFonts w:hint="eastAsia"/>
                <w:color w:val="000000"/>
              </w:rPr>
              <w:t>镇江城建</w:t>
            </w:r>
            <w:r>
              <w:rPr>
                <w:rFonts w:hint="eastAsia"/>
                <w:color w:val="000000"/>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50,000,014.62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4.92%</w:t>
            </w:r>
          </w:p>
        </w:tc>
      </w:tr>
      <w:tr w:rsidR="00CD5EF4">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20088204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20</w:t>
            </w:r>
            <w:r>
              <w:rPr>
                <w:rFonts w:hint="eastAsia"/>
                <w:color w:val="000000"/>
              </w:rPr>
              <w:t>泰州华诚</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4.92%</w:t>
            </w:r>
          </w:p>
        </w:tc>
      </w:tr>
      <w:tr w:rsidR="00CD5EF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D5EF4" w:rsidRDefault="007F236B">
            <w:pPr>
              <w:pStyle w:val="biaogecenter"/>
              <w:wordWrap w:val="0"/>
              <w:rPr>
                <w:color w:val="000000"/>
              </w:rPr>
            </w:pPr>
            <w:r>
              <w:rPr>
                <w:rFonts w:hint="eastAsia"/>
                <w:color w:val="000000"/>
              </w:rPr>
              <w:t>QTBZZ202011100001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20</w:t>
            </w:r>
            <w:r>
              <w:rPr>
                <w:rFonts w:hint="eastAsia"/>
                <w:color w:val="000000"/>
              </w:rPr>
              <w:t>苏泰交通</w:t>
            </w:r>
            <w:r>
              <w:rPr>
                <w:rFonts w:hint="eastAsia"/>
                <w:color w:val="000000"/>
              </w:rPr>
              <w:t>ZR003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D5EF4" w:rsidRDefault="007F236B">
            <w:pPr>
              <w:pStyle w:val="biaogecenter"/>
              <w:wordWrap w:val="0"/>
              <w:rPr>
                <w:color w:val="000000"/>
              </w:rPr>
            </w:pPr>
            <w:r>
              <w:rPr>
                <w:rFonts w:hint="eastAsia"/>
                <w:color w:val="000000"/>
              </w:rPr>
              <w:t>4.92%</w:t>
            </w:r>
          </w:p>
        </w:tc>
      </w:tr>
    </w:tbl>
    <w:p w:rsidR="00CD5EF4" w:rsidRDefault="00CD5EF4">
      <w:pPr>
        <w:widowControl/>
        <w:jc w:val="left"/>
        <w:rPr>
          <w:rFonts w:ascii="宋体" w:hAnsi="宋体" w:cs="宋体"/>
          <w:b/>
          <w:sz w:val="24"/>
          <w:szCs w:val="24"/>
          <w:shd w:val="clear" w:color="auto" w:fill="FFFFFF"/>
        </w:rPr>
      </w:pPr>
    </w:p>
    <w:p w:rsidR="00CD5EF4" w:rsidRDefault="007F236B">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CD5EF4" w:rsidRDefault="00CD5EF4">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CD5EF4">
        <w:tc>
          <w:tcPr>
            <w:tcW w:w="709"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风险状况</w:t>
            </w:r>
          </w:p>
        </w:tc>
      </w:tr>
      <w:tr w:rsidR="00CD5EF4">
        <w:tc>
          <w:tcPr>
            <w:tcW w:w="70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泰州华诚医学投资集团有限公司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20</w:t>
            </w:r>
            <w:r>
              <w:rPr>
                <w:rFonts w:hint="eastAsia"/>
                <w:shd w:val="clear" w:color="auto" w:fill="FFFFFF"/>
              </w:rPr>
              <w:t>泰州华诚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313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w:t>
            </w:r>
          </w:p>
        </w:tc>
      </w:tr>
      <w:tr w:rsidR="00CD5EF4">
        <w:tc>
          <w:tcPr>
            <w:tcW w:w="709"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泰州市交通产业集团有限公司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20</w:t>
            </w:r>
            <w:r>
              <w:rPr>
                <w:rFonts w:hint="eastAsia"/>
                <w:shd w:val="clear" w:color="auto" w:fill="FFFFFF"/>
              </w:rPr>
              <w:t>苏泰交通</w:t>
            </w:r>
            <w:r>
              <w:rPr>
                <w:rFonts w:hint="eastAsia"/>
                <w:shd w:val="clear" w:color="auto" w:fill="FFFFFF"/>
              </w:rPr>
              <w:t>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310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D5EF4" w:rsidRDefault="007F236B">
            <w:pPr>
              <w:pStyle w:val="biaogecenter"/>
              <w:wordWrap w:val="0"/>
              <w:rPr>
                <w:shd w:val="clear" w:color="auto" w:fill="FFFFFF"/>
              </w:rPr>
            </w:pPr>
            <w:r>
              <w:rPr>
                <w:rFonts w:hint="eastAsia"/>
                <w:shd w:val="clear" w:color="auto" w:fill="FFFFFF"/>
              </w:rPr>
              <w:t>-</w:t>
            </w:r>
          </w:p>
        </w:tc>
      </w:tr>
    </w:tbl>
    <w:p w:rsidR="00CD5EF4" w:rsidRDefault="00CD5EF4">
      <w:pPr>
        <w:widowControl/>
        <w:jc w:val="left"/>
        <w:rPr>
          <w:rFonts w:ascii="宋体" w:hAnsi="宋体" w:cs="宋体"/>
          <w:color w:val="000000"/>
          <w:kern w:val="0"/>
          <w:sz w:val="24"/>
          <w:szCs w:val="24"/>
        </w:rPr>
      </w:pPr>
    </w:p>
    <w:p w:rsidR="00CD5EF4" w:rsidRDefault="00CD5EF4">
      <w:pPr>
        <w:widowControl/>
        <w:jc w:val="left"/>
        <w:rPr>
          <w:rFonts w:ascii="宋体" w:hAnsi="宋体" w:cs="宋体"/>
          <w:color w:val="000000"/>
          <w:kern w:val="0"/>
          <w:sz w:val="24"/>
          <w:szCs w:val="24"/>
        </w:rPr>
      </w:pPr>
    </w:p>
    <w:p w:rsidR="00CD5EF4" w:rsidRDefault="007F236B">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CD5EF4" w:rsidRDefault="007F236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CD5EF4" w:rsidRDefault="007F236B">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49999757.36</w:t>
      </w:r>
      <w:r>
        <w:rPr>
          <w:rFonts w:ascii="宋体" w:hAnsi="宋体" w:cs="宋体" w:hint="eastAsia"/>
          <w:color w:val="000000"/>
          <w:kern w:val="0"/>
          <w:sz w:val="24"/>
          <w:szCs w:val="24"/>
        </w:rPr>
        <w:t>元。</w:t>
      </w:r>
    </w:p>
    <w:p w:rsidR="00CD5EF4" w:rsidRDefault="00CD5EF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CD5EF4" w:rsidRDefault="00CD5EF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CD5EF4" w:rsidRDefault="00CD5EF4">
      <w:pPr>
        <w:widowControl/>
        <w:jc w:val="left"/>
        <w:rPr>
          <w:rFonts w:ascii="宋体" w:hAnsi="宋体" w:cs="宋体"/>
          <w:color w:val="000000"/>
          <w:kern w:val="0"/>
          <w:sz w:val="24"/>
          <w:szCs w:val="24"/>
        </w:rPr>
      </w:pPr>
    </w:p>
    <w:p w:rsidR="00CD5EF4" w:rsidRDefault="00CD5EF4">
      <w:pPr>
        <w:widowControl/>
        <w:jc w:val="left"/>
        <w:rPr>
          <w:rFonts w:ascii="宋体" w:hAnsi="宋体" w:cs="宋体"/>
          <w:color w:val="000000"/>
          <w:kern w:val="0"/>
          <w:sz w:val="24"/>
          <w:szCs w:val="24"/>
        </w:rPr>
      </w:pPr>
    </w:p>
    <w:p w:rsidR="00CD5EF4" w:rsidRDefault="00CD5EF4">
      <w:pPr>
        <w:widowControl/>
        <w:jc w:val="left"/>
        <w:rPr>
          <w:rFonts w:ascii="宋体" w:hAnsi="宋体" w:cs="宋体"/>
          <w:color w:val="000000"/>
          <w:kern w:val="0"/>
          <w:sz w:val="24"/>
          <w:szCs w:val="24"/>
        </w:rPr>
      </w:pPr>
    </w:p>
    <w:p w:rsidR="00CD5EF4" w:rsidRDefault="00CD5EF4">
      <w:pPr>
        <w:widowControl/>
        <w:jc w:val="left"/>
        <w:rPr>
          <w:color w:val="000000"/>
        </w:rPr>
      </w:pPr>
    </w:p>
    <w:p w:rsidR="00CD5EF4" w:rsidRDefault="007F236B">
      <w:pPr>
        <w:pStyle w:val="biaogeright"/>
        <w:rPr>
          <w:b/>
        </w:rPr>
      </w:pPr>
      <w:r>
        <w:rPr>
          <w:rFonts w:hint="eastAsia"/>
          <w:b/>
        </w:rPr>
        <w:t>南京银行股份有限公司</w:t>
      </w:r>
    </w:p>
    <w:p w:rsidR="00CD5EF4" w:rsidRDefault="007F236B">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CD5EF4" w:rsidRDefault="00CD5EF4">
      <w:pPr>
        <w:pStyle w:val="biaogeright"/>
        <w:rPr>
          <w:color w:val="000000"/>
        </w:rPr>
      </w:pPr>
    </w:p>
    <w:sectPr w:rsidR="00CD5EF4" w:rsidSect="00CD5EF4">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36B" w:rsidRDefault="007F236B" w:rsidP="00CD5EF4">
      <w:r>
        <w:separator/>
      </w:r>
    </w:p>
  </w:endnote>
  <w:endnote w:type="continuationSeparator" w:id="1">
    <w:p w:rsidR="007F236B" w:rsidRDefault="007F236B" w:rsidP="00CD5E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F4" w:rsidRDefault="00CD5EF4">
    <w:pPr>
      <w:pStyle w:val="a5"/>
      <w:framePr w:wrap="around" w:vAnchor="text" w:hAnchor="margin" w:xAlign="center" w:y="1"/>
      <w:rPr>
        <w:rStyle w:val="aa"/>
      </w:rPr>
    </w:pPr>
    <w:r>
      <w:fldChar w:fldCharType="begin"/>
    </w:r>
    <w:r w:rsidR="007F236B">
      <w:rPr>
        <w:rStyle w:val="aa"/>
      </w:rPr>
      <w:instrText xml:space="preserve">PAGE  </w:instrText>
    </w:r>
    <w:r>
      <w:fldChar w:fldCharType="end"/>
    </w:r>
  </w:p>
  <w:p w:rsidR="00CD5EF4" w:rsidRDefault="00CD5EF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F4" w:rsidRDefault="00CD5EF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9B1" w:rsidRDefault="001149B1">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F4" w:rsidRDefault="00CD5EF4">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F4" w:rsidRDefault="00CD5EF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36B" w:rsidRDefault="007F236B" w:rsidP="00CD5EF4">
      <w:r>
        <w:separator/>
      </w:r>
    </w:p>
  </w:footnote>
  <w:footnote w:type="continuationSeparator" w:id="1">
    <w:p w:rsidR="007F236B" w:rsidRDefault="007F236B" w:rsidP="00CD5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EF4" w:rsidRDefault="00CD5EF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9B1" w:rsidRDefault="001149B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9B1" w:rsidRDefault="001149B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3EE8"/>
    <w:rsid w:val="00023F9B"/>
    <w:rsid w:val="00034FF6"/>
    <w:rsid w:val="00044BFF"/>
    <w:rsid w:val="00051643"/>
    <w:rsid w:val="0005474A"/>
    <w:rsid w:val="00061725"/>
    <w:rsid w:val="00072777"/>
    <w:rsid w:val="0008657E"/>
    <w:rsid w:val="000A3711"/>
    <w:rsid w:val="000C449C"/>
    <w:rsid w:val="000D5066"/>
    <w:rsid w:val="000D6A5E"/>
    <w:rsid w:val="000F6191"/>
    <w:rsid w:val="001149B1"/>
    <w:rsid w:val="00130CE8"/>
    <w:rsid w:val="00152201"/>
    <w:rsid w:val="00167BE2"/>
    <w:rsid w:val="00172A27"/>
    <w:rsid w:val="00176636"/>
    <w:rsid w:val="00181B57"/>
    <w:rsid w:val="00183C84"/>
    <w:rsid w:val="001C05F9"/>
    <w:rsid w:val="001C5395"/>
    <w:rsid w:val="00211F26"/>
    <w:rsid w:val="002263FC"/>
    <w:rsid w:val="00266E29"/>
    <w:rsid w:val="002758C7"/>
    <w:rsid w:val="002A3AE9"/>
    <w:rsid w:val="002C196E"/>
    <w:rsid w:val="002D296F"/>
    <w:rsid w:val="002D75D0"/>
    <w:rsid w:val="002E795C"/>
    <w:rsid w:val="00305714"/>
    <w:rsid w:val="00313E71"/>
    <w:rsid w:val="00321CB7"/>
    <w:rsid w:val="003231E1"/>
    <w:rsid w:val="003379A9"/>
    <w:rsid w:val="00341DB5"/>
    <w:rsid w:val="00350ADF"/>
    <w:rsid w:val="00355623"/>
    <w:rsid w:val="00380E8A"/>
    <w:rsid w:val="0039225B"/>
    <w:rsid w:val="003A0419"/>
    <w:rsid w:val="003C4D3B"/>
    <w:rsid w:val="003E09EA"/>
    <w:rsid w:val="003E3D77"/>
    <w:rsid w:val="003F0AC3"/>
    <w:rsid w:val="00427DB8"/>
    <w:rsid w:val="00456251"/>
    <w:rsid w:val="004A1872"/>
    <w:rsid w:val="004C1607"/>
    <w:rsid w:val="004C1BE1"/>
    <w:rsid w:val="005069D8"/>
    <w:rsid w:val="0056162E"/>
    <w:rsid w:val="00563B93"/>
    <w:rsid w:val="00567DB3"/>
    <w:rsid w:val="00575BEA"/>
    <w:rsid w:val="005B3434"/>
    <w:rsid w:val="005E2884"/>
    <w:rsid w:val="005E5050"/>
    <w:rsid w:val="005F2C7B"/>
    <w:rsid w:val="005F4D04"/>
    <w:rsid w:val="005F7DA9"/>
    <w:rsid w:val="006026B0"/>
    <w:rsid w:val="006054F8"/>
    <w:rsid w:val="0065419A"/>
    <w:rsid w:val="00654220"/>
    <w:rsid w:val="00663B94"/>
    <w:rsid w:val="006652AA"/>
    <w:rsid w:val="00666D95"/>
    <w:rsid w:val="00672A3C"/>
    <w:rsid w:val="00677F66"/>
    <w:rsid w:val="006C7F31"/>
    <w:rsid w:val="006E4E94"/>
    <w:rsid w:val="006F2F9A"/>
    <w:rsid w:val="007110A1"/>
    <w:rsid w:val="00730BEE"/>
    <w:rsid w:val="0073101E"/>
    <w:rsid w:val="00735153"/>
    <w:rsid w:val="00745421"/>
    <w:rsid w:val="007A4219"/>
    <w:rsid w:val="007C55D3"/>
    <w:rsid w:val="007F236B"/>
    <w:rsid w:val="00801427"/>
    <w:rsid w:val="0080200C"/>
    <w:rsid w:val="0081232E"/>
    <w:rsid w:val="00814110"/>
    <w:rsid w:val="0082561A"/>
    <w:rsid w:val="00846B2E"/>
    <w:rsid w:val="00853290"/>
    <w:rsid w:val="0085663C"/>
    <w:rsid w:val="008768AB"/>
    <w:rsid w:val="00882B0F"/>
    <w:rsid w:val="008926F7"/>
    <w:rsid w:val="008A7510"/>
    <w:rsid w:val="008C78BD"/>
    <w:rsid w:val="008F0FA3"/>
    <w:rsid w:val="00900D90"/>
    <w:rsid w:val="009131F1"/>
    <w:rsid w:val="009354D6"/>
    <w:rsid w:val="00946AA7"/>
    <w:rsid w:val="00970A98"/>
    <w:rsid w:val="009C781F"/>
    <w:rsid w:val="009D5296"/>
    <w:rsid w:val="009E6170"/>
    <w:rsid w:val="009F258D"/>
    <w:rsid w:val="00A071D2"/>
    <w:rsid w:val="00A25BB7"/>
    <w:rsid w:val="00A31D40"/>
    <w:rsid w:val="00A37451"/>
    <w:rsid w:val="00A4484F"/>
    <w:rsid w:val="00A76D4B"/>
    <w:rsid w:val="00A77C47"/>
    <w:rsid w:val="00A9119C"/>
    <w:rsid w:val="00AA4549"/>
    <w:rsid w:val="00AC5144"/>
    <w:rsid w:val="00B13014"/>
    <w:rsid w:val="00B17559"/>
    <w:rsid w:val="00B33B19"/>
    <w:rsid w:val="00B4038C"/>
    <w:rsid w:val="00B404E6"/>
    <w:rsid w:val="00B4360D"/>
    <w:rsid w:val="00B60C11"/>
    <w:rsid w:val="00B61E47"/>
    <w:rsid w:val="00B61EA9"/>
    <w:rsid w:val="00B670D1"/>
    <w:rsid w:val="00B74DCA"/>
    <w:rsid w:val="00BB4B87"/>
    <w:rsid w:val="00BC02E0"/>
    <w:rsid w:val="00BC3903"/>
    <w:rsid w:val="00BE35DE"/>
    <w:rsid w:val="00BE47E0"/>
    <w:rsid w:val="00BE79FD"/>
    <w:rsid w:val="00BF75C8"/>
    <w:rsid w:val="00C1762E"/>
    <w:rsid w:val="00C22DF9"/>
    <w:rsid w:val="00C25123"/>
    <w:rsid w:val="00C30A48"/>
    <w:rsid w:val="00C375A7"/>
    <w:rsid w:val="00C62DF8"/>
    <w:rsid w:val="00C640FB"/>
    <w:rsid w:val="00CB054E"/>
    <w:rsid w:val="00CC52D7"/>
    <w:rsid w:val="00CC7AD8"/>
    <w:rsid w:val="00CD5EF4"/>
    <w:rsid w:val="00D23AB6"/>
    <w:rsid w:val="00D25004"/>
    <w:rsid w:val="00D2697D"/>
    <w:rsid w:val="00D2731F"/>
    <w:rsid w:val="00D42895"/>
    <w:rsid w:val="00D50309"/>
    <w:rsid w:val="00D51AA9"/>
    <w:rsid w:val="00D7264A"/>
    <w:rsid w:val="00D84E43"/>
    <w:rsid w:val="00D870DF"/>
    <w:rsid w:val="00DB0C2F"/>
    <w:rsid w:val="00DB1EBE"/>
    <w:rsid w:val="00DB3BF6"/>
    <w:rsid w:val="00DC31CC"/>
    <w:rsid w:val="00DC728A"/>
    <w:rsid w:val="00DD2F3C"/>
    <w:rsid w:val="00E1059D"/>
    <w:rsid w:val="00E155DF"/>
    <w:rsid w:val="00E246E1"/>
    <w:rsid w:val="00E560F1"/>
    <w:rsid w:val="00E8720F"/>
    <w:rsid w:val="00E944FA"/>
    <w:rsid w:val="00E9797A"/>
    <w:rsid w:val="00EA7ABC"/>
    <w:rsid w:val="00EB2746"/>
    <w:rsid w:val="00EE0436"/>
    <w:rsid w:val="00F1465C"/>
    <w:rsid w:val="00F41324"/>
    <w:rsid w:val="00F57C12"/>
    <w:rsid w:val="00F609FD"/>
    <w:rsid w:val="00F859AB"/>
    <w:rsid w:val="00F950D0"/>
    <w:rsid w:val="00FA2C26"/>
    <w:rsid w:val="00FB1C4F"/>
    <w:rsid w:val="00FC4549"/>
    <w:rsid w:val="030F2BA7"/>
    <w:rsid w:val="04240CEE"/>
    <w:rsid w:val="065551D3"/>
    <w:rsid w:val="06BC43A2"/>
    <w:rsid w:val="06C37561"/>
    <w:rsid w:val="0A236A5A"/>
    <w:rsid w:val="0BA075C8"/>
    <w:rsid w:val="0CAB045E"/>
    <w:rsid w:val="10C60AB9"/>
    <w:rsid w:val="111D4539"/>
    <w:rsid w:val="13297F9C"/>
    <w:rsid w:val="134727C6"/>
    <w:rsid w:val="141A5102"/>
    <w:rsid w:val="14784E7E"/>
    <w:rsid w:val="15FE575C"/>
    <w:rsid w:val="177920C8"/>
    <w:rsid w:val="18EC47C1"/>
    <w:rsid w:val="1AB73E2C"/>
    <w:rsid w:val="1ADC05C7"/>
    <w:rsid w:val="1E911FB2"/>
    <w:rsid w:val="1F274305"/>
    <w:rsid w:val="20080B2F"/>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E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D5EF4"/>
    <w:pPr>
      <w:jc w:val="left"/>
    </w:pPr>
  </w:style>
  <w:style w:type="paragraph" w:styleId="a4">
    <w:name w:val="Balloon Text"/>
    <w:basedOn w:val="a"/>
    <w:link w:val="Char0"/>
    <w:uiPriority w:val="99"/>
    <w:unhideWhenUsed/>
    <w:qFormat/>
    <w:rsid w:val="00CD5EF4"/>
    <w:rPr>
      <w:sz w:val="18"/>
      <w:szCs w:val="18"/>
    </w:rPr>
  </w:style>
  <w:style w:type="paragraph" w:styleId="a5">
    <w:name w:val="footer"/>
    <w:basedOn w:val="a"/>
    <w:link w:val="Char1"/>
    <w:uiPriority w:val="99"/>
    <w:unhideWhenUsed/>
    <w:qFormat/>
    <w:rsid w:val="00CD5EF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D5EF4"/>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CD5EF4"/>
    <w:pPr>
      <w:snapToGrid w:val="0"/>
      <w:jc w:val="left"/>
    </w:pPr>
    <w:rPr>
      <w:sz w:val="18"/>
    </w:rPr>
  </w:style>
  <w:style w:type="paragraph" w:styleId="a8">
    <w:name w:val="Normal (Web)"/>
    <w:basedOn w:val="a"/>
    <w:qFormat/>
    <w:rsid w:val="00CD5EF4"/>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CD5EF4"/>
    <w:rPr>
      <w:b/>
      <w:bCs/>
    </w:rPr>
  </w:style>
  <w:style w:type="character" w:styleId="aa">
    <w:name w:val="page number"/>
    <w:basedOn w:val="a0"/>
    <w:uiPriority w:val="99"/>
    <w:unhideWhenUsed/>
    <w:qFormat/>
    <w:rsid w:val="00CD5EF4"/>
  </w:style>
  <w:style w:type="character" w:styleId="ab">
    <w:name w:val="annotation reference"/>
    <w:uiPriority w:val="99"/>
    <w:unhideWhenUsed/>
    <w:qFormat/>
    <w:rsid w:val="00CD5EF4"/>
    <w:rPr>
      <w:sz w:val="21"/>
      <w:szCs w:val="21"/>
    </w:rPr>
  </w:style>
  <w:style w:type="character" w:styleId="ac">
    <w:name w:val="footnote reference"/>
    <w:uiPriority w:val="99"/>
    <w:unhideWhenUsed/>
    <w:qFormat/>
    <w:rsid w:val="00CD5EF4"/>
    <w:rPr>
      <w:vertAlign w:val="superscript"/>
    </w:rPr>
  </w:style>
  <w:style w:type="character" w:customStyle="1" w:styleId="Char0">
    <w:name w:val="批注框文本 Char"/>
    <w:link w:val="a4"/>
    <w:uiPriority w:val="99"/>
    <w:semiHidden/>
    <w:qFormat/>
    <w:rsid w:val="00CD5EF4"/>
    <w:rPr>
      <w:kern w:val="2"/>
      <w:sz w:val="18"/>
      <w:szCs w:val="18"/>
    </w:rPr>
  </w:style>
  <w:style w:type="character" w:customStyle="1" w:styleId="Char2">
    <w:name w:val="页眉 Char"/>
    <w:link w:val="a6"/>
    <w:uiPriority w:val="99"/>
    <w:semiHidden/>
    <w:qFormat/>
    <w:locked/>
    <w:rsid w:val="00CD5EF4"/>
    <w:rPr>
      <w:rFonts w:ascii="Times New Roman" w:hAnsi="Times New Roman" w:cs="Times New Roman" w:hint="default"/>
      <w:sz w:val="18"/>
      <w:szCs w:val="18"/>
    </w:rPr>
  </w:style>
  <w:style w:type="character" w:customStyle="1" w:styleId="Char3">
    <w:name w:val="批注主题 Char"/>
    <w:link w:val="a9"/>
    <w:uiPriority w:val="99"/>
    <w:semiHidden/>
    <w:qFormat/>
    <w:rsid w:val="00CD5EF4"/>
    <w:rPr>
      <w:b/>
      <w:bCs/>
      <w:kern w:val="2"/>
      <w:sz w:val="21"/>
      <w:szCs w:val="22"/>
    </w:rPr>
  </w:style>
  <w:style w:type="character" w:customStyle="1" w:styleId="Char1">
    <w:name w:val="页脚 Char"/>
    <w:link w:val="a5"/>
    <w:uiPriority w:val="99"/>
    <w:semiHidden/>
    <w:qFormat/>
    <w:locked/>
    <w:rsid w:val="00CD5EF4"/>
    <w:rPr>
      <w:rFonts w:ascii="Times New Roman" w:hAnsi="Times New Roman" w:cs="Times New Roman" w:hint="default"/>
      <w:sz w:val="18"/>
      <w:szCs w:val="18"/>
    </w:rPr>
  </w:style>
  <w:style w:type="character" w:customStyle="1" w:styleId="Char">
    <w:name w:val="批注文字 Char"/>
    <w:link w:val="a3"/>
    <w:uiPriority w:val="99"/>
    <w:qFormat/>
    <w:rsid w:val="00CD5EF4"/>
    <w:rPr>
      <w:kern w:val="2"/>
      <w:sz w:val="21"/>
      <w:szCs w:val="22"/>
    </w:rPr>
  </w:style>
  <w:style w:type="paragraph" w:customStyle="1" w:styleId="zhongyaotishi">
    <w:name w:val="zhongyaotishi"/>
    <w:basedOn w:val="a"/>
    <w:qFormat/>
    <w:rsid w:val="00CD5EF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CD5EF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CD5EF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CD5EF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CD5EF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CD5EF4"/>
    <w:pPr>
      <w:widowControl w:val="0"/>
      <w:jc w:val="center"/>
    </w:pPr>
    <w:rPr>
      <w:kern w:val="2"/>
      <w:sz w:val="33"/>
      <w:szCs w:val="22"/>
    </w:rPr>
  </w:style>
  <w:style w:type="paragraph" w:customStyle="1" w:styleId="biaogeleft">
    <w:name w:val="biaoge_left"/>
    <w:basedOn w:val="a"/>
    <w:qFormat/>
    <w:rsid w:val="00CD5EF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CD5EF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CD5EF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CD5EF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CD5EF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CD5EF4"/>
    <w:pPr>
      <w:widowControl w:val="0"/>
    </w:pPr>
    <w:rPr>
      <w:kern w:val="2"/>
      <w:sz w:val="21"/>
      <w:szCs w:val="22"/>
    </w:rPr>
  </w:style>
  <w:style w:type="paragraph" w:customStyle="1" w:styleId="neirong">
    <w:name w:val="neirong"/>
    <w:basedOn w:val="a"/>
    <w:qFormat/>
    <w:rsid w:val="00CD5EF4"/>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981</Words>
  <Characters>5598</Characters>
  <Application>Microsoft Office Word</Application>
  <DocSecurity>0</DocSecurity>
  <Lines>46</Lines>
  <Paragraphs>13</Paragraphs>
  <ScaleCrop>false</ScaleCrop>
  <Company>微软中国</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42</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ACC479022FCD4E4CABDED004A0C524A7</vt:lpwstr>
  </property>
</Properties>
</file>