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D78" w:rsidRDefault="00CE6D78">
      <w:pPr>
        <w:pStyle w:val="dazhangjie"/>
        <w:rPr>
          <w:b/>
          <w:bCs/>
          <w:color w:val="000000"/>
        </w:rPr>
      </w:pPr>
    </w:p>
    <w:p w:rsidR="00CE6D78" w:rsidRDefault="00CE6D78">
      <w:pPr>
        <w:pStyle w:val="dazhangjie"/>
        <w:rPr>
          <w:b/>
          <w:bCs/>
          <w:color w:val="000000"/>
        </w:rPr>
      </w:pPr>
    </w:p>
    <w:p w:rsidR="00CE6D78" w:rsidRDefault="00CE6D78">
      <w:pPr>
        <w:pStyle w:val="dazhangjie"/>
        <w:rPr>
          <w:b/>
          <w:bCs/>
          <w:color w:val="000000"/>
        </w:rPr>
      </w:pPr>
    </w:p>
    <w:p w:rsidR="00CE6D78" w:rsidRDefault="00574D8E">
      <w:pPr>
        <w:pStyle w:val="dazhangjie"/>
        <w:spacing w:before="240" w:after="120"/>
        <w:rPr>
          <w:rFonts w:ascii="黑体" w:eastAsia="黑体" w:hAnsi="黑体"/>
          <w:b/>
          <w:bCs/>
          <w:sz w:val="36"/>
        </w:rPr>
      </w:pPr>
      <w:r>
        <w:rPr>
          <w:rFonts w:ascii="黑体" w:eastAsia="黑体" w:hAnsi="黑体" w:hint="eastAsia"/>
          <w:b/>
          <w:bCs/>
          <w:sz w:val="36"/>
        </w:rPr>
        <w:t>南京银行珠联璧合安稳1909一年定开公募人民币理财产品</w:t>
      </w:r>
    </w:p>
    <w:p w:rsidR="00CE6D78" w:rsidRDefault="00574D8E">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rPr>
          <w:rFonts w:ascii="黑体" w:eastAsia="黑体" w:hAnsi="黑体"/>
          <w:b/>
          <w:bCs/>
          <w:color w:val="000000"/>
          <w:sz w:val="36"/>
        </w:rPr>
      </w:pPr>
    </w:p>
    <w:p w:rsidR="00CE6D78" w:rsidRDefault="00CE6D78">
      <w:pPr>
        <w:pStyle w:val="dazhangjie"/>
        <w:spacing w:before="240" w:after="120"/>
        <w:ind w:left="0"/>
        <w:jc w:val="both"/>
        <w:rPr>
          <w:rFonts w:ascii="黑体" w:eastAsia="黑体" w:hAnsi="黑体"/>
          <w:b/>
          <w:bCs/>
          <w:color w:val="000000"/>
          <w:sz w:val="36"/>
        </w:rPr>
      </w:pPr>
    </w:p>
    <w:p w:rsidR="00CE6D78" w:rsidRDefault="00574D8E">
      <w:pPr>
        <w:pStyle w:val="dazhangjie"/>
        <w:spacing w:before="240" w:after="120"/>
        <w:ind w:firstLineChars="1100" w:firstLine="2640"/>
        <w:jc w:val="both"/>
        <w:rPr>
          <w:color w:val="000000"/>
        </w:rPr>
      </w:pPr>
      <w:r>
        <w:rPr>
          <w:rFonts w:hint="eastAsia"/>
          <w:color w:val="000000"/>
        </w:rPr>
        <w:t>产品</w:t>
      </w:r>
      <w:r>
        <w:rPr>
          <w:color w:val="000000"/>
        </w:rPr>
        <w:t>管理人:</w:t>
      </w:r>
      <w:r>
        <w:rPr>
          <w:rFonts w:hint="eastAsia"/>
        </w:rPr>
        <w:t>南京银行股份有限公司</w:t>
      </w:r>
    </w:p>
    <w:p w:rsidR="00CE6D78" w:rsidRDefault="00574D8E">
      <w:pPr>
        <w:pStyle w:val="dazhangjie"/>
        <w:spacing w:before="240" w:after="120"/>
        <w:ind w:firstLineChars="1100" w:firstLine="2640"/>
        <w:jc w:val="both"/>
        <w:rPr>
          <w:color w:val="000000"/>
        </w:rPr>
      </w:pPr>
      <w:r>
        <w:rPr>
          <w:rFonts w:hint="eastAsia"/>
          <w:color w:val="000000"/>
        </w:rPr>
        <w:t>产品</w:t>
      </w:r>
      <w:r>
        <w:rPr>
          <w:color w:val="000000"/>
        </w:rPr>
        <w:t xml:space="preserve">托管人: </w:t>
      </w:r>
      <w:r>
        <w:t>南京银行股份有限公司</w:t>
      </w:r>
    </w:p>
    <w:p w:rsidR="00CE6D78" w:rsidRDefault="00CE6D78">
      <w:pPr>
        <w:widowControl/>
        <w:jc w:val="left"/>
        <w:rPr>
          <w:rFonts w:ascii="宋体" w:hAnsi="宋体" w:cs="宋体"/>
          <w:color w:val="000000"/>
          <w:kern w:val="0"/>
          <w:sz w:val="24"/>
          <w:szCs w:val="24"/>
        </w:rPr>
        <w:sectPr w:rsidR="00CE6D7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CE6D78" w:rsidRDefault="00CE6D78">
      <w:pPr>
        <w:widowControl/>
        <w:jc w:val="left"/>
        <w:rPr>
          <w:rFonts w:ascii="宋体" w:hAnsi="宋体" w:cs="宋体"/>
          <w:color w:val="000000"/>
          <w:kern w:val="0"/>
          <w:sz w:val="24"/>
          <w:szCs w:val="24"/>
        </w:rPr>
      </w:pPr>
    </w:p>
    <w:p w:rsidR="00CE6D78" w:rsidRDefault="00574D8E">
      <w:pPr>
        <w:pStyle w:val="dazhangjie"/>
        <w:rPr>
          <w:color w:val="000000"/>
        </w:rPr>
      </w:pPr>
      <w:r>
        <w:rPr>
          <w:rFonts w:hAnsi="Calibri" w:hint="eastAsia"/>
          <w:b/>
          <w:color w:val="000000"/>
        </w:rPr>
        <w:t>§1 产品概况</w:t>
      </w:r>
    </w:p>
    <w:p w:rsidR="00CE6D78" w:rsidRDefault="00CE6D78">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rPr>
              <w:t>南京银行珠联璧合安稳1909一年定开公募人民币理财产品</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pPr>
            <w:r>
              <w:t>C1086919000013</w:t>
            </w:r>
            <w:r>
              <w:rPr>
                <w:rFonts w:hint="eastAsia"/>
              </w:rPr>
              <w:t>（投资者可依据该编码在中国理财网www.chinawealth.com.cn查询理财产品相关信息）</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rPr>
              <w:t>开放式净值型</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8847E4">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rPr>
              <w:t>2019年09月05日</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highlight w:val="yellow"/>
              </w:rPr>
            </w:pPr>
            <w:r>
              <w:rPr>
                <w:rFonts w:hint="eastAsia"/>
              </w:rPr>
              <w:t>1,325,015,627.00份</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101.97%</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rPr>
              <w:t>南京银行股份有限公司</w:t>
            </w:r>
          </w:p>
        </w:tc>
      </w:tr>
      <w:tr w:rsidR="00CE6D78">
        <w:tc>
          <w:tcPr>
            <w:tcW w:w="281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left"/>
              <w:wordWrap w:val="0"/>
              <w:rPr>
                <w:color w:val="000000"/>
              </w:rPr>
            </w:pPr>
            <w:r>
              <w:rPr>
                <w:rFonts w:hint="eastAsia"/>
              </w:rPr>
              <w:t>南京银行股份有限公司</w:t>
            </w:r>
          </w:p>
        </w:tc>
      </w:tr>
    </w:tbl>
    <w:p w:rsidR="00CE6D78" w:rsidRDefault="00CE6D78">
      <w:pPr>
        <w:widowControl/>
        <w:jc w:val="left"/>
        <w:rPr>
          <w:rFonts w:ascii="宋体" w:hAnsi="宋体" w:cs="宋体"/>
          <w:color w:val="000000"/>
          <w:kern w:val="0"/>
          <w:sz w:val="24"/>
          <w:szCs w:val="24"/>
        </w:rPr>
      </w:pPr>
    </w:p>
    <w:p w:rsidR="00CE6D78" w:rsidRDefault="00CE6D78">
      <w:pPr>
        <w:pStyle w:val="dazhangjie"/>
        <w:rPr>
          <w:rFonts w:hAnsi="Calibri"/>
          <w:b/>
          <w:color w:val="000000"/>
        </w:rPr>
      </w:pPr>
    </w:p>
    <w:p w:rsidR="00CE6D78" w:rsidRDefault="00574D8E">
      <w:pPr>
        <w:pStyle w:val="dazhangjie"/>
        <w:rPr>
          <w:color w:val="000000"/>
        </w:rPr>
      </w:pPr>
      <w:r>
        <w:rPr>
          <w:rFonts w:hAnsi="Calibri" w:hint="eastAsia"/>
          <w:b/>
          <w:color w:val="000000"/>
        </w:rPr>
        <w:t>§2  主要财务指标</w:t>
      </w:r>
    </w:p>
    <w:p w:rsidR="00CE6D78" w:rsidRDefault="00CE6D78">
      <w:pPr>
        <w:widowControl/>
        <w:jc w:val="left"/>
        <w:rPr>
          <w:rFonts w:ascii="宋体" w:hAnsi="宋体" w:cs="宋体"/>
          <w:color w:val="000000"/>
          <w:kern w:val="0"/>
          <w:sz w:val="24"/>
          <w:szCs w:val="24"/>
        </w:rPr>
      </w:pPr>
    </w:p>
    <w:p w:rsidR="00CE6D78" w:rsidRDefault="00574D8E">
      <w:pPr>
        <w:pStyle w:val="zhangjiep"/>
        <w:rPr>
          <w:color w:val="000000"/>
        </w:rPr>
      </w:pPr>
      <w:r>
        <w:rPr>
          <w:rFonts w:hint="eastAsia"/>
          <w:b/>
          <w:bCs/>
          <w:color w:val="000000"/>
        </w:rPr>
        <w:t>2.1 主要财务指标</w:t>
      </w:r>
    </w:p>
    <w:p w:rsidR="00CE6D78" w:rsidRDefault="00574D8E">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CE6D78">
        <w:tc>
          <w:tcPr>
            <w:tcW w:w="5220"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dazhangjie"/>
              <w:spacing w:before="240" w:after="120"/>
              <w:rPr>
                <w:color w:val="000000"/>
              </w:rPr>
            </w:pPr>
            <w:r>
              <w:t>报告期（2020年</w:t>
            </w:r>
            <w:r>
              <w:rPr>
                <w:rFonts w:hint="eastAsia"/>
              </w:rPr>
              <w:t>01</w:t>
            </w:r>
            <w:r>
              <w:t>月01日 - 2020年12月31日）</w:t>
            </w:r>
          </w:p>
        </w:tc>
      </w:tr>
      <w:tr w:rsidR="00CE6D78">
        <w:tc>
          <w:tcPr>
            <w:tcW w:w="5220"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a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right"/>
              <w:jc w:val="center"/>
              <w:rPr>
                <w:color w:val="000000"/>
                <w:highlight w:val="yellow"/>
              </w:rPr>
            </w:pPr>
            <w:r>
              <w:rPr>
                <w:rFonts w:hint="eastAsia"/>
              </w:rPr>
              <w:t>1,344,715,913.85</w:t>
            </w:r>
          </w:p>
        </w:tc>
      </w:tr>
      <w:tr w:rsidR="00CE6D78">
        <w:tc>
          <w:tcPr>
            <w:tcW w:w="5220"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a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right"/>
              <w:jc w:val="center"/>
              <w:rPr>
                <w:color w:val="000000"/>
                <w:highlight w:val="yellow"/>
              </w:rPr>
            </w:pPr>
            <w:r>
              <w:rPr>
                <w:rFonts w:hint="eastAsia"/>
              </w:rPr>
              <w:t>1.0149</w:t>
            </w:r>
          </w:p>
        </w:tc>
      </w:tr>
      <w:tr w:rsidR="00CE6D78">
        <w:tc>
          <w:tcPr>
            <w:tcW w:w="5220"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a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right"/>
              <w:jc w:val="center"/>
              <w:rPr>
                <w:color w:val="000000"/>
                <w:highlight w:val="yellow"/>
              </w:rPr>
            </w:pPr>
            <w:r>
              <w:rPr>
                <w:color w:val="000000"/>
              </w:rPr>
              <w:t>1.0588</w:t>
            </w:r>
          </w:p>
        </w:tc>
      </w:tr>
      <w:tr w:rsidR="00CE6D78">
        <w:tc>
          <w:tcPr>
            <w:tcW w:w="5220" w:type="dxa"/>
            <w:vAlign w:val="center"/>
          </w:tcPr>
          <w:p w:rsidR="00CE6D78" w:rsidRDefault="00CE6D78">
            <w:pPr>
              <w:widowControl/>
              <w:jc w:val="left"/>
              <w:rPr>
                <w:rFonts w:ascii="宋体" w:hAnsi="宋体" w:cs="宋体"/>
                <w:color w:val="000000"/>
                <w:kern w:val="0"/>
                <w:sz w:val="24"/>
                <w:szCs w:val="24"/>
              </w:rPr>
            </w:pPr>
          </w:p>
        </w:tc>
        <w:tc>
          <w:tcPr>
            <w:tcW w:w="3825" w:type="dxa"/>
            <w:vAlign w:val="center"/>
          </w:tcPr>
          <w:p w:rsidR="00CE6D78" w:rsidRDefault="00CE6D78">
            <w:pPr>
              <w:widowControl/>
              <w:jc w:val="left"/>
              <w:rPr>
                <w:color w:val="000000"/>
                <w:kern w:val="0"/>
                <w:sz w:val="20"/>
                <w:szCs w:val="20"/>
              </w:rPr>
            </w:pPr>
          </w:p>
        </w:tc>
      </w:tr>
    </w:tbl>
    <w:p w:rsidR="00CE6D78" w:rsidRDefault="00CE6D78">
      <w:pPr>
        <w:pStyle w:val="biaogeleft"/>
        <w:ind w:left="0"/>
        <w:rPr>
          <w:color w:val="000000"/>
        </w:rPr>
      </w:pPr>
    </w:p>
    <w:p w:rsidR="00CE6D78" w:rsidRDefault="00CE6D78">
      <w:pPr>
        <w:widowControl/>
        <w:jc w:val="left"/>
        <w:rPr>
          <w:rFonts w:ascii="宋体" w:hAnsi="宋体" w:cs="宋体"/>
          <w:color w:val="000000"/>
          <w:kern w:val="0"/>
          <w:sz w:val="24"/>
          <w:szCs w:val="24"/>
        </w:rPr>
      </w:pPr>
    </w:p>
    <w:p w:rsidR="00CE6D78" w:rsidRDefault="00574D8E">
      <w:pPr>
        <w:pStyle w:val="dazhangjie"/>
        <w:rPr>
          <w:color w:val="000000"/>
        </w:rPr>
      </w:pPr>
      <w:r>
        <w:rPr>
          <w:rFonts w:hAnsi="Calibri" w:hint="eastAsia"/>
          <w:b/>
          <w:color w:val="000000"/>
        </w:rPr>
        <w:t>§3  管理人报告</w:t>
      </w:r>
    </w:p>
    <w:p w:rsidR="00CE6D78" w:rsidRDefault="00574D8E">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CE6D78" w:rsidRDefault="00574D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rsidR="00CE6D78" w:rsidRDefault="00574D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rsidR="00CE6D78" w:rsidRDefault="00574D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CE6D78" w:rsidRDefault="00574D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CE6D78" w:rsidRDefault="00574D8E">
      <w:pPr>
        <w:pStyle w:val="a8"/>
        <w:rPr>
          <w:b/>
          <w:color w:val="000000"/>
        </w:rPr>
      </w:pPr>
      <w:r>
        <w:rPr>
          <w:rFonts w:hint="eastAsia"/>
          <w:b/>
          <w:color w:val="000000"/>
        </w:rPr>
        <w:t>3.2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CE6D78" w:rsidRDefault="00574D8E">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CE6D78" w:rsidRDefault="00574D8E">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CE6D78" w:rsidRDefault="00574D8E">
      <w:pPr>
        <w:pStyle w:val="biaogeleft"/>
        <w:spacing w:line="360" w:lineRule="auto"/>
        <w:ind w:firstLine="480"/>
        <w:rPr>
          <w:color w:val="000000"/>
          <w:highlight w:val="yellow"/>
        </w:rPr>
      </w:pPr>
      <w:r>
        <w:rPr>
          <w:rFonts w:hint="eastAsia"/>
          <w:color w:val="000000"/>
        </w:rPr>
        <w:t>截至报告期末,本产品份额净值为</w:t>
      </w:r>
      <w:r>
        <w:rPr>
          <w:rFonts w:hint="eastAsia"/>
        </w:rPr>
        <w:t>1.0149</w:t>
      </w:r>
      <w:r>
        <w:rPr>
          <w:rFonts w:hint="eastAsia"/>
          <w:color w:val="000000"/>
        </w:rPr>
        <w:t>元。</w:t>
      </w:r>
    </w:p>
    <w:p w:rsidR="00CE6D78" w:rsidRDefault="00CE6D78">
      <w:pPr>
        <w:widowControl/>
        <w:jc w:val="left"/>
        <w:rPr>
          <w:rFonts w:ascii="宋体" w:hAnsi="宋体" w:cs="宋体"/>
          <w:color w:val="000000"/>
          <w:kern w:val="0"/>
          <w:sz w:val="24"/>
          <w:szCs w:val="24"/>
        </w:rPr>
      </w:pPr>
    </w:p>
    <w:p w:rsidR="00CE6D78" w:rsidRDefault="00574D8E">
      <w:pPr>
        <w:pStyle w:val="dazhangjie"/>
        <w:rPr>
          <w:rFonts w:hAnsi="Calibri"/>
          <w:b/>
          <w:color w:val="000000"/>
        </w:rPr>
      </w:pPr>
      <w:r>
        <w:rPr>
          <w:rFonts w:hAnsi="Calibri" w:hint="eastAsia"/>
          <w:b/>
          <w:color w:val="000000"/>
        </w:rPr>
        <w:t>§4  托管人报告</w:t>
      </w:r>
    </w:p>
    <w:p w:rsidR="00CE6D78" w:rsidRDefault="00CE6D78">
      <w:pPr>
        <w:pStyle w:val="dazhangjie"/>
        <w:rPr>
          <w:rFonts w:hAnsi="Calibri"/>
          <w:b/>
          <w:color w:val="000000"/>
        </w:rPr>
      </w:pPr>
    </w:p>
    <w:p w:rsidR="00CE6D78" w:rsidRDefault="00574D8E">
      <w:pPr>
        <w:pStyle w:val="a8"/>
        <w:rPr>
          <w:b/>
          <w:color w:val="000000"/>
        </w:rPr>
      </w:pPr>
      <w:bookmarkStart w:id="1" w:name="_Hlk65779940"/>
      <w:r>
        <w:rPr>
          <w:rFonts w:hint="eastAsia"/>
          <w:b/>
          <w:color w:val="000000"/>
        </w:rPr>
        <w:lastRenderedPageBreak/>
        <w:t>4.1报告期内托管人遵规守信情况声明</w:t>
      </w:r>
    </w:p>
    <w:p w:rsidR="00CE6D78" w:rsidRDefault="00574D8E">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2020年01月01日至2020年12月31日产品的投资运作，进行了认真、独立的会计核算和必要的投资监督，认真履行了托管人的义务，没有从事任何损害产品份额持有人利益的行为。</w:t>
      </w:r>
    </w:p>
    <w:p w:rsidR="00CE6D78" w:rsidRDefault="00574D8E">
      <w:pPr>
        <w:pStyle w:val="biaogeleft"/>
        <w:spacing w:line="360" w:lineRule="auto"/>
        <w:rPr>
          <w:rFonts w:cs="Times New Roman"/>
          <w:b/>
          <w:color w:val="000000"/>
        </w:rPr>
      </w:pPr>
      <w:r>
        <w:rPr>
          <w:rFonts w:cs="Times New Roman" w:hint="eastAsia"/>
          <w:b/>
          <w:color w:val="000000"/>
        </w:rPr>
        <w:t>4.2 托管人对报告期内投资运作遵规守信、净值计算、利润分配等情况的说明</w:t>
      </w:r>
    </w:p>
    <w:p w:rsidR="00CE6D78" w:rsidRDefault="00574D8E">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CE6D78" w:rsidRDefault="00574D8E">
      <w:pPr>
        <w:pStyle w:val="biaogeleft"/>
        <w:spacing w:line="360" w:lineRule="auto"/>
        <w:rPr>
          <w:rFonts w:cs="Times New Roman"/>
          <w:b/>
          <w:color w:val="000000"/>
        </w:rPr>
      </w:pPr>
      <w:r>
        <w:rPr>
          <w:rFonts w:cs="Times New Roman" w:hint="eastAsia"/>
          <w:b/>
          <w:color w:val="000000"/>
        </w:rPr>
        <w:t>4.3 托管人对本年度报告中财务信息等内容的真实、准确和完整发表意见</w:t>
      </w:r>
    </w:p>
    <w:p w:rsidR="00CE6D78" w:rsidRDefault="00574D8E">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1"/>
    </w:p>
    <w:p w:rsidR="00CE6D78" w:rsidRDefault="00CE6D78">
      <w:pPr>
        <w:pStyle w:val="biaogeleft"/>
        <w:spacing w:line="360" w:lineRule="auto"/>
        <w:ind w:firstLine="480"/>
        <w:rPr>
          <w:color w:val="000000"/>
        </w:rPr>
      </w:pPr>
    </w:p>
    <w:p w:rsidR="00CE6D78" w:rsidRDefault="00574D8E">
      <w:pPr>
        <w:pStyle w:val="dazhangjie"/>
      </w:pPr>
      <w:bookmarkStart w:id="2" w:name="_Toc15977845"/>
      <w:r>
        <w:rPr>
          <w:rFonts w:hAnsi="Calibri" w:hint="eastAsia"/>
          <w:b/>
          <w:color w:val="000000"/>
        </w:rPr>
        <w:t>§5 年度财务会计报告(未经审计)</w:t>
      </w:r>
      <w:bookmarkEnd w:id="2"/>
    </w:p>
    <w:p w:rsidR="00CE6D78" w:rsidRDefault="00CE6D78">
      <w:pPr>
        <w:widowControl/>
        <w:jc w:val="left"/>
        <w:rPr>
          <w:rFonts w:ascii="宋体" w:hAnsi="宋体" w:cs="宋体"/>
          <w:kern w:val="0"/>
          <w:sz w:val="24"/>
          <w:szCs w:val="24"/>
        </w:rPr>
      </w:pPr>
    </w:p>
    <w:p w:rsidR="00CE6D78" w:rsidRDefault="00574D8E">
      <w:pPr>
        <w:pStyle w:val="zhangjiep"/>
      </w:pPr>
      <w:bookmarkStart w:id="3" w:name="_Toc61271615"/>
      <w:r>
        <w:rPr>
          <w:rFonts w:hint="eastAsia"/>
          <w:b/>
          <w:bCs/>
        </w:rPr>
        <w:t>5.1 资产负债表</w:t>
      </w:r>
      <w:bookmarkEnd w:id="3"/>
    </w:p>
    <w:p w:rsidR="00CE6D78" w:rsidRDefault="00574D8E">
      <w:pPr>
        <w:pStyle w:val="biaogeleft"/>
      </w:pPr>
      <w:r>
        <w:rPr>
          <w:rFonts w:hint="eastAsia"/>
        </w:rPr>
        <w:t>会计主体：南京银行珠联璧合安稳1909一年定开公募人民币理财产品</w:t>
      </w:r>
    </w:p>
    <w:p w:rsidR="00CE6D78" w:rsidRDefault="00574D8E">
      <w:pPr>
        <w:pStyle w:val="biaogeleft"/>
      </w:pPr>
      <w:r>
        <w:rPr>
          <w:rFonts w:hint="eastAsia"/>
        </w:rPr>
        <w:t>报告截止日：2020年12月31日</w:t>
      </w:r>
    </w:p>
    <w:p w:rsidR="00CE6D78" w:rsidRDefault="00574D8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b/>
                <w:bCs/>
              </w:rPr>
              <w:t>资产 </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Ansi="Calibri" w:hint="eastAsia"/>
                <w:color w:val="000000"/>
              </w:rPr>
              <w:t>本期末</w:t>
            </w:r>
            <w:r>
              <w:rPr>
                <w:rFonts w:hAnsi="Calibri" w:hint="eastAsia"/>
                <w:color w:val="000000"/>
              </w:rPr>
              <w:t> </w:t>
            </w:r>
          </w:p>
          <w:p w:rsidR="00CE6D78" w:rsidRDefault="00574D8E">
            <w:pPr>
              <w:pStyle w:val="biaogecenter"/>
              <w:wordWrap w:val="0"/>
            </w:pPr>
            <w:r>
              <w:rPr>
                <w:rFonts w:hAnsi="Calibri" w:hint="eastAsia"/>
                <w:color w:val="000000"/>
              </w:rPr>
              <w:t>2020年12月31日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Ansi="Calibri" w:hint="eastAsia"/>
                <w:color w:val="000000"/>
              </w:rPr>
              <w:t>上年度末</w:t>
            </w:r>
            <w:r>
              <w:rPr>
                <w:rFonts w:hAnsi="Calibri" w:hint="eastAsia"/>
                <w:color w:val="000000"/>
              </w:rPr>
              <w:t> </w:t>
            </w:r>
          </w:p>
          <w:p w:rsidR="00CE6D78" w:rsidRDefault="00574D8E">
            <w:pPr>
              <w:pStyle w:val="biaogecenter"/>
              <w:wordWrap w:val="0"/>
            </w:pPr>
            <w:r>
              <w:rPr>
                <w:rFonts w:hAnsi="Calibri" w:hint="eastAsia"/>
                <w:color w:val="000000"/>
              </w:rPr>
              <w:t>2019年12月31日</w:t>
            </w:r>
            <w:r>
              <w:rPr>
                <w:rFonts w:hAnsi="Calibri" w:hint="eastAsia"/>
                <w:color w:val="000000"/>
              </w:rPr>
              <w:t> </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b/>
                <w:bCs/>
              </w:rPr>
              <w:t>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CE6D78">
            <w:pPr>
              <w:rPr>
                <w:rFonts w:ascii="宋体" w:hAnsi="宋体" w:cs="宋体"/>
                <w:kern w:val="0"/>
                <w:sz w:val="24"/>
                <w:szCs w:val="24"/>
              </w:rPr>
            </w:pP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2,039,220.99</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601,375.22</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900,567,374.33</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887,806,446.79</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pPr>
            <w:r>
              <w:rPr>
                <w:rFonts w:hint="eastAsia"/>
              </w:rPr>
              <w:lastRenderedPageBreak/>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900,567,374.33</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887,806,446.79</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30,977,917.95</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27,852,955.46</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7,655,057.54</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 </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430,000,000.00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1,371,239,570.81</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916,260,777.47</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本期末 </w:t>
            </w:r>
          </w:p>
          <w:p w:rsidR="00CE6D78" w:rsidRDefault="00574D8E">
            <w:pPr>
              <w:pStyle w:val="biaogecenter"/>
              <w:wordWrap w:val="0"/>
            </w:pPr>
            <w:r>
              <w:rPr>
                <w:rFonts w:hint="eastAsia"/>
              </w:rPr>
              <w:t>2020年12月31日</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上年度末 </w:t>
            </w:r>
          </w:p>
          <w:p w:rsidR="00CE6D78" w:rsidRDefault="00574D8E">
            <w:pPr>
              <w:pStyle w:val="biaogecenter"/>
              <w:wordWrap w:val="0"/>
            </w:pPr>
            <w:r>
              <w:rPr>
                <w:rFonts w:hint="eastAsia"/>
              </w:rPr>
              <w:t>2019年12月31日</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b/>
                <w:bCs/>
              </w:rPr>
              <w:t>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 </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23,969,844.04</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17,819,853.27</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1,107,799.56</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571,937.74</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73,853.10</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57,193.42</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738,533.04</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571,937.74</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906.91</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1,576.17</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582,035.17</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344,088.58</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50,685.14</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10,667.72</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26,523,656.96</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19,377,254.64</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b/>
                <w:bCs/>
              </w:rPr>
              <w:lastRenderedPageBreak/>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CE6D78">
            <w:pPr>
              <w:rPr>
                <w:rFonts w:ascii="宋体" w:hAnsi="宋体" w:cs="宋体"/>
                <w:kern w:val="0"/>
                <w:sz w:val="24"/>
                <w:szCs w:val="24"/>
              </w:rPr>
            </w:pP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1,325,015,627.00</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884,565,000.00</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19,700,286.85</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12,318,522.83</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1,344,715,913.85</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896,883,522.83</w:t>
            </w:r>
          </w:p>
        </w:tc>
      </w:tr>
      <w:tr w:rsidR="00CE6D78">
        <w:tc>
          <w:tcPr>
            <w:tcW w:w="260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1,371,239,570.81</w:t>
            </w:r>
          </w:p>
        </w:tc>
        <w:tc>
          <w:tcPr>
            <w:tcW w:w="2620"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916,260,777.47</w:t>
            </w:r>
          </w:p>
        </w:tc>
      </w:tr>
    </w:tbl>
    <w:p w:rsidR="00CE6D78" w:rsidRDefault="00CE6D78">
      <w:pPr>
        <w:widowControl/>
        <w:jc w:val="left"/>
        <w:rPr>
          <w:rFonts w:ascii="宋体" w:hAnsi="宋体" w:cs="宋体"/>
          <w:kern w:val="0"/>
          <w:sz w:val="24"/>
          <w:szCs w:val="24"/>
        </w:rPr>
      </w:pPr>
    </w:p>
    <w:p w:rsidR="00CE6D78" w:rsidRDefault="00574D8E">
      <w:pPr>
        <w:pStyle w:val="zhangjiep"/>
      </w:pPr>
      <w:bookmarkStart w:id="4" w:name="_Toc61426416"/>
      <w:r>
        <w:rPr>
          <w:rFonts w:hint="eastAsia"/>
          <w:b/>
          <w:bCs/>
        </w:rPr>
        <w:t>5.2 利润表</w:t>
      </w:r>
      <w:bookmarkEnd w:id="4"/>
    </w:p>
    <w:p w:rsidR="00CE6D78" w:rsidRDefault="00574D8E">
      <w:pPr>
        <w:pStyle w:val="biaogeleft"/>
      </w:pPr>
      <w:r>
        <w:rPr>
          <w:rFonts w:hint="eastAsia"/>
        </w:rPr>
        <w:t>会计主体：南京银行珠联璧合安稳1909一年定开公募人民币理财产品</w:t>
      </w:r>
    </w:p>
    <w:p w:rsidR="00CE6D78" w:rsidRDefault="00574D8E">
      <w:pPr>
        <w:pStyle w:val="biaogeleft"/>
      </w:pPr>
      <w:r>
        <w:rPr>
          <w:rFonts w:hint="eastAsia"/>
        </w:rPr>
        <w:t>本报告期：2020年01月01日至2020年12月31日</w:t>
      </w:r>
    </w:p>
    <w:p w:rsidR="00CE6D78" w:rsidRDefault="00574D8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CE6D78">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rPr>
                <w:rFonts w:asciiTheme="minorEastAsia" w:eastAsiaTheme="minorEastAsia" w:hAnsiTheme="minorEastAsia"/>
              </w:rPr>
            </w:pPr>
            <w:r>
              <w:rPr>
                <w:rFonts w:asciiTheme="minorEastAsia" w:eastAsiaTheme="minorEastAsia" w:hAnsiTheme="minorEastAsia" w:hint="eastAsia"/>
              </w:rPr>
              <w:t>本期2020年01月01日至2020年12月31日 </w:t>
            </w:r>
          </w:p>
        </w:tc>
      </w:tr>
      <w:tr w:rsidR="00CE6D78">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CE6D78" w:rsidRDefault="00CE6D78">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CE6D78" w:rsidRDefault="00CE6D78">
            <w:pPr>
              <w:widowControl/>
              <w:jc w:val="left"/>
              <w:rPr>
                <w:rFonts w:asciiTheme="minorEastAsia" w:eastAsiaTheme="minorEastAsia" w:hAnsiTheme="minorEastAsia" w:cs="宋体"/>
                <w:kern w:val="0"/>
                <w:sz w:val="24"/>
                <w:szCs w:val="24"/>
              </w:rPr>
            </w:pP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b/>
                <w:bCs/>
                <w:color w:val="000000"/>
              </w:rPr>
              <w:t>52,048,899.81</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44,929,049.89</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29,117.47</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44,855,139.37</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44,793.05</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ascii="Arial" w:hAnsi="Arial" w:cs="Arial"/>
                <w:color w:val="000000"/>
              </w:rPr>
              <w:t xml:space="preserve">　</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2、投资收益（损失以“-”填列）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8,372.20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8,623.37</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-251.17</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3、公允价值变动收益（损失以“-”号填列）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4、汇总收益（损失以“-”号填列）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 xml:space="preserve">　</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5、其他收入（损失以“-”号填列）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7,111,477.72</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b/>
                <w:bCs/>
                <w:color w:val="000000"/>
              </w:rPr>
              <w:t>5,756,685.83</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2,492,381.34</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205,795.02</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2,057,950.14</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779,657.16</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779,657.16</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color w:val="000000"/>
              </w:rPr>
              <w:t>6、税金及附加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183,702.17</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color w:val="000000"/>
              </w:rPr>
              <w:t>37,200.00</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b/>
                <w:bCs/>
                <w:color w:val="000000"/>
              </w:rPr>
              <w:t>46,292,213.98</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ascii="Arial" w:hAnsi="Arial" w:cs="Arial"/>
                <w:color w:val="000000"/>
              </w:rPr>
              <w:t xml:space="preserve">　</w:t>
            </w:r>
          </w:p>
        </w:tc>
      </w:tr>
      <w:tr w:rsidR="00CE6D78">
        <w:tc>
          <w:tcPr>
            <w:tcW w:w="2969"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rPr>
                <w:rFonts w:asciiTheme="minorEastAsia" w:eastAsiaTheme="minorEastAsia" w:hAnsiTheme="minorEastAsia"/>
              </w:rPr>
            </w:pPr>
            <w:r>
              <w:rPr>
                <w:rFonts w:cs="Arial" w:hint="eastAsia"/>
                <w:b/>
                <w:bCs/>
                <w:color w:val="000000"/>
              </w:rPr>
              <w:t>46,292,213.98</w:t>
            </w:r>
          </w:p>
        </w:tc>
      </w:tr>
    </w:tbl>
    <w:p w:rsidR="00CE6D78" w:rsidRDefault="00CE6D78">
      <w:pPr>
        <w:widowControl/>
        <w:jc w:val="left"/>
        <w:rPr>
          <w:rFonts w:ascii="宋体" w:hAnsi="宋体" w:cs="宋体"/>
          <w:kern w:val="0"/>
          <w:sz w:val="24"/>
          <w:szCs w:val="24"/>
        </w:rPr>
      </w:pPr>
    </w:p>
    <w:p w:rsidR="00CE6D78" w:rsidRDefault="00574D8E">
      <w:pPr>
        <w:pStyle w:val="zhangjiep"/>
      </w:pPr>
      <w:bookmarkStart w:id="5" w:name="_Toc61426417"/>
      <w:r>
        <w:rPr>
          <w:rFonts w:hint="eastAsia"/>
          <w:b/>
          <w:bCs/>
        </w:rPr>
        <w:t>5.3 所有者权益（基金净值）变动表</w:t>
      </w:r>
      <w:bookmarkEnd w:id="5"/>
    </w:p>
    <w:p w:rsidR="00CE6D78" w:rsidRDefault="00574D8E">
      <w:pPr>
        <w:pStyle w:val="biaogeleft"/>
      </w:pPr>
      <w:r>
        <w:rPr>
          <w:rFonts w:hint="eastAsia"/>
        </w:rPr>
        <w:t>会计主体：南京银行珠联璧合安稳1909一年定开公募人民币理财产品</w:t>
      </w:r>
    </w:p>
    <w:p w:rsidR="00CE6D78" w:rsidRDefault="00574D8E">
      <w:pPr>
        <w:pStyle w:val="biaogeleft"/>
      </w:pPr>
      <w:r>
        <w:rPr>
          <w:rFonts w:hint="eastAsia"/>
        </w:rPr>
        <w:t>本报告期：2020年01月01日至2020年12月31日</w:t>
      </w:r>
    </w:p>
    <w:p w:rsidR="00CE6D78" w:rsidRDefault="00574D8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CE6D78">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本期 </w:t>
            </w:r>
          </w:p>
          <w:p w:rsidR="00CE6D78" w:rsidRDefault="00574D8E">
            <w:pPr>
              <w:pStyle w:val="biaogecenter"/>
              <w:wordWrap w:val="0"/>
            </w:pPr>
            <w:r>
              <w:rPr>
                <w:rFonts w:hint="eastAsia"/>
              </w:rPr>
              <w:t>2020年01月01日至2020年12月31日</w:t>
            </w:r>
          </w:p>
        </w:tc>
      </w:tr>
      <w:tr w:rsidR="00CE6D78">
        <w:tc>
          <w:tcPr>
            <w:tcW w:w="2116" w:type="dxa"/>
            <w:vMerge/>
            <w:tcBorders>
              <w:top w:val="single" w:sz="8" w:space="0" w:color="000000"/>
              <w:left w:val="single" w:sz="8" w:space="0" w:color="000000"/>
              <w:bottom w:val="single" w:sz="8" w:space="0" w:color="000000"/>
              <w:right w:val="single" w:sz="8" w:space="0" w:color="000000"/>
            </w:tcBorders>
            <w:vAlign w:val="center"/>
          </w:tcPr>
          <w:p w:rsidR="00CE6D78" w:rsidRDefault="00CE6D78">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所有者权益合计 </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884,565,000.00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12,318,522.83</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896,883,522.83</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二、本期经营活动产生的基金净值变动数(本期利</w:t>
            </w:r>
            <w:r>
              <w:rPr>
                <w:rFonts w:hint="eastAsia"/>
              </w:rPr>
              <w:lastRenderedPageBreak/>
              <w:t>润)</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46,292,213.98</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46,292,213.98</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lastRenderedPageBreak/>
              <w:t>三、本期基金份额交易产生的基金净值变动数（净值减少以“-”号填列）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440,450,627.00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440,450,627.00</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924,104,000.00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924,104,000.00</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pPr>
            <w:r>
              <w:rPr>
                <w:rFonts w:hint="eastAsia"/>
              </w:rPr>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-483,653,373.00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-483,653,373.00</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四、本期向基金份额持有人分配利润产生的基金净值变动（净值减少以“-”号填列）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-38,910,449.96</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-38,910,449.96</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1,325,015,627.00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19,700,286.85</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1,344,715,913.85</w:t>
            </w:r>
          </w:p>
        </w:tc>
      </w:tr>
      <w:tr w:rsidR="00CE6D78">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上年度可比期间 </w:t>
            </w:r>
          </w:p>
          <w:p w:rsidR="00CE6D78" w:rsidRDefault="00574D8E">
            <w:pPr>
              <w:pStyle w:val="biaogecenter"/>
              <w:wordWrap w:val="0"/>
            </w:pPr>
            <w:r>
              <w:rPr>
                <w:rFonts w:hint="eastAsia"/>
              </w:rPr>
              <w:t>2019年09月05日（基金合同生效日）至2019年12月31日 </w:t>
            </w:r>
          </w:p>
        </w:tc>
      </w:tr>
      <w:tr w:rsidR="00CE6D78">
        <w:tc>
          <w:tcPr>
            <w:tcW w:w="2116" w:type="dxa"/>
            <w:vMerge/>
            <w:tcBorders>
              <w:top w:val="single" w:sz="8" w:space="0" w:color="000000"/>
              <w:left w:val="single" w:sz="8" w:space="0" w:color="000000"/>
              <w:bottom w:val="single" w:sz="8" w:space="0" w:color="000000"/>
              <w:right w:val="single" w:sz="8" w:space="0" w:color="000000"/>
            </w:tcBorders>
            <w:vAlign w:val="center"/>
          </w:tcPr>
          <w:p w:rsidR="00CE6D78" w:rsidRDefault="00CE6D78">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pPr>
            <w:r>
              <w:rPr>
                <w:rFonts w:hint="eastAsia"/>
              </w:rPr>
              <w:t>所有者权益合计 </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884,565,000.00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884,565,000.00</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二、本期经营活动产生的基金净值变动数(本期利润)</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12,318,522.83</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12,318,522.83</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三、本期基金份额交易产生的基金净值变动数（净值减少以“-”号填列）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ind w:left="750"/>
            </w:pPr>
            <w:r>
              <w:rPr>
                <w:rFonts w:hint="eastAsia"/>
              </w:rPr>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t>四、本期向基金份</w:t>
            </w:r>
            <w:r>
              <w:rPr>
                <w:rFonts w:hint="eastAsia"/>
              </w:rPr>
              <w:lastRenderedPageBreak/>
              <w:t>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w:t>
            </w:r>
          </w:p>
        </w:tc>
      </w:tr>
      <w:tr w:rsidR="00CE6D78">
        <w:tc>
          <w:tcPr>
            <w:tcW w:w="2116"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left"/>
              <w:wordWrap w:val="0"/>
            </w:pPr>
            <w:r>
              <w:rPr>
                <w:rFonts w:hint="eastAsia"/>
              </w:rPr>
              <w:lastRenderedPageBreak/>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884,565,000.00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12,318,522.83</w:t>
            </w:r>
          </w:p>
        </w:tc>
        <w:tc>
          <w:tcPr>
            <w:tcW w:w="2484"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right"/>
              <w:wordWrap w:val="0"/>
            </w:pPr>
            <w:r>
              <w:rPr>
                <w:rFonts w:hint="eastAsia"/>
              </w:rPr>
              <w:t>896,883,522.83</w:t>
            </w:r>
          </w:p>
        </w:tc>
      </w:tr>
    </w:tbl>
    <w:p w:rsidR="00CE6D78" w:rsidRDefault="00CE6D78">
      <w:pPr>
        <w:widowControl/>
        <w:autoSpaceDE w:val="0"/>
        <w:autoSpaceDN w:val="0"/>
        <w:adjustRightInd w:val="0"/>
        <w:spacing w:line="288" w:lineRule="auto"/>
        <w:jc w:val="right"/>
        <w:rPr>
          <w:rFonts w:ascii="宋体" w:hAnsi="宋体" w:cs="宋体"/>
          <w:kern w:val="0"/>
          <w:sz w:val="24"/>
          <w:szCs w:val="24"/>
        </w:rPr>
      </w:pPr>
    </w:p>
    <w:p w:rsidR="00CE6D78" w:rsidRDefault="00CE6D78">
      <w:pPr>
        <w:pStyle w:val="biaogeleft"/>
        <w:spacing w:line="360" w:lineRule="auto"/>
        <w:ind w:firstLine="480"/>
        <w:rPr>
          <w:color w:val="000000"/>
        </w:rPr>
      </w:pPr>
    </w:p>
    <w:p w:rsidR="00CE6D78" w:rsidRDefault="00574D8E">
      <w:pPr>
        <w:pStyle w:val="dazhangjie"/>
        <w:rPr>
          <w:color w:val="000000"/>
        </w:rPr>
      </w:pPr>
      <w:r>
        <w:rPr>
          <w:rFonts w:hAnsi="Calibri" w:hint="eastAsia"/>
          <w:b/>
          <w:color w:val="000000"/>
        </w:rPr>
        <w:t>§6  投资组合报告</w:t>
      </w:r>
    </w:p>
    <w:p w:rsidR="00CE6D78" w:rsidRDefault="00CE6D78">
      <w:pPr>
        <w:widowControl/>
        <w:jc w:val="left"/>
        <w:rPr>
          <w:rFonts w:ascii="宋体" w:hAnsi="宋体" w:cs="宋体"/>
          <w:color w:val="000000"/>
          <w:kern w:val="0"/>
          <w:sz w:val="24"/>
          <w:szCs w:val="24"/>
        </w:rPr>
      </w:pPr>
    </w:p>
    <w:p w:rsidR="00CE6D78" w:rsidRDefault="00574D8E">
      <w:pPr>
        <w:pStyle w:val="zhangjiep"/>
        <w:rPr>
          <w:color w:val="000000"/>
        </w:rPr>
      </w:pPr>
      <w:r>
        <w:rPr>
          <w:rFonts w:hint="eastAsia"/>
          <w:b/>
          <w:bCs/>
          <w:color w:val="000000"/>
        </w:rPr>
        <w:t>6.1报告期末产品资产组合情况</w:t>
      </w:r>
    </w:p>
    <w:tbl>
      <w:tblPr>
        <w:tblW w:w="8931" w:type="dxa"/>
        <w:tblInd w:w="108" w:type="dxa"/>
        <w:tblLayout w:type="fixed"/>
        <w:tblLook w:val="04A0"/>
      </w:tblPr>
      <w:tblGrid>
        <w:gridCol w:w="891"/>
        <w:gridCol w:w="3314"/>
        <w:gridCol w:w="2331"/>
        <w:gridCol w:w="2395"/>
      </w:tblGrid>
      <w:tr w:rsidR="00CE6D78">
        <w:tc>
          <w:tcPr>
            <w:tcW w:w="891" w:type="dxa"/>
            <w:tcBorders>
              <w:top w:val="single" w:sz="8" w:space="0" w:color="000000"/>
              <w:left w:val="single" w:sz="8" w:space="0" w:color="000000"/>
              <w:bottom w:val="single" w:sz="6" w:space="0" w:color="000000"/>
              <w:right w:val="single" w:sz="8" w:space="0" w:color="000000"/>
            </w:tcBorders>
            <w:vAlign w:val="bottom"/>
          </w:tcPr>
          <w:p w:rsidR="00CE6D78" w:rsidRDefault="00574D8E">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CE6D78" w:rsidRDefault="00574D8E">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CE6D78" w:rsidRDefault="00574D8E">
            <w:pPr>
              <w:widowControl/>
              <w:jc w:val="center"/>
              <w:textAlignment w:val="bottom"/>
              <w:rPr>
                <w:color w:val="000000"/>
              </w:rPr>
            </w:pPr>
            <w:r>
              <w:rPr>
                <w:rFonts w:ascii="宋体" w:hAnsi="宋体" w:cs="宋体" w:hint="eastAsia"/>
                <w:color w:val="000000"/>
                <w:kern w:val="0"/>
                <w:sz w:val="24"/>
                <w:szCs w:val="24"/>
              </w:rPr>
              <w:t>金额(元)</w:t>
            </w:r>
          </w:p>
        </w:tc>
        <w:tc>
          <w:tcPr>
            <w:tcW w:w="2395" w:type="dxa"/>
            <w:tcBorders>
              <w:top w:val="single" w:sz="8" w:space="0" w:color="000000"/>
              <w:left w:val="single" w:sz="8" w:space="0" w:color="000000"/>
              <w:bottom w:val="single" w:sz="6" w:space="0" w:color="000000"/>
              <w:right w:val="single" w:sz="8" w:space="0" w:color="000000"/>
            </w:tcBorders>
            <w:vAlign w:val="bottom"/>
          </w:tcPr>
          <w:p w:rsidR="00CE6D78" w:rsidRDefault="00574D8E">
            <w:pPr>
              <w:widowControl/>
              <w:jc w:val="center"/>
              <w:textAlignment w:val="bottom"/>
              <w:rPr>
                <w:color w:val="000000"/>
              </w:rPr>
            </w:pPr>
            <w:r>
              <w:rPr>
                <w:rFonts w:ascii="宋体" w:hAnsi="宋体" w:cs="宋体" w:hint="eastAsia"/>
                <w:color w:val="000000"/>
                <w:kern w:val="0"/>
                <w:sz w:val="24"/>
                <w:szCs w:val="24"/>
              </w:rPr>
              <w:t>占产品总资产的比例（%）</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900,567,374.33</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65.67</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31.36</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2,039,220.99</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0.15</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30,977,917.95</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2.26</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7,655,057.54</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0.56</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CE6D78">
        <w:tc>
          <w:tcPr>
            <w:tcW w:w="891"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1,371,239,570.81</w:t>
            </w:r>
          </w:p>
        </w:tc>
        <w:tc>
          <w:tcPr>
            <w:tcW w:w="2395"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CE6D78" w:rsidRDefault="00CE6D78">
      <w:pPr>
        <w:widowControl/>
        <w:jc w:val="left"/>
        <w:rPr>
          <w:rFonts w:ascii="宋体" w:hAnsi="宋体" w:cs="宋体"/>
          <w:color w:val="000000"/>
          <w:kern w:val="0"/>
          <w:sz w:val="24"/>
          <w:szCs w:val="24"/>
        </w:rPr>
      </w:pPr>
    </w:p>
    <w:p w:rsidR="00CE6D78" w:rsidRDefault="00574D8E">
      <w:pPr>
        <w:pStyle w:val="zhangjiep"/>
        <w:rPr>
          <w:b/>
          <w:bCs/>
          <w:color w:val="000000"/>
        </w:rPr>
      </w:pPr>
      <w:r>
        <w:rPr>
          <w:rFonts w:hint="eastAsia"/>
          <w:b/>
          <w:bCs/>
          <w:color w:val="000000"/>
        </w:rPr>
        <w:t>6.2 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CE6D78">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CE6D78" w:rsidRDefault="00574D8E">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CE6D78" w:rsidRDefault="00574D8E">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CE6D78" w:rsidRDefault="00574D8E">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vAlign w:val="center"/>
          </w:tcPr>
          <w:p w:rsidR="00CE6D78" w:rsidRDefault="00574D8E">
            <w:pPr>
              <w:pStyle w:val="biaogecenter"/>
              <w:wordWrap w:val="0"/>
              <w:rPr>
                <w:color w:val="000000"/>
              </w:rPr>
            </w:pPr>
            <w:r>
              <w:rPr>
                <w:rFonts w:hint="eastAsia"/>
                <w:color w:val="000000"/>
              </w:rPr>
              <w:t>占产品资产净值比例（％）</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20088159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20钟楼新城01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300,000,000.00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22.31%</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20088149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20无锡惠憬02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130,000,000.00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9.67%</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1880161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18洋口港债02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72,629,642.12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5.40%</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031800177</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18浦口康居PPN002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60,260,094.28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4.48%</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pPr>
            <w:r>
              <w:rPr>
                <w:rFonts w:hint="eastAsia"/>
                <w:color w:val="000000"/>
              </w:rPr>
              <w:lastRenderedPageBreak/>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031800053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18惠山经发PPN001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60,090,171.38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4.47%</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114080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16皋沿04</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59,891,929.83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4.45%</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031800453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18六合国资PPN001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50,409,129.76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3.75%</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150595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18宁新01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50,395,236.09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3.75%</w:t>
            </w:r>
          </w:p>
        </w:tc>
      </w:tr>
      <w:tr w:rsidR="00CE6D78">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031900274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19宿州城投PPN001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50,103,506.60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3.73%</w:t>
            </w:r>
          </w:p>
        </w:tc>
      </w:tr>
      <w:tr w:rsidR="00CE6D78">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CE6D78" w:rsidRDefault="00574D8E">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031900119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rPr>
                <w:rFonts w:ascii="宋体" w:hAnsi="宋体" w:cs="宋体"/>
                <w:color w:val="000000"/>
                <w:kern w:val="0"/>
                <w:sz w:val="24"/>
                <w:szCs w:val="24"/>
              </w:rPr>
            </w:pPr>
            <w:r>
              <w:rPr>
                <w:rFonts w:ascii="宋体" w:hAnsi="宋体" w:cs="宋体" w:hint="eastAsia"/>
                <w:color w:val="000000"/>
                <w:kern w:val="0"/>
                <w:sz w:val="24"/>
                <w:szCs w:val="24"/>
              </w:rPr>
              <w:t>19徐州经开PPN001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50,070,451.37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CE6D78" w:rsidRDefault="00574D8E">
            <w:pPr>
              <w:jc w:val="right"/>
              <w:rPr>
                <w:rFonts w:ascii="宋体" w:hAnsi="宋体" w:cs="宋体"/>
                <w:color w:val="000000"/>
                <w:kern w:val="0"/>
                <w:sz w:val="24"/>
                <w:szCs w:val="24"/>
              </w:rPr>
            </w:pPr>
            <w:r>
              <w:rPr>
                <w:rFonts w:ascii="宋体" w:hAnsi="宋体" w:cs="宋体" w:hint="eastAsia"/>
                <w:color w:val="000000"/>
                <w:kern w:val="0"/>
                <w:sz w:val="24"/>
                <w:szCs w:val="24"/>
              </w:rPr>
              <w:t>3.72%</w:t>
            </w:r>
          </w:p>
        </w:tc>
      </w:tr>
    </w:tbl>
    <w:p w:rsidR="00CE6D78" w:rsidRDefault="00CE6D78">
      <w:pPr>
        <w:widowControl/>
        <w:jc w:val="left"/>
        <w:rPr>
          <w:rFonts w:ascii="宋体" w:hAnsi="宋体" w:cs="宋体"/>
          <w:b/>
          <w:sz w:val="24"/>
          <w:szCs w:val="24"/>
          <w:shd w:val="clear" w:color="auto" w:fill="FFFFFF"/>
        </w:rPr>
      </w:pPr>
    </w:p>
    <w:p w:rsidR="00CE6D78" w:rsidRDefault="00574D8E">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6.3报告期末非标准化债权类资产明细</w:t>
      </w:r>
    </w:p>
    <w:p w:rsidR="00CE6D78" w:rsidRDefault="00CE6D78">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CE6D78">
        <w:tc>
          <w:tcPr>
            <w:tcW w:w="709"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CE6D78" w:rsidRDefault="00574D8E">
            <w:pPr>
              <w:pStyle w:val="biaogecenter"/>
              <w:wordWrap w:val="0"/>
              <w:rPr>
                <w:shd w:val="clear" w:color="auto" w:fill="FFFFFF"/>
              </w:rPr>
            </w:pPr>
            <w:r>
              <w:rPr>
                <w:rFonts w:hint="eastAsia"/>
                <w:shd w:val="clear" w:color="auto" w:fill="FFFFFF"/>
              </w:rPr>
              <w:t>风险状况</w:t>
            </w:r>
          </w:p>
        </w:tc>
      </w:tr>
      <w:tr w:rsidR="00CE6D78">
        <w:tc>
          <w:tcPr>
            <w:tcW w:w="709" w:type="dxa"/>
            <w:tcBorders>
              <w:top w:val="single" w:sz="8" w:space="0" w:color="000000"/>
              <w:left w:val="single" w:sz="8" w:space="0" w:color="000000"/>
              <w:bottom w:val="single" w:sz="8" w:space="0" w:color="000000"/>
              <w:right w:val="single" w:sz="8" w:space="0" w:color="000000"/>
            </w:tcBorders>
            <w:vAlign w:val="center"/>
          </w:tcPr>
          <w:p w:rsidR="00CE6D78" w:rsidRPr="00574D8E" w:rsidRDefault="00574D8E">
            <w:pPr>
              <w:pStyle w:val="biaogecenter"/>
              <w:wordWrap w:val="0"/>
              <w:rPr>
                <w:rFonts w:hAnsi="Calibri"/>
                <w:shd w:val="clear" w:color="auto" w:fill="FFFFFF"/>
              </w:rPr>
            </w:pPr>
            <w:r w:rsidRPr="00574D8E">
              <w:rPr>
                <w:rFonts w:hAnsi="Calibri" w:hint="eastAsia"/>
                <w:shd w:val="clear" w:color="auto" w:fill="FFFFFF"/>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CE6D78" w:rsidRPr="00574D8E" w:rsidRDefault="00574D8E">
            <w:pPr>
              <w:widowControl/>
              <w:jc w:val="center"/>
              <w:rPr>
                <w:rFonts w:ascii="宋体" w:hAnsi="Calibri" w:cs="宋体"/>
                <w:kern w:val="0"/>
                <w:sz w:val="24"/>
                <w:szCs w:val="24"/>
                <w:shd w:val="clear" w:color="auto" w:fill="FFFFFF"/>
              </w:rPr>
            </w:pPr>
            <w:r w:rsidRPr="00574D8E">
              <w:rPr>
                <w:rFonts w:ascii="宋体" w:hAnsi="Calibri" w:cs="宋体" w:hint="eastAsia"/>
                <w:kern w:val="0"/>
                <w:sz w:val="24"/>
                <w:szCs w:val="24"/>
                <w:shd w:val="clear" w:color="auto" w:fill="FFFFFF"/>
              </w:rPr>
              <w:t>常州钟楼新城投资建设有限公司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E6D78" w:rsidRPr="00574D8E" w:rsidRDefault="00574D8E">
            <w:pPr>
              <w:jc w:val="center"/>
              <w:rPr>
                <w:rFonts w:ascii="宋体" w:hAnsi="Calibri" w:cs="宋体"/>
                <w:kern w:val="0"/>
                <w:sz w:val="24"/>
                <w:szCs w:val="24"/>
                <w:shd w:val="clear" w:color="auto" w:fill="FFFFFF"/>
              </w:rPr>
            </w:pPr>
            <w:r w:rsidRPr="00574D8E">
              <w:rPr>
                <w:rFonts w:ascii="宋体" w:hAnsi="Calibri" w:cs="宋体" w:hint="eastAsia"/>
                <w:kern w:val="0"/>
                <w:sz w:val="24"/>
                <w:szCs w:val="24"/>
                <w:shd w:val="clear" w:color="auto" w:fill="FFFFFF"/>
              </w:rPr>
              <w:t>20钟楼新城01</w:t>
            </w:r>
          </w:p>
        </w:tc>
        <w:tc>
          <w:tcPr>
            <w:tcW w:w="1417" w:type="dxa"/>
            <w:tcBorders>
              <w:top w:val="single" w:sz="8" w:space="0" w:color="000000"/>
              <w:left w:val="single" w:sz="8" w:space="0" w:color="000000"/>
              <w:bottom w:val="single" w:sz="8" w:space="0" w:color="000000"/>
              <w:right w:val="single" w:sz="8" w:space="0" w:color="000000"/>
            </w:tcBorders>
            <w:vAlign w:val="center"/>
          </w:tcPr>
          <w:p w:rsidR="00CE6D78" w:rsidRPr="00574D8E" w:rsidRDefault="00574D8E">
            <w:pPr>
              <w:jc w:val="center"/>
              <w:rPr>
                <w:rFonts w:ascii="宋体" w:hAnsi="Calibri" w:cs="宋体"/>
                <w:kern w:val="0"/>
                <w:sz w:val="24"/>
                <w:szCs w:val="24"/>
                <w:shd w:val="clear" w:color="auto" w:fill="FFFFFF"/>
              </w:rPr>
            </w:pPr>
            <w:r w:rsidRPr="00574D8E">
              <w:rPr>
                <w:rFonts w:ascii="宋体" w:hAnsi="Calibri" w:cs="宋体" w:hint="eastAsia"/>
                <w:kern w:val="0"/>
                <w:sz w:val="24"/>
                <w:szCs w:val="24"/>
                <w:shd w:val="clear" w:color="auto" w:fill="FFFFFF"/>
              </w:rPr>
              <w:t>246天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E6D78" w:rsidRPr="00574D8E" w:rsidRDefault="00574D8E">
            <w:pPr>
              <w:jc w:val="center"/>
              <w:rPr>
                <w:rFonts w:ascii="宋体" w:hAnsi="Calibri" w:cs="宋体"/>
                <w:kern w:val="0"/>
                <w:sz w:val="24"/>
                <w:szCs w:val="24"/>
                <w:shd w:val="clear" w:color="auto" w:fill="FFFFFF"/>
              </w:rPr>
            </w:pPr>
            <w:r w:rsidRPr="00574D8E">
              <w:rPr>
                <w:rFonts w:ascii="宋体" w:hAnsi="Calibri" w:cs="宋体" w:hint="eastAsia"/>
                <w:kern w:val="0"/>
                <w:sz w:val="24"/>
                <w:szCs w:val="24"/>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E6D78" w:rsidRPr="00574D8E" w:rsidRDefault="00574D8E">
            <w:pPr>
              <w:jc w:val="center"/>
              <w:rPr>
                <w:rFonts w:ascii="宋体" w:hAnsi="Calibri" w:cs="宋体"/>
                <w:kern w:val="0"/>
                <w:sz w:val="24"/>
                <w:szCs w:val="24"/>
                <w:shd w:val="clear" w:color="auto" w:fill="FFFFFF"/>
              </w:rPr>
            </w:pPr>
            <w:r w:rsidRPr="00574D8E">
              <w:rPr>
                <w:rFonts w:ascii="宋体" w:hAnsi="Calibri" w:cs="宋体" w:hint="eastAsia"/>
                <w:kern w:val="0"/>
                <w:sz w:val="24"/>
                <w:szCs w:val="24"/>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E6D78" w:rsidRDefault="00574D8E">
            <w:pPr>
              <w:jc w:val="center"/>
              <w:rPr>
                <w:rFonts w:ascii="宋体" w:hAnsi="Calibri" w:cs="宋体"/>
                <w:color w:val="0000FF"/>
                <w:kern w:val="0"/>
                <w:sz w:val="24"/>
                <w:szCs w:val="24"/>
                <w:shd w:val="clear" w:color="auto" w:fill="FFFFFF"/>
              </w:rPr>
            </w:pPr>
            <w:r>
              <w:rPr>
                <w:rFonts w:ascii="宋体" w:hAnsi="Calibri" w:cs="宋体" w:hint="eastAsia"/>
                <w:color w:val="0000FF"/>
                <w:kern w:val="0"/>
                <w:sz w:val="24"/>
                <w:szCs w:val="24"/>
                <w:shd w:val="clear" w:color="auto" w:fill="FFFFFF"/>
              </w:rPr>
              <w:t>-</w:t>
            </w:r>
          </w:p>
        </w:tc>
      </w:tr>
      <w:tr w:rsidR="00CE6D78">
        <w:tc>
          <w:tcPr>
            <w:tcW w:w="709" w:type="dxa"/>
            <w:tcBorders>
              <w:top w:val="single" w:sz="8" w:space="0" w:color="000000"/>
              <w:left w:val="single" w:sz="8" w:space="0" w:color="000000"/>
              <w:bottom w:val="single" w:sz="8" w:space="0" w:color="000000"/>
              <w:right w:val="single" w:sz="8" w:space="0" w:color="000000"/>
            </w:tcBorders>
            <w:vAlign w:val="center"/>
          </w:tcPr>
          <w:p w:rsidR="00CE6D78" w:rsidRDefault="00574D8E">
            <w:pPr>
              <w:pStyle w:val="biaogecenter"/>
              <w:wordWrap w:val="0"/>
              <w:rPr>
                <w:rFonts w:hAnsi="Calibri"/>
                <w:shd w:val="clear" w:color="auto" w:fill="FFFFFF"/>
              </w:rPr>
            </w:pPr>
            <w:r>
              <w:rPr>
                <w:rFonts w:hAnsi="Calibri" w:hint="eastAsia"/>
                <w:shd w:val="clear" w:color="auto" w:fill="FFFFFF"/>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CE6D78" w:rsidRDefault="00574D8E">
            <w:pPr>
              <w:widowControl/>
              <w:jc w:val="center"/>
              <w:rPr>
                <w:rFonts w:ascii="宋体" w:hAnsi="Calibri" w:cs="宋体"/>
                <w:kern w:val="0"/>
                <w:sz w:val="24"/>
                <w:szCs w:val="24"/>
                <w:shd w:val="clear" w:color="auto" w:fill="FFFFFF"/>
              </w:rPr>
            </w:pPr>
            <w:r>
              <w:rPr>
                <w:rFonts w:ascii="宋体" w:hAnsi="Calibri" w:cs="宋体" w:hint="eastAsia"/>
                <w:kern w:val="0"/>
                <w:sz w:val="24"/>
                <w:szCs w:val="24"/>
                <w:shd w:val="clear" w:color="auto" w:fill="FFFFFF"/>
              </w:rPr>
              <w:t>无锡惠憬城市发展有限公司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CE6D78" w:rsidRDefault="00574D8E">
            <w:pPr>
              <w:jc w:val="center"/>
              <w:rPr>
                <w:rFonts w:ascii="宋体" w:hAnsi="Calibri" w:cs="宋体"/>
                <w:kern w:val="0"/>
                <w:sz w:val="24"/>
                <w:szCs w:val="24"/>
                <w:shd w:val="clear" w:color="auto" w:fill="FFFFFF"/>
              </w:rPr>
            </w:pPr>
            <w:r>
              <w:rPr>
                <w:rFonts w:ascii="宋体" w:hAnsi="Calibri" w:cs="宋体" w:hint="eastAsia"/>
                <w:kern w:val="0"/>
                <w:sz w:val="24"/>
                <w:szCs w:val="24"/>
                <w:shd w:val="clear" w:color="auto" w:fill="FFFFFF"/>
              </w:rPr>
              <w:t>20无锡惠憬02</w:t>
            </w:r>
          </w:p>
        </w:tc>
        <w:tc>
          <w:tcPr>
            <w:tcW w:w="1417" w:type="dxa"/>
            <w:tcBorders>
              <w:top w:val="single" w:sz="8" w:space="0" w:color="000000"/>
              <w:left w:val="single" w:sz="8" w:space="0" w:color="000000"/>
              <w:bottom w:val="single" w:sz="8" w:space="0" w:color="000000"/>
              <w:right w:val="single" w:sz="8" w:space="0" w:color="000000"/>
            </w:tcBorders>
            <w:vAlign w:val="center"/>
          </w:tcPr>
          <w:p w:rsidR="00CE6D78" w:rsidRDefault="00574D8E">
            <w:pPr>
              <w:jc w:val="center"/>
              <w:rPr>
                <w:rFonts w:ascii="宋体" w:hAnsi="Calibri" w:cs="宋体"/>
                <w:kern w:val="0"/>
                <w:sz w:val="24"/>
                <w:szCs w:val="24"/>
                <w:shd w:val="clear" w:color="auto" w:fill="FFFFFF"/>
              </w:rPr>
            </w:pPr>
            <w:r>
              <w:rPr>
                <w:rFonts w:ascii="宋体" w:hAnsi="Calibri" w:cs="宋体" w:hint="eastAsia"/>
                <w:kern w:val="0"/>
                <w:sz w:val="24"/>
                <w:szCs w:val="24"/>
                <w:shd w:val="clear" w:color="auto" w:fill="FFFFFF"/>
              </w:rPr>
              <w:t>232天</w:t>
            </w:r>
          </w:p>
        </w:tc>
        <w:tc>
          <w:tcPr>
            <w:tcW w:w="1701" w:type="dxa"/>
            <w:tcBorders>
              <w:top w:val="single" w:sz="8" w:space="0" w:color="000000"/>
              <w:left w:val="single" w:sz="8" w:space="0" w:color="000000"/>
              <w:bottom w:val="single" w:sz="8" w:space="0" w:color="000000"/>
              <w:right w:val="single" w:sz="8" w:space="0" w:color="000000"/>
            </w:tcBorders>
            <w:vAlign w:val="center"/>
          </w:tcPr>
          <w:p w:rsidR="00CE6D78" w:rsidRDefault="00574D8E">
            <w:pPr>
              <w:jc w:val="center"/>
              <w:rPr>
                <w:rFonts w:ascii="宋体" w:hAnsi="Calibri" w:cs="宋体"/>
                <w:kern w:val="0"/>
                <w:sz w:val="24"/>
                <w:szCs w:val="24"/>
                <w:shd w:val="clear" w:color="auto" w:fill="FFFFFF"/>
              </w:rPr>
            </w:pPr>
            <w:r>
              <w:rPr>
                <w:rFonts w:ascii="宋体" w:hAnsi="Calibri" w:cs="宋体" w:hint="eastAsia"/>
                <w:kern w:val="0"/>
                <w:sz w:val="24"/>
                <w:szCs w:val="24"/>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CE6D78" w:rsidRDefault="00574D8E">
            <w:pPr>
              <w:jc w:val="center"/>
              <w:rPr>
                <w:rFonts w:ascii="宋体" w:hAnsi="Calibri" w:cs="宋体"/>
                <w:kern w:val="0"/>
                <w:sz w:val="24"/>
                <w:szCs w:val="24"/>
                <w:shd w:val="clear" w:color="auto" w:fill="FFFFFF"/>
              </w:rPr>
            </w:pPr>
            <w:r>
              <w:rPr>
                <w:rFonts w:ascii="宋体" w:hAnsi="Calibri" w:cs="宋体" w:hint="eastAsia"/>
                <w:kern w:val="0"/>
                <w:sz w:val="24"/>
                <w:szCs w:val="24"/>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CE6D78" w:rsidRDefault="00574D8E">
            <w:pPr>
              <w:jc w:val="center"/>
              <w:rPr>
                <w:rFonts w:ascii="宋体" w:hAnsi="Calibri" w:cs="宋体"/>
                <w:kern w:val="0"/>
                <w:sz w:val="24"/>
                <w:szCs w:val="24"/>
                <w:shd w:val="clear" w:color="auto" w:fill="FFFFFF"/>
              </w:rPr>
            </w:pPr>
            <w:r>
              <w:rPr>
                <w:rFonts w:ascii="宋体" w:hAnsi="Calibri" w:cs="宋体" w:hint="eastAsia"/>
                <w:kern w:val="0"/>
                <w:sz w:val="24"/>
                <w:szCs w:val="24"/>
                <w:shd w:val="clear" w:color="auto" w:fill="FFFFFF"/>
              </w:rPr>
              <w:t>-</w:t>
            </w:r>
          </w:p>
        </w:tc>
      </w:tr>
    </w:tbl>
    <w:p w:rsidR="00CE6D78" w:rsidRDefault="00CE6D78">
      <w:pPr>
        <w:widowControl/>
        <w:jc w:val="left"/>
        <w:rPr>
          <w:rFonts w:ascii="宋体" w:hAnsi="宋体" w:cs="宋体"/>
          <w:color w:val="000000"/>
          <w:kern w:val="0"/>
          <w:sz w:val="24"/>
          <w:szCs w:val="24"/>
        </w:rPr>
      </w:pPr>
    </w:p>
    <w:p w:rsidR="00CE6D78" w:rsidRDefault="00CE6D78">
      <w:pPr>
        <w:widowControl/>
        <w:jc w:val="left"/>
        <w:rPr>
          <w:rFonts w:ascii="宋体" w:hAnsi="宋体" w:cs="宋体"/>
          <w:color w:val="000000"/>
          <w:kern w:val="0"/>
          <w:sz w:val="24"/>
          <w:szCs w:val="24"/>
        </w:rPr>
      </w:pPr>
    </w:p>
    <w:p w:rsidR="00CE6D78" w:rsidRDefault="00574D8E">
      <w:pPr>
        <w:pStyle w:val="dazhangjie"/>
        <w:rPr>
          <w:color w:val="000000"/>
        </w:rPr>
      </w:pPr>
      <w:r>
        <w:rPr>
          <w:rFonts w:hint="eastAsia"/>
          <w:b/>
          <w:bCs/>
          <w:color w:val="000000"/>
        </w:rPr>
        <w:t>§7 关联交易情况</w:t>
      </w:r>
    </w:p>
    <w:p w:rsidR="00CE6D78" w:rsidRDefault="00574D8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报告期末，产品投资于本行或托管机构，主要股东、控股股东、实际控制人、一致行动人、最终受益人，其控股的机构或者与其有重大利害关系的公司发行的证券0.00元。</w:t>
      </w:r>
    </w:p>
    <w:p w:rsidR="00CE6D78" w:rsidRDefault="00574D8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产品投资于本行或托管机构，主要股东、控股股东、实际控制人、一致行动人、最终受益人，其控股的机构或者与其有重大利害关系的公司承销的证券0.00元。</w:t>
      </w:r>
    </w:p>
    <w:p w:rsidR="00CE6D78" w:rsidRDefault="00CE6D78">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CE6D78" w:rsidRDefault="00574D8E">
      <w:pPr>
        <w:pStyle w:val="biaogeright"/>
        <w:rPr>
          <w:b/>
        </w:rPr>
      </w:pPr>
      <w:r>
        <w:rPr>
          <w:rFonts w:hint="eastAsia"/>
          <w:b/>
        </w:rPr>
        <w:t>南京银行股份有限公司</w:t>
      </w:r>
    </w:p>
    <w:p w:rsidR="00CE6D78" w:rsidRDefault="00574D8E">
      <w:pPr>
        <w:pStyle w:val="biaogeright"/>
      </w:pPr>
      <w:r>
        <w:rPr>
          <w:rFonts w:hAnsi="Calibri" w:hint="eastAsia"/>
          <w:b/>
          <w:color w:val="000000"/>
        </w:rPr>
        <w:t>2020年12月31日</w:t>
      </w:r>
    </w:p>
    <w:p w:rsidR="00CE6D78" w:rsidRDefault="00CE6D78">
      <w:pPr>
        <w:pStyle w:val="biaogeright"/>
        <w:rPr>
          <w:color w:val="000000"/>
        </w:rPr>
      </w:pPr>
    </w:p>
    <w:sectPr w:rsidR="00CE6D78" w:rsidSect="00CE6D78">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190" w:rsidRDefault="00862190" w:rsidP="00CE6D78">
      <w:r>
        <w:separator/>
      </w:r>
    </w:p>
  </w:endnote>
  <w:endnote w:type="continuationSeparator" w:id="1">
    <w:p w:rsidR="00862190" w:rsidRDefault="00862190" w:rsidP="00CE6D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D78" w:rsidRDefault="00A53AFA">
    <w:pPr>
      <w:pStyle w:val="a5"/>
      <w:framePr w:wrap="around" w:vAnchor="text" w:hAnchor="margin" w:xAlign="center" w:y="1"/>
      <w:rPr>
        <w:rStyle w:val="aa"/>
      </w:rPr>
    </w:pPr>
    <w:r>
      <w:fldChar w:fldCharType="begin"/>
    </w:r>
    <w:r w:rsidR="00574D8E">
      <w:rPr>
        <w:rStyle w:val="aa"/>
      </w:rPr>
      <w:instrText xml:space="preserve">PAGE  </w:instrText>
    </w:r>
    <w:r>
      <w:fldChar w:fldCharType="end"/>
    </w:r>
  </w:p>
  <w:p w:rsidR="00CE6D78" w:rsidRDefault="00CE6D7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D78" w:rsidRDefault="00CE6D78">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D8E" w:rsidRDefault="00574D8E">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D78" w:rsidRDefault="00CE6D78">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D78" w:rsidRDefault="00CE6D7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190" w:rsidRDefault="00862190" w:rsidP="00CE6D78">
      <w:r>
        <w:separator/>
      </w:r>
    </w:p>
  </w:footnote>
  <w:footnote w:type="continuationSeparator" w:id="1">
    <w:p w:rsidR="00862190" w:rsidRDefault="00862190" w:rsidP="00CE6D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D78" w:rsidRDefault="00CE6D7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D8E" w:rsidRDefault="00574D8E">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D8E" w:rsidRDefault="00574D8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4098"/>
  </w:hdrShapeDefaults>
  <w:footnotePr>
    <w:footnote w:id="0"/>
    <w:footnote w:id="1"/>
  </w:footnotePr>
  <w:endnotePr>
    <w:endnote w:id="0"/>
    <w:endnote w:id="1"/>
  </w:endnotePr>
  <w:compat>
    <w:doNotExpandShiftReturn/>
    <w:useFELayout/>
  </w:compat>
  <w:rsids>
    <w:rsidRoot w:val="00172A27"/>
    <w:rsid w:val="000060E5"/>
    <w:rsid w:val="000234FF"/>
    <w:rsid w:val="00034FF6"/>
    <w:rsid w:val="00042EA6"/>
    <w:rsid w:val="00044BFF"/>
    <w:rsid w:val="0005474A"/>
    <w:rsid w:val="00061725"/>
    <w:rsid w:val="00072777"/>
    <w:rsid w:val="00092964"/>
    <w:rsid w:val="000A3711"/>
    <w:rsid w:val="000D5066"/>
    <w:rsid w:val="000F6191"/>
    <w:rsid w:val="00126952"/>
    <w:rsid w:val="00130CE8"/>
    <w:rsid w:val="00147EF5"/>
    <w:rsid w:val="00152201"/>
    <w:rsid w:val="00172A27"/>
    <w:rsid w:val="00176636"/>
    <w:rsid w:val="00183C84"/>
    <w:rsid w:val="001C05F9"/>
    <w:rsid w:val="001C5395"/>
    <w:rsid w:val="001E5D62"/>
    <w:rsid w:val="00211F26"/>
    <w:rsid w:val="00217F4D"/>
    <w:rsid w:val="002263FC"/>
    <w:rsid w:val="002A3AE9"/>
    <w:rsid w:val="002C196E"/>
    <w:rsid w:val="002D296F"/>
    <w:rsid w:val="002D75D0"/>
    <w:rsid w:val="002E795C"/>
    <w:rsid w:val="00305714"/>
    <w:rsid w:val="00313E71"/>
    <w:rsid w:val="00321CB7"/>
    <w:rsid w:val="003379A9"/>
    <w:rsid w:val="00350ADF"/>
    <w:rsid w:val="00355623"/>
    <w:rsid w:val="003A0419"/>
    <w:rsid w:val="003B761D"/>
    <w:rsid w:val="003C4D3B"/>
    <w:rsid w:val="003E09EA"/>
    <w:rsid w:val="003F0AC3"/>
    <w:rsid w:val="00456251"/>
    <w:rsid w:val="004C1607"/>
    <w:rsid w:val="004C1BE1"/>
    <w:rsid w:val="005069D8"/>
    <w:rsid w:val="00546F1E"/>
    <w:rsid w:val="00547591"/>
    <w:rsid w:val="0056162E"/>
    <w:rsid w:val="005625AC"/>
    <w:rsid w:val="00563B93"/>
    <w:rsid w:val="00567DB3"/>
    <w:rsid w:val="00574D8E"/>
    <w:rsid w:val="00575BEA"/>
    <w:rsid w:val="005B3434"/>
    <w:rsid w:val="005E2884"/>
    <w:rsid w:val="005E5050"/>
    <w:rsid w:val="005F2C7B"/>
    <w:rsid w:val="005F3B0D"/>
    <w:rsid w:val="005F4D04"/>
    <w:rsid w:val="005F7DA9"/>
    <w:rsid w:val="006054F8"/>
    <w:rsid w:val="0065419A"/>
    <w:rsid w:val="00654220"/>
    <w:rsid w:val="00663B94"/>
    <w:rsid w:val="00677F66"/>
    <w:rsid w:val="00692F99"/>
    <w:rsid w:val="006A0BBB"/>
    <w:rsid w:val="006C7F31"/>
    <w:rsid w:val="006E4E94"/>
    <w:rsid w:val="0071743D"/>
    <w:rsid w:val="00730BEE"/>
    <w:rsid w:val="0073101E"/>
    <w:rsid w:val="00735153"/>
    <w:rsid w:val="00745421"/>
    <w:rsid w:val="007541A5"/>
    <w:rsid w:val="007A4219"/>
    <w:rsid w:val="007A6944"/>
    <w:rsid w:val="007B30D4"/>
    <w:rsid w:val="007C1DDC"/>
    <w:rsid w:val="0080200C"/>
    <w:rsid w:val="00814110"/>
    <w:rsid w:val="0082561A"/>
    <w:rsid w:val="00833C28"/>
    <w:rsid w:val="008435E2"/>
    <w:rsid w:val="00846B2E"/>
    <w:rsid w:val="00853290"/>
    <w:rsid w:val="0085663C"/>
    <w:rsid w:val="00862190"/>
    <w:rsid w:val="00862600"/>
    <w:rsid w:val="008768AB"/>
    <w:rsid w:val="008847E4"/>
    <w:rsid w:val="008926F7"/>
    <w:rsid w:val="008A7510"/>
    <w:rsid w:val="008C78BD"/>
    <w:rsid w:val="008F0FA3"/>
    <w:rsid w:val="00900D90"/>
    <w:rsid w:val="009354D6"/>
    <w:rsid w:val="00970A98"/>
    <w:rsid w:val="009C781F"/>
    <w:rsid w:val="009D5296"/>
    <w:rsid w:val="009E6170"/>
    <w:rsid w:val="00A37451"/>
    <w:rsid w:val="00A4484F"/>
    <w:rsid w:val="00A53AFA"/>
    <w:rsid w:val="00A76D4B"/>
    <w:rsid w:val="00A77C47"/>
    <w:rsid w:val="00A9119C"/>
    <w:rsid w:val="00AA4549"/>
    <w:rsid w:val="00AC5144"/>
    <w:rsid w:val="00B13014"/>
    <w:rsid w:val="00B17559"/>
    <w:rsid w:val="00B33B19"/>
    <w:rsid w:val="00B404E6"/>
    <w:rsid w:val="00B4360D"/>
    <w:rsid w:val="00B61EA9"/>
    <w:rsid w:val="00B670D1"/>
    <w:rsid w:val="00B74DCA"/>
    <w:rsid w:val="00BC02E0"/>
    <w:rsid w:val="00BC3903"/>
    <w:rsid w:val="00BE47E0"/>
    <w:rsid w:val="00BF75C8"/>
    <w:rsid w:val="00C1762E"/>
    <w:rsid w:val="00C22DF9"/>
    <w:rsid w:val="00C25123"/>
    <w:rsid w:val="00C30A48"/>
    <w:rsid w:val="00C375A7"/>
    <w:rsid w:val="00C62DF8"/>
    <w:rsid w:val="00C640FB"/>
    <w:rsid w:val="00C9199E"/>
    <w:rsid w:val="00CB054E"/>
    <w:rsid w:val="00CB2D69"/>
    <w:rsid w:val="00CC52D7"/>
    <w:rsid w:val="00CE6D78"/>
    <w:rsid w:val="00D23AB6"/>
    <w:rsid w:val="00D42895"/>
    <w:rsid w:val="00D50309"/>
    <w:rsid w:val="00D51AA9"/>
    <w:rsid w:val="00D7264A"/>
    <w:rsid w:val="00D84E43"/>
    <w:rsid w:val="00D870DF"/>
    <w:rsid w:val="00DB0C2F"/>
    <w:rsid w:val="00DB3BF6"/>
    <w:rsid w:val="00DC11F7"/>
    <w:rsid w:val="00DC31CC"/>
    <w:rsid w:val="00DC728A"/>
    <w:rsid w:val="00DD2F3C"/>
    <w:rsid w:val="00DD6903"/>
    <w:rsid w:val="00E1059D"/>
    <w:rsid w:val="00E155DF"/>
    <w:rsid w:val="00E246E1"/>
    <w:rsid w:val="00E560F1"/>
    <w:rsid w:val="00E944FA"/>
    <w:rsid w:val="00E9797A"/>
    <w:rsid w:val="00EA7ABC"/>
    <w:rsid w:val="00EB2746"/>
    <w:rsid w:val="00ED3675"/>
    <w:rsid w:val="00EE0436"/>
    <w:rsid w:val="00EF0617"/>
    <w:rsid w:val="00EF76A2"/>
    <w:rsid w:val="00F1465C"/>
    <w:rsid w:val="00F41324"/>
    <w:rsid w:val="00F56521"/>
    <w:rsid w:val="00F57C12"/>
    <w:rsid w:val="00F609FD"/>
    <w:rsid w:val="00F859AB"/>
    <w:rsid w:val="00F950D0"/>
    <w:rsid w:val="00FA2C26"/>
    <w:rsid w:val="030F2BA7"/>
    <w:rsid w:val="04240CEE"/>
    <w:rsid w:val="065551D3"/>
    <w:rsid w:val="06C37561"/>
    <w:rsid w:val="0A236A5A"/>
    <w:rsid w:val="0BA075C8"/>
    <w:rsid w:val="0CAB045E"/>
    <w:rsid w:val="0DCD6E53"/>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2DAC652D"/>
    <w:rsid w:val="32955A2A"/>
    <w:rsid w:val="350229F7"/>
    <w:rsid w:val="36341C31"/>
    <w:rsid w:val="368076E6"/>
    <w:rsid w:val="378F5AE0"/>
    <w:rsid w:val="37F709A6"/>
    <w:rsid w:val="39E872E9"/>
    <w:rsid w:val="39FF2E40"/>
    <w:rsid w:val="3ABE1FB8"/>
    <w:rsid w:val="3C753CC7"/>
    <w:rsid w:val="3F2C3B54"/>
    <w:rsid w:val="40990310"/>
    <w:rsid w:val="445266FF"/>
    <w:rsid w:val="44F30C78"/>
    <w:rsid w:val="459870AF"/>
    <w:rsid w:val="45ED49CE"/>
    <w:rsid w:val="46F0109E"/>
    <w:rsid w:val="47475A63"/>
    <w:rsid w:val="4BCA232B"/>
    <w:rsid w:val="4E276A76"/>
    <w:rsid w:val="506954C1"/>
    <w:rsid w:val="509017BA"/>
    <w:rsid w:val="51482FC3"/>
    <w:rsid w:val="52830253"/>
    <w:rsid w:val="541C469D"/>
    <w:rsid w:val="55F73C55"/>
    <w:rsid w:val="5617604A"/>
    <w:rsid w:val="59042243"/>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D527E0D"/>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D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E6D78"/>
    <w:pPr>
      <w:jc w:val="left"/>
    </w:pPr>
  </w:style>
  <w:style w:type="paragraph" w:styleId="a4">
    <w:name w:val="Balloon Text"/>
    <w:basedOn w:val="a"/>
    <w:link w:val="Char0"/>
    <w:uiPriority w:val="99"/>
    <w:unhideWhenUsed/>
    <w:qFormat/>
    <w:rsid w:val="00CE6D78"/>
    <w:rPr>
      <w:sz w:val="18"/>
      <w:szCs w:val="18"/>
    </w:rPr>
  </w:style>
  <w:style w:type="paragraph" w:styleId="a5">
    <w:name w:val="footer"/>
    <w:basedOn w:val="a"/>
    <w:link w:val="Char1"/>
    <w:uiPriority w:val="99"/>
    <w:unhideWhenUsed/>
    <w:qFormat/>
    <w:rsid w:val="00CE6D7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E6D78"/>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CE6D78"/>
    <w:pPr>
      <w:snapToGrid w:val="0"/>
      <w:jc w:val="left"/>
    </w:pPr>
    <w:rPr>
      <w:sz w:val="18"/>
    </w:rPr>
  </w:style>
  <w:style w:type="paragraph" w:styleId="a8">
    <w:name w:val="Normal (Web)"/>
    <w:basedOn w:val="a"/>
    <w:qFormat/>
    <w:rsid w:val="00CE6D78"/>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CE6D78"/>
    <w:rPr>
      <w:b/>
      <w:bCs/>
    </w:rPr>
  </w:style>
  <w:style w:type="character" w:styleId="aa">
    <w:name w:val="page number"/>
    <w:basedOn w:val="a0"/>
    <w:uiPriority w:val="99"/>
    <w:unhideWhenUsed/>
    <w:qFormat/>
    <w:rsid w:val="00CE6D78"/>
  </w:style>
  <w:style w:type="character" w:styleId="ab">
    <w:name w:val="annotation reference"/>
    <w:uiPriority w:val="99"/>
    <w:unhideWhenUsed/>
    <w:qFormat/>
    <w:rsid w:val="00CE6D78"/>
    <w:rPr>
      <w:sz w:val="21"/>
      <w:szCs w:val="21"/>
    </w:rPr>
  </w:style>
  <w:style w:type="character" w:styleId="ac">
    <w:name w:val="footnote reference"/>
    <w:uiPriority w:val="99"/>
    <w:unhideWhenUsed/>
    <w:qFormat/>
    <w:rsid w:val="00CE6D78"/>
    <w:rPr>
      <w:vertAlign w:val="superscript"/>
    </w:rPr>
  </w:style>
  <w:style w:type="character" w:customStyle="1" w:styleId="Char0">
    <w:name w:val="批注框文本 Char"/>
    <w:link w:val="a4"/>
    <w:uiPriority w:val="99"/>
    <w:semiHidden/>
    <w:qFormat/>
    <w:rsid w:val="00CE6D78"/>
    <w:rPr>
      <w:kern w:val="2"/>
      <w:sz w:val="18"/>
      <w:szCs w:val="18"/>
    </w:rPr>
  </w:style>
  <w:style w:type="character" w:customStyle="1" w:styleId="Char2">
    <w:name w:val="页眉 Char"/>
    <w:link w:val="a6"/>
    <w:uiPriority w:val="99"/>
    <w:semiHidden/>
    <w:qFormat/>
    <w:locked/>
    <w:rsid w:val="00CE6D78"/>
    <w:rPr>
      <w:rFonts w:ascii="Times New Roman" w:hAnsi="Times New Roman" w:cs="Times New Roman" w:hint="default"/>
      <w:sz w:val="18"/>
      <w:szCs w:val="18"/>
    </w:rPr>
  </w:style>
  <w:style w:type="character" w:customStyle="1" w:styleId="Char3">
    <w:name w:val="批注主题 Char"/>
    <w:link w:val="a9"/>
    <w:uiPriority w:val="99"/>
    <w:semiHidden/>
    <w:qFormat/>
    <w:rsid w:val="00CE6D78"/>
    <w:rPr>
      <w:b/>
      <w:bCs/>
      <w:kern w:val="2"/>
      <w:sz w:val="21"/>
      <w:szCs w:val="22"/>
    </w:rPr>
  </w:style>
  <w:style w:type="character" w:customStyle="1" w:styleId="Char1">
    <w:name w:val="页脚 Char"/>
    <w:link w:val="a5"/>
    <w:uiPriority w:val="99"/>
    <w:semiHidden/>
    <w:qFormat/>
    <w:locked/>
    <w:rsid w:val="00CE6D78"/>
    <w:rPr>
      <w:rFonts w:ascii="Times New Roman" w:hAnsi="Times New Roman" w:cs="Times New Roman" w:hint="default"/>
      <w:sz w:val="18"/>
      <w:szCs w:val="18"/>
    </w:rPr>
  </w:style>
  <w:style w:type="character" w:customStyle="1" w:styleId="Char">
    <w:name w:val="批注文字 Char"/>
    <w:link w:val="a3"/>
    <w:uiPriority w:val="99"/>
    <w:qFormat/>
    <w:rsid w:val="00CE6D78"/>
    <w:rPr>
      <w:kern w:val="2"/>
      <w:sz w:val="21"/>
      <w:szCs w:val="22"/>
    </w:rPr>
  </w:style>
  <w:style w:type="paragraph" w:customStyle="1" w:styleId="zhongyaotishi">
    <w:name w:val="zhongyaotishi"/>
    <w:basedOn w:val="a"/>
    <w:qFormat/>
    <w:rsid w:val="00CE6D78"/>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CE6D78"/>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CE6D7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CE6D7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CE6D78"/>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CE6D78"/>
    <w:pPr>
      <w:widowControl w:val="0"/>
      <w:jc w:val="center"/>
    </w:pPr>
    <w:rPr>
      <w:kern w:val="2"/>
      <w:sz w:val="33"/>
      <w:szCs w:val="22"/>
    </w:rPr>
  </w:style>
  <w:style w:type="paragraph" w:customStyle="1" w:styleId="biaogeleft">
    <w:name w:val="biaoge_left"/>
    <w:basedOn w:val="a"/>
    <w:qFormat/>
    <w:rsid w:val="00CE6D78"/>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CE6D78"/>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CE6D78"/>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CE6D78"/>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CE6D78"/>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CE6D78"/>
    <w:pPr>
      <w:widowControl w:val="0"/>
    </w:pPr>
    <w:rPr>
      <w:kern w:val="2"/>
      <w:sz w:val="21"/>
      <w:szCs w:val="22"/>
    </w:rPr>
  </w:style>
  <w:style w:type="paragraph" w:customStyle="1" w:styleId="neirong">
    <w:name w:val="neirong"/>
    <w:basedOn w:val="a"/>
    <w:qFormat/>
    <w:rsid w:val="00CE6D78"/>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911</Words>
  <Characters>5199</Characters>
  <Application>Microsoft Office Word</Application>
  <DocSecurity>0</DocSecurity>
  <Lines>43</Lines>
  <Paragraphs>12</Paragraphs>
  <ScaleCrop>false</ScaleCrop>
  <Company>微软中国</Company>
  <LinksUpToDate>false</LinksUpToDate>
  <CharactersWithSpaces>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32</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BBD8BAA2409C4BFFA5B3B3BC010C6822</vt:lpwstr>
  </property>
</Properties>
</file>