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C40" w:rsidRDefault="00093C40">
      <w:pPr>
        <w:pStyle w:val="dazhangjie"/>
        <w:rPr>
          <w:b/>
          <w:bCs/>
          <w:color w:val="000000"/>
        </w:rPr>
      </w:pPr>
    </w:p>
    <w:p w:rsidR="00093C40" w:rsidRDefault="00093C40">
      <w:pPr>
        <w:pStyle w:val="dazhangjie"/>
        <w:rPr>
          <w:b/>
          <w:bCs/>
          <w:color w:val="000000"/>
        </w:rPr>
      </w:pPr>
    </w:p>
    <w:p w:rsidR="00093C40" w:rsidRDefault="00093C40">
      <w:pPr>
        <w:pStyle w:val="dazhangjie"/>
        <w:rPr>
          <w:b/>
          <w:bCs/>
          <w:color w:val="000000"/>
        </w:rPr>
      </w:pPr>
    </w:p>
    <w:p w:rsidR="00093C40" w:rsidRDefault="00B61615">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1907</w:t>
      </w:r>
      <w:r>
        <w:rPr>
          <w:rFonts w:ascii="黑体" w:eastAsia="黑体" w:hAnsi="黑体" w:hint="eastAsia"/>
          <w:b/>
          <w:bCs/>
          <w:sz w:val="36"/>
        </w:rPr>
        <w:t>一年定开公募人民币理财产品</w:t>
      </w:r>
    </w:p>
    <w:p w:rsidR="00093C40" w:rsidRDefault="00B61615">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rPr>
          <w:rFonts w:ascii="黑体" w:eastAsia="黑体" w:hAnsi="黑体"/>
          <w:b/>
          <w:bCs/>
          <w:color w:val="000000"/>
          <w:sz w:val="36"/>
        </w:rPr>
      </w:pPr>
    </w:p>
    <w:p w:rsidR="00093C40" w:rsidRDefault="00093C40">
      <w:pPr>
        <w:pStyle w:val="dazhangjie"/>
        <w:spacing w:before="240" w:after="120"/>
        <w:ind w:left="0"/>
        <w:jc w:val="both"/>
        <w:rPr>
          <w:rFonts w:ascii="黑体" w:eastAsia="黑体" w:hAnsi="黑体"/>
          <w:b/>
          <w:bCs/>
          <w:color w:val="000000"/>
          <w:sz w:val="36"/>
        </w:rPr>
      </w:pPr>
    </w:p>
    <w:p w:rsidR="00093C40" w:rsidRDefault="00B61615">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093C40" w:rsidRDefault="00B61615">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093C40" w:rsidRDefault="00093C40">
      <w:pPr>
        <w:widowControl/>
        <w:jc w:val="left"/>
        <w:rPr>
          <w:rFonts w:ascii="宋体" w:hAnsi="宋体" w:cs="宋体"/>
          <w:color w:val="000000"/>
          <w:kern w:val="0"/>
          <w:sz w:val="24"/>
          <w:szCs w:val="24"/>
        </w:rPr>
        <w:sectPr w:rsidR="00093C4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093C40" w:rsidRDefault="00093C40">
      <w:pPr>
        <w:widowControl/>
        <w:jc w:val="left"/>
        <w:rPr>
          <w:rFonts w:ascii="宋体" w:hAnsi="宋体" w:cs="宋体"/>
          <w:color w:val="000000"/>
          <w:kern w:val="0"/>
          <w:sz w:val="24"/>
          <w:szCs w:val="24"/>
        </w:rPr>
      </w:pPr>
    </w:p>
    <w:p w:rsidR="00093C40" w:rsidRDefault="00B61615">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093C40" w:rsidRDefault="00093C40">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rPr>
              <w:t>南京银行珠联璧合安稳</w:t>
            </w:r>
            <w:r>
              <w:rPr>
                <w:rFonts w:hint="eastAsia"/>
              </w:rPr>
              <w:t>1907</w:t>
            </w:r>
            <w:r>
              <w:rPr>
                <w:rFonts w:hint="eastAsia"/>
              </w:rPr>
              <w:t>一年定开公募人民币理财产品</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pPr>
            <w:r>
              <w:t>C1086919000008</w:t>
            </w:r>
            <w:r>
              <w:rPr>
                <w:rFonts w:hint="eastAsia"/>
              </w:rPr>
              <w:t>（投资者可依据该编码在中国理财网</w:t>
            </w:r>
            <w:r>
              <w:rPr>
                <w:rFonts w:hint="eastAsia"/>
              </w:rPr>
              <w:t>www.chinawealth.com.cn</w:t>
            </w:r>
            <w:r>
              <w:rPr>
                <w:rFonts w:hint="eastAsia"/>
              </w:rPr>
              <w:t>查询理财产品相关信息）</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rPr>
              <w:t>开放式</w:t>
            </w:r>
            <w:r>
              <w:rPr>
                <w:rFonts w:hint="eastAsia"/>
              </w:rPr>
              <w:t>净值型</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C01733">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rPr>
              <w:t>2019</w:t>
            </w:r>
            <w:r>
              <w:rPr>
                <w:rFonts w:hint="eastAsia"/>
              </w:rPr>
              <w:t>年</w:t>
            </w:r>
            <w:r>
              <w:rPr>
                <w:rFonts w:hint="eastAsia"/>
              </w:rPr>
              <w:t>07</w:t>
            </w:r>
            <w:r>
              <w:rPr>
                <w:rFonts w:hint="eastAsia"/>
              </w:rPr>
              <w:t>月</w:t>
            </w:r>
            <w:r>
              <w:rPr>
                <w:rFonts w:hint="eastAsia"/>
              </w:rPr>
              <w:t>31</w:t>
            </w:r>
            <w:r>
              <w:rPr>
                <w:rFonts w:hint="eastAsia"/>
              </w:rPr>
              <w:t>日</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highlight w:val="yellow"/>
              </w:rPr>
            </w:pPr>
            <w:r>
              <w:rPr>
                <w:rFonts w:hint="eastAsia"/>
              </w:rPr>
              <w:t>940,606,890.01</w:t>
            </w:r>
            <w:r>
              <w:rPr>
                <w:rFonts w:hint="eastAsia"/>
              </w:rPr>
              <w:t>份</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102.27%</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b/>
                <w:color w:val="000000"/>
              </w:rPr>
            </w:pPr>
            <w:r>
              <w:rPr>
                <w:rFonts w:hint="eastAsia"/>
              </w:rPr>
              <w:t>南京银行股份有限公司</w:t>
            </w:r>
          </w:p>
        </w:tc>
      </w:tr>
      <w:tr w:rsidR="00093C40">
        <w:tc>
          <w:tcPr>
            <w:tcW w:w="281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left"/>
              <w:wordWrap w:val="0"/>
              <w:rPr>
                <w:color w:val="000000"/>
              </w:rPr>
            </w:pPr>
            <w:r>
              <w:rPr>
                <w:rFonts w:hint="eastAsia"/>
              </w:rPr>
              <w:t>南京银行股份有限公司</w:t>
            </w:r>
          </w:p>
        </w:tc>
      </w:tr>
    </w:tbl>
    <w:p w:rsidR="00093C40" w:rsidRDefault="00093C40">
      <w:pPr>
        <w:widowControl/>
        <w:jc w:val="left"/>
        <w:rPr>
          <w:rFonts w:ascii="宋体" w:hAnsi="宋体" w:cs="宋体"/>
          <w:color w:val="000000"/>
          <w:kern w:val="0"/>
          <w:sz w:val="24"/>
          <w:szCs w:val="24"/>
        </w:rPr>
      </w:pPr>
    </w:p>
    <w:p w:rsidR="00093C40" w:rsidRDefault="00093C40">
      <w:pPr>
        <w:pStyle w:val="dazhangjie"/>
        <w:rPr>
          <w:rFonts w:hAnsi="Calibri"/>
          <w:b/>
          <w:color w:val="000000"/>
        </w:rPr>
      </w:pPr>
    </w:p>
    <w:p w:rsidR="00093C40" w:rsidRDefault="00B61615">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093C40" w:rsidRDefault="00093C40">
      <w:pPr>
        <w:widowControl/>
        <w:jc w:val="left"/>
        <w:rPr>
          <w:rFonts w:ascii="宋体" w:hAnsi="宋体" w:cs="宋体"/>
          <w:color w:val="000000"/>
          <w:kern w:val="0"/>
          <w:sz w:val="24"/>
          <w:szCs w:val="24"/>
        </w:rPr>
      </w:pPr>
    </w:p>
    <w:p w:rsidR="00093C40" w:rsidRDefault="00B61615">
      <w:pPr>
        <w:pStyle w:val="zhangjiep"/>
        <w:rPr>
          <w:color w:val="000000"/>
        </w:rPr>
      </w:pPr>
      <w:r>
        <w:rPr>
          <w:rFonts w:hint="eastAsia"/>
          <w:b/>
          <w:bCs/>
          <w:color w:val="000000"/>
        </w:rPr>
        <w:t xml:space="preserve">2.1 </w:t>
      </w:r>
      <w:r>
        <w:rPr>
          <w:rFonts w:hint="eastAsia"/>
          <w:b/>
          <w:bCs/>
          <w:color w:val="000000"/>
        </w:rPr>
        <w:t>主要财务指标</w:t>
      </w:r>
    </w:p>
    <w:p w:rsidR="00093C40" w:rsidRDefault="00B61615">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093C40">
        <w:tc>
          <w:tcPr>
            <w:tcW w:w="5220"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093C40">
        <w:tc>
          <w:tcPr>
            <w:tcW w:w="5220"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right"/>
              <w:jc w:val="center"/>
              <w:rPr>
                <w:color w:val="000000"/>
                <w:highlight w:val="yellow"/>
              </w:rPr>
            </w:pPr>
            <w:r>
              <w:rPr>
                <w:rFonts w:hint="eastAsia"/>
              </w:rPr>
              <w:t>958,067,613.38</w:t>
            </w:r>
          </w:p>
        </w:tc>
      </w:tr>
      <w:tr w:rsidR="00093C40">
        <w:tc>
          <w:tcPr>
            <w:tcW w:w="5220"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right"/>
              <w:jc w:val="center"/>
              <w:rPr>
                <w:color w:val="000000"/>
                <w:highlight w:val="yellow"/>
              </w:rPr>
            </w:pPr>
            <w:r>
              <w:rPr>
                <w:rFonts w:hint="eastAsia"/>
              </w:rPr>
              <w:t>1.0186</w:t>
            </w:r>
          </w:p>
        </w:tc>
      </w:tr>
      <w:tr w:rsidR="00093C40">
        <w:tc>
          <w:tcPr>
            <w:tcW w:w="5220"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right"/>
              <w:jc w:val="center"/>
              <w:rPr>
                <w:color w:val="000000"/>
                <w:highlight w:val="yellow"/>
              </w:rPr>
            </w:pPr>
            <w:r>
              <w:rPr>
                <w:color w:val="000000"/>
              </w:rPr>
              <w:t>1.0625</w:t>
            </w:r>
          </w:p>
        </w:tc>
      </w:tr>
      <w:tr w:rsidR="00093C40">
        <w:tc>
          <w:tcPr>
            <w:tcW w:w="5220" w:type="dxa"/>
            <w:vAlign w:val="center"/>
          </w:tcPr>
          <w:p w:rsidR="00093C40" w:rsidRDefault="00093C40">
            <w:pPr>
              <w:widowControl/>
              <w:jc w:val="left"/>
              <w:rPr>
                <w:rFonts w:ascii="宋体" w:hAnsi="宋体" w:cs="宋体"/>
                <w:color w:val="000000"/>
                <w:kern w:val="0"/>
                <w:sz w:val="24"/>
                <w:szCs w:val="24"/>
              </w:rPr>
            </w:pPr>
          </w:p>
        </w:tc>
        <w:tc>
          <w:tcPr>
            <w:tcW w:w="3825" w:type="dxa"/>
            <w:vAlign w:val="center"/>
          </w:tcPr>
          <w:p w:rsidR="00093C40" w:rsidRDefault="00093C40">
            <w:pPr>
              <w:widowControl/>
              <w:jc w:val="left"/>
              <w:rPr>
                <w:color w:val="000000"/>
                <w:kern w:val="0"/>
                <w:sz w:val="20"/>
                <w:szCs w:val="20"/>
              </w:rPr>
            </w:pPr>
          </w:p>
        </w:tc>
      </w:tr>
    </w:tbl>
    <w:p w:rsidR="00093C40" w:rsidRDefault="00093C40">
      <w:pPr>
        <w:pStyle w:val="biaogeleft"/>
        <w:ind w:left="0"/>
        <w:rPr>
          <w:color w:val="000000"/>
        </w:rPr>
      </w:pPr>
    </w:p>
    <w:p w:rsidR="00093C40" w:rsidRDefault="00093C40">
      <w:pPr>
        <w:widowControl/>
        <w:jc w:val="left"/>
        <w:rPr>
          <w:rFonts w:ascii="宋体" w:hAnsi="宋体" w:cs="宋体"/>
          <w:color w:val="000000"/>
          <w:kern w:val="0"/>
          <w:sz w:val="24"/>
          <w:szCs w:val="24"/>
        </w:rPr>
      </w:pPr>
    </w:p>
    <w:p w:rsidR="00093C40" w:rsidRDefault="00B61615">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093C40" w:rsidRDefault="00B61615">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093C40" w:rsidRDefault="00B61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093C40" w:rsidRDefault="00B61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w:t>
      </w:r>
      <w:r>
        <w:rPr>
          <w:rFonts w:asciiTheme="minorEastAsia" w:eastAsiaTheme="minorEastAsia" w:hAnsiTheme="minorEastAsia" w:hint="eastAsia"/>
          <w:sz w:val="24"/>
          <w:szCs w:val="24"/>
        </w:rPr>
        <w:t>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093C40" w:rsidRDefault="00B61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093C40" w:rsidRDefault="00B61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w:t>
      </w:r>
      <w:r>
        <w:rPr>
          <w:rFonts w:asciiTheme="minorEastAsia" w:eastAsiaTheme="minorEastAsia" w:hAnsiTheme="minorEastAsia" w:hint="eastAsia"/>
          <w:sz w:val="24"/>
          <w:szCs w:val="24"/>
        </w:rPr>
        <w:t>配置，选择性价比较优的城投信用债及非标资产作为主要底仓，适当利用杠杆增厚收益。后续将在严格控制风险的基础上，精选个券，充分发挥票息策略优势，辅以杠杆增厚收益。</w:t>
      </w:r>
    </w:p>
    <w:p w:rsidR="00093C40" w:rsidRDefault="00B61615">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093C40" w:rsidRDefault="00B61615">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093C40" w:rsidRDefault="00B61615">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093C40" w:rsidRDefault="00B61615">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w:t>
      </w:r>
      <w:r>
        <w:rPr>
          <w:rFonts w:hint="eastAsia"/>
        </w:rPr>
        <w:t>86</w:t>
      </w:r>
      <w:r>
        <w:rPr>
          <w:rFonts w:hint="eastAsia"/>
          <w:color w:val="000000"/>
        </w:rPr>
        <w:t>元。</w:t>
      </w:r>
    </w:p>
    <w:p w:rsidR="00093C40" w:rsidRDefault="00093C40">
      <w:pPr>
        <w:widowControl/>
        <w:jc w:val="left"/>
        <w:rPr>
          <w:rFonts w:ascii="宋体" w:hAnsi="宋体" w:cs="宋体"/>
          <w:color w:val="000000"/>
          <w:kern w:val="0"/>
          <w:sz w:val="24"/>
          <w:szCs w:val="24"/>
        </w:rPr>
      </w:pPr>
    </w:p>
    <w:p w:rsidR="00093C40" w:rsidRDefault="00B61615">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093C40" w:rsidRDefault="00093C40">
      <w:pPr>
        <w:pStyle w:val="dazhangjie"/>
        <w:rPr>
          <w:rFonts w:hAnsi="Calibri"/>
          <w:b/>
          <w:color w:val="000000"/>
        </w:rPr>
      </w:pPr>
    </w:p>
    <w:p w:rsidR="00093C40" w:rsidRDefault="00B61615">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093C40" w:rsidRDefault="00B61615">
      <w:pPr>
        <w:pStyle w:val="biaogeleft"/>
        <w:spacing w:line="360" w:lineRule="auto"/>
        <w:ind w:firstLineChars="200" w:firstLine="480"/>
        <w:rPr>
          <w:rFonts w:cs="Times New Roman"/>
          <w:b/>
          <w:color w:val="000000"/>
        </w:rPr>
      </w:pPr>
      <w:r>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01</w:t>
      </w:r>
      <w:r>
        <w:t>月</w:t>
      </w:r>
      <w:r>
        <w:t>01</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093C40" w:rsidRDefault="00B61615">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093C40" w:rsidRDefault="00B61615">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093C40" w:rsidRDefault="00B61615">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093C40" w:rsidRDefault="00B61615">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w:t>
      </w:r>
      <w:r>
        <w:t>投资组合报告等信息真实、准确、完整，未发现有损害产品持有人利益的行为。</w:t>
      </w:r>
    </w:p>
    <w:bookmarkEnd w:id="1"/>
    <w:p w:rsidR="00093C40" w:rsidRDefault="00093C40">
      <w:pPr>
        <w:pStyle w:val="biaogeleft"/>
        <w:spacing w:line="360" w:lineRule="auto"/>
        <w:ind w:firstLine="480"/>
        <w:rPr>
          <w:color w:val="000000"/>
        </w:rPr>
      </w:pPr>
    </w:p>
    <w:p w:rsidR="00093C40" w:rsidRDefault="00B61615">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093C40" w:rsidRDefault="00093C40">
      <w:pPr>
        <w:widowControl/>
        <w:jc w:val="left"/>
        <w:rPr>
          <w:rFonts w:ascii="宋体" w:hAnsi="宋体" w:cs="宋体"/>
          <w:kern w:val="0"/>
          <w:sz w:val="24"/>
          <w:szCs w:val="24"/>
        </w:rPr>
      </w:pPr>
    </w:p>
    <w:p w:rsidR="00093C40" w:rsidRDefault="00B61615">
      <w:pPr>
        <w:pStyle w:val="zhangjiep"/>
      </w:pPr>
      <w:bookmarkStart w:id="4" w:name="_Toc61271615"/>
      <w:r>
        <w:rPr>
          <w:rFonts w:hint="eastAsia"/>
          <w:b/>
          <w:bCs/>
        </w:rPr>
        <w:t xml:space="preserve">5.1 </w:t>
      </w:r>
      <w:r>
        <w:rPr>
          <w:rFonts w:hint="eastAsia"/>
          <w:b/>
          <w:bCs/>
        </w:rPr>
        <w:t>资产负债表</w:t>
      </w:r>
      <w:bookmarkEnd w:id="4"/>
    </w:p>
    <w:p w:rsidR="00093C40" w:rsidRDefault="00B61615">
      <w:pPr>
        <w:pStyle w:val="biaogeleft"/>
      </w:pPr>
      <w:r>
        <w:rPr>
          <w:rFonts w:hint="eastAsia"/>
        </w:rPr>
        <w:t>会计主体：南京银行珠联璧合安稳</w:t>
      </w:r>
      <w:r>
        <w:rPr>
          <w:rFonts w:hint="eastAsia"/>
        </w:rPr>
        <w:t>1907</w:t>
      </w:r>
      <w:r>
        <w:rPr>
          <w:rFonts w:hint="eastAsia"/>
        </w:rPr>
        <w:t>一年定开公募人民币理财产品</w:t>
      </w:r>
    </w:p>
    <w:p w:rsidR="00093C40" w:rsidRDefault="00B61615">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093C40" w:rsidRDefault="00B6161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Ansi="Calibri" w:hint="eastAsia"/>
                <w:color w:val="000000"/>
              </w:rPr>
              <w:t>本期末</w:t>
            </w:r>
            <w:r>
              <w:rPr>
                <w:rFonts w:hAnsi="Calibri" w:hint="eastAsia"/>
                <w:color w:val="000000"/>
              </w:rPr>
              <w:t> </w:t>
            </w:r>
          </w:p>
          <w:p w:rsidR="00093C40" w:rsidRDefault="00B61615">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Ansi="Calibri" w:hint="eastAsia"/>
                <w:color w:val="000000"/>
              </w:rPr>
              <w:t>上年度末</w:t>
            </w:r>
            <w:r>
              <w:rPr>
                <w:rFonts w:hAnsi="Calibri" w:hint="eastAsia"/>
                <w:color w:val="000000"/>
              </w:rPr>
              <w:t> </w:t>
            </w:r>
          </w:p>
          <w:p w:rsidR="00093C40" w:rsidRDefault="00B61615">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093C40">
            <w:pPr>
              <w:rPr>
                <w:rFonts w:ascii="宋体" w:hAnsi="宋体" w:cs="宋体"/>
                <w:kern w:val="0"/>
                <w:sz w:val="24"/>
                <w:szCs w:val="24"/>
              </w:rPr>
            </w:pP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3,470,376.25</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1,309,547.98</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1.01</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696,586,199.33</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896,274,132.43</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696,586,199.33</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896,274,132.43</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29,800,871.32</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30,499,772.73</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250,000,000.00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979,857,446.90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928,083,454.15</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本期末</w:t>
            </w:r>
            <w:r>
              <w:rPr>
                <w:rFonts w:hint="eastAsia"/>
              </w:rPr>
              <w:t> </w:t>
            </w:r>
          </w:p>
          <w:p w:rsidR="00093C40" w:rsidRDefault="00B61615">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上年度末</w:t>
            </w:r>
            <w:r>
              <w:rPr>
                <w:rFonts w:hint="eastAsia"/>
              </w:rPr>
              <w:t> </w:t>
            </w:r>
          </w:p>
          <w:p w:rsidR="00093C40" w:rsidRDefault="00B61615">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 </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19,999,850.00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32,829,830.75</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786,408.78</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1,479,417.94</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52,426.98</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73,970.82</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524,272.86</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739,708.20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1,168.15</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1,912.65</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387,153.46</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369,239.73</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38,553.29</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19,033.56</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21,789,833.52</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35,513,113.65</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093C40">
            <w:pPr>
              <w:rPr>
                <w:rFonts w:ascii="宋体" w:hAnsi="宋体" w:cs="宋体"/>
                <w:kern w:val="0"/>
                <w:sz w:val="24"/>
                <w:szCs w:val="24"/>
              </w:rPr>
            </w:pP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940,606,890.01</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876,603,000.00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0.00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17,460,723.37</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15,967,340.50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958,067,613.38</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892,570,340.50</w:t>
            </w:r>
          </w:p>
        </w:tc>
      </w:tr>
      <w:tr w:rsidR="00093C40">
        <w:tc>
          <w:tcPr>
            <w:tcW w:w="260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979,857,446.90</w:t>
            </w:r>
          </w:p>
        </w:tc>
        <w:tc>
          <w:tcPr>
            <w:tcW w:w="2620"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cs="Arial" w:hint="eastAsia"/>
                <w:color w:val="000000"/>
              </w:rPr>
              <w:t>928,083,454.15</w:t>
            </w:r>
          </w:p>
        </w:tc>
      </w:tr>
    </w:tbl>
    <w:p w:rsidR="00093C40" w:rsidRDefault="00093C40">
      <w:pPr>
        <w:widowControl/>
        <w:jc w:val="left"/>
        <w:rPr>
          <w:rFonts w:ascii="宋体" w:hAnsi="宋体" w:cs="宋体"/>
          <w:kern w:val="0"/>
          <w:sz w:val="24"/>
          <w:szCs w:val="24"/>
        </w:rPr>
      </w:pPr>
    </w:p>
    <w:p w:rsidR="00093C40" w:rsidRDefault="00B61615">
      <w:pPr>
        <w:pStyle w:val="zhangjiep"/>
      </w:pPr>
      <w:bookmarkStart w:id="5" w:name="_Toc61426352"/>
      <w:r>
        <w:rPr>
          <w:rFonts w:hint="eastAsia"/>
          <w:b/>
          <w:bCs/>
        </w:rPr>
        <w:t xml:space="preserve">5.2 </w:t>
      </w:r>
      <w:r>
        <w:rPr>
          <w:rFonts w:hint="eastAsia"/>
          <w:b/>
          <w:bCs/>
        </w:rPr>
        <w:t>利润表</w:t>
      </w:r>
      <w:bookmarkEnd w:id="5"/>
    </w:p>
    <w:p w:rsidR="00093C40" w:rsidRDefault="00B61615">
      <w:pPr>
        <w:pStyle w:val="biaogeleft"/>
      </w:pPr>
      <w:r>
        <w:rPr>
          <w:rFonts w:hint="eastAsia"/>
        </w:rPr>
        <w:t>会计主体：南京银行珠联璧合安稳</w:t>
      </w:r>
      <w:r>
        <w:rPr>
          <w:rFonts w:hint="eastAsia"/>
        </w:rPr>
        <w:t>1907</w:t>
      </w:r>
      <w:r>
        <w:rPr>
          <w:rFonts w:hint="eastAsia"/>
        </w:rPr>
        <w:t>一年定开公募人民币理财产品</w:t>
      </w:r>
    </w:p>
    <w:p w:rsidR="00093C40" w:rsidRDefault="00B61615">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093C40" w:rsidRDefault="00B6161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093C40">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093C40">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093C40" w:rsidRDefault="00093C40">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093C40" w:rsidRDefault="00093C40">
            <w:pPr>
              <w:widowControl/>
              <w:jc w:val="left"/>
              <w:rPr>
                <w:rFonts w:asciiTheme="minorEastAsia" w:eastAsiaTheme="minorEastAsia" w:hAnsiTheme="minorEastAsia" w:cs="宋体"/>
                <w:kern w:val="0"/>
                <w:sz w:val="24"/>
                <w:szCs w:val="24"/>
              </w:rPr>
            </w:pP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b/>
                <w:bCs/>
                <w:color w:val="000000"/>
              </w:rPr>
              <w:t>46,487,456.87</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46,108,430.73</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31,752.66</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46,037,112.28</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39,565.79</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ascii="Arial" w:hAnsi="Arial" w:cs="Arial"/>
                <w:color w:val="000000"/>
              </w:rPr>
              <w:t xml:space="preserve">　</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379,026.14</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390,396.92</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-11,370.78</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 xml:space="preserve">　</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b/>
                <w:bCs/>
                <w:color w:val="000000"/>
              </w:rPr>
              <w:t>6,474,512.88</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3,216,488.91</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180,741.67</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1,807,417.13</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1,070,004.23</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1,070,004.23</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162,660.94</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color w:val="000000"/>
              </w:rPr>
              <w:t>37,200.00</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b/>
                <w:bCs/>
                <w:color w:val="000000"/>
              </w:rPr>
              <w:t>40,012,943.99</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ascii="Arial" w:hAnsi="Arial" w:cs="Arial"/>
                <w:color w:val="000000"/>
              </w:rPr>
              <w:t xml:space="preserve">　</w:t>
            </w:r>
          </w:p>
        </w:tc>
      </w:tr>
      <w:tr w:rsidR="00093C40">
        <w:tc>
          <w:tcPr>
            <w:tcW w:w="2969"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rPr>
                <w:rFonts w:asciiTheme="minorEastAsia" w:eastAsiaTheme="minorEastAsia" w:hAnsiTheme="minorEastAsia"/>
              </w:rPr>
            </w:pPr>
            <w:r>
              <w:rPr>
                <w:rFonts w:cs="Arial" w:hint="eastAsia"/>
                <w:b/>
                <w:bCs/>
                <w:color w:val="000000"/>
              </w:rPr>
              <w:t>40,012,943.99</w:t>
            </w:r>
          </w:p>
        </w:tc>
      </w:tr>
    </w:tbl>
    <w:p w:rsidR="00093C40" w:rsidRDefault="00093C40">
      <w:pPr>
        <w:widowControl/>
        <w:jc w:val="left"/>
        <w:rPr>
          <w:rFonts w:ascii="宋体" w:hAnsi="宋体" w:cs="宋体"/>
          <w:kern w:val="0"/>
          <w:sz w:val="24"/>
          <w:szCs w:val="24"/>
        </w:rPr>
      </w:pPr>
    </w:p>
    <w:p w:rsidR="00093C40" w:rsidRDefault="00B61615">
      <w:pPr>
        <w:pStyle w:val="zhangjiep"/>
      </w:pPr>
      <w:bookmarkStart w:id="6" w:name="_Toc61426353"/>
      <w:r>
        <w:rPr>
          <w:rFonts w:hint="eastAsia"/>
          <w:b/>
          <w:bCs/>
        </w:rPr>
        <w:t xml:space="preserve">5.3 </w:t>
      </w:r>
      <w:r>
        <w:rPr>
          <w:rFonts w:hint="eastAsia"/>
          <w:b/>
          <w:bCs/>
        </w:rPr>
        <w:t>所有者权益（基金净值）变动表</w:t>
      </w:r>
      <w:bookmarkEnd w:id="6"/>
    </w:p>
    <w:p w:rsidR="00093C40" w:rsidRDefault="00B61615">
      <w:pPr>
        <w:pStyle w:val="biaogeleft"/>
      </w:pPr>
      <w:r>
        <w:rPr>
          <w:rFonts w:hint="eastAsia"/>
        </w:rPr>
        <w:t>会计主体：南京银行珠联璧合安稳</w:t>
      </w:r>
      <w:r>
        <w:rPr>
          <w:rFonts w:hint="eastAsia"/>
        </w:rPr>
        <w:t>1907</w:t>
      </w:r>
      <w:r>
        <w:rPr>
          <w:rFonts w:hint="eastAsia"/>
        </w:rPr>
        <w:t>一年定开公募人民币理财产品</w:t>
      </w:r>
    </w:p>
    <w:p w:rsidR="00093C40" w:rsidRDefault="00B61615">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093C40" w:rsidRDefault="00B6161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093C4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本期</w:t>
            </w:r>
            <w:r>
              <w:rPr>
                <w:rFonts w:hint="eastAsia"/>
              </w:rPr>
              <w:t> </w:t>
            </w:r>
          </w:p>
          <w:p w:rsidR="00093C40" w:rsidRDefault="00B61615">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093C40">
        <w:tc>
          <w:tcPr>
            <w:tcW w:w="2116" w:type="dxa"/>
            <w:vMerge/>
            <w:tcBorders>
              <w:top w:val="single" w:sz="8" w:space="0" w:color="000000"/>
              <w:left w:val="single" w:sz="8" w:space="0" w:color="000000"/>
              <w:bottom w:val="single" w:sz="8" w:space="0" w:color="000000"/>
              <w:right w:val="single" w:sz="8" w:space="0" w:color="000000"/>
            </w:tcBorders>
            <w:vAlign w:val="center"/>
          </w:tcPr>
          <w:p w:rsidR="00093C40" w:rsidRDefault="00093C4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所有者权益合计</w:t>
            </w:r>
            <w:r>
              <w:rPr>
                <w:rFonts w:hint="eastAsia"/>
              </w:rPr>
              <w:t> </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876,603,000.00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15,967,340.50</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892,570,340.50</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40,012,943.99</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40,012,943.99</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64,003,890.01</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64,003,890.01</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514,060,000.00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514,060,000.00</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-450,056,109.99</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-450,056,109.99</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-38,519,561.12</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-38,519,561.12</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940,606,890.01</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17,460,723.37</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958,067,613.38</w:t>
            </w:r>
          </w:p>
        </w:tc>
      </w:tr>
      <w:tr w:rsidR="00093C4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上年度可比期间</w:t>
            </w:r>
            <w:r>
              <w:rPr>
                <w:rFonts w:hint="eastAsia"/>
              </w:rPr>
              <w:t> </w:t>
            </w:r>
          </w:p>
          <w:p w:rsidR="00093C40" w:rsidRDefault="00B61615">
            <w:pPr>
              <w:pStyle w:val="biaogecenter"/>
              <w:wordWrap w:val="0"/>
            </w:pPr>
            <w:r>
              <w:rPr>
                <w:rFonts w:hint="eastAsia"/>
              </w:rPr>
              <w:t>2019</w:t>
            </w:r>
            <w:r>
              <w:rPr>
                <w:rFonts w:hint="eastAsia"/>
              </w:rPr>
              <w:t>年</w:t>
            </w:r>
            <w:r>
              <w:rPr>
                <w:rFonts w:hint="eastAsia"/>
              </w:rPr>
              <w:t>07</w:t>
            </w:r>
            <w:r>
              <w:rPr>
                <w:rFonts w:hint="eastAsia"/>
              </w:rPr>
              <w:t>月</w:t>
            </w:r>
            <w:r>
              <w:rPr>
                <w:rFonts w:hint="eastAsia"/>
              </w:rPr>
              <w:t>31</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093C40">
        <w:tc>
          <w:tcPr>
            <w:tcW w:w="2116" w:type="dxa"/>
            <w:vMerge/>
            <w:tcBorders>
              <w:top w:val="single" w:sz="8" w:space="0" w:color="000000"/>
              <w:left w:val="single" w:sz="8" w:space="0" w:color="000000"/>
              <w:bottom w:val="single" w:sz="8" w:space="0" w:color="000000"/>
              <w:right w:val="single" w:sz="8" w:space="0" w:color="000000"/>
            </w:tcBorders>
            <w:vAlign w:val="center"/>
          </w:tcPr>
          <w:p w:rsidR="00093C40" w:rsidRDefault="00093C4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pPr>
            <w:r>
              <w:rPr>
                <w:rFonts w:hint="eastAsia"/>
              </w:rPr>
              <w:t>所有者权益合计</w:t>
            </w:r>
            <w:r>
              <w:rPr>
                <w:rFonts w:hint="eastAsia"/>
              </w:rPr>
              <w:t> </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876,603,000.00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876,603,000.00</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15,967,340.50</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15,967,340.50</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w:t>
            </w:r>
          </w:p>
        </w:tc>
      </w:tr>
      <w:tr w:rsidR="00093C40">
        <w:tc>
          <w:tcPr>
            <w:tcW w:w="211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876,603,000.00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15,967,340.50</w:t>
            </w:r>
          </w:p>
        </w:tc>
        <w:tc>
          <w:tcPr>
            <w:tcW w:w="2484"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right"/>
              <w:wordWrap w:val="0"/>
            </w:pPr>
            <w:r>
              <w:rPr>
                <w:rFonts w:hint="eastAsia"/>
              </w:rPr>
              <w:t>892,570,340.50</w:t>
            </w:r>
          </w:p>
        </w:tc>
      </w:tr>
    </w:tbl>
    <w:p w:rsidR="00093C40" w:rsidRDefault="00093C40">
      <w:pPr>
        <w:widowControl/>
        <w:autoSpaceDE w:val="0"/>
        <w:autoSpaceDN w:val="0"/>
        <w:adjustRightInd w:val="0"/>
        <w:spacing w:line="288" w:lineRule="auto"/>
        <w:jc w:val="right"/>
        <w:rPr>
          <w:rFonts w:ascii="宋体" w:hAnsi="宋体" w:cs="宋体"/>
          <w:kern w:val="0"/>
          <w:sz w:val="24"/>
          <w:szCs w:val="24"/>
        </w:rPr>
      </w:pPr>
    </w:p>
    <w:p w:rsidR="00093C40" w:rsidRDefault="00093C40">
      <w:pPr>
        <w:pStyle w:val="biaogeleft"/>
        <w:spacing w:line="360" w:lineRule="auto"/>
        <w:ind w:firstLine="480"/>
        <w:rPr>
          <w:color w:val="000000"/>
        </w:rPr>
      </w:pPr>
    </w:p>
    <w:p w:rsidR="00093C40" w:rsidRDefault="00B61615">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093C40" w:rsidRDefault="00093C40">
      <w:pPr>
        <w:widowControl/>
        <w:jc w:val="left"/>
        <w:rPr>
          <w:rFonts w:ascii="宋体" w:hAnsi="宋体" w:cs="宋体"/>
          <w:color w:val="000000"/>
          <w:kern w:val="0"/>
          <w:sz w:val="24"/>
          <w:szCs w:val="24"/>
        </w:rPr>
      </w:pPr>
    </w:p>
    <w:p w:rsidR="00093C40" w:rsidRDefault="00B61615">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093C40">
        <w:tc>
          <w:tcPr>
            <w:tcW w:w="891" w:type="dxa"/>
            <w:tcBorders>
              <w:top w:val="single" w:sz="8" w:space="0" w:color="000000"/>
              <w:left w:val="single" w:sz="8" w:space="0" w:color="000000"/>
              <w:bottom w:val="single" w:sz="6" w:space="0" w:color="000000"/>
              <w:right w:val="single" w:sz="8" w:space="0" w:color="000000"/>
            </w:tcBorders>
            <w:vAlign w:val="bottom"/>
          </w:tcPr>
          <w:p w:rsidR="00093C40" w:rsidRDefault="00B61615">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093C40" w:rsidRDefault="00B61615">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093C40" w:rsidRDefault="00B61615">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093C40" w:rsidRDefault="00B61615">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696,586,199.33</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71.09</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25.51</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3,470,376.25</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0.35</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29,800,871.32</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3.05</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093C40">
        <w:tc>
          <w:tcPr>
            <w:tcW w:w="891"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979,857,446.90</w:t>
            </w:r>
          </w:p>
        </w:tc>
        <w:tc>
          <w:tcPr>
            <w:tcW w:w="2395" w:type="dxa"/>
            <w:tcBorders>
              <w:top w:val="single" w:sz="8" w:space="0" w:color="000000"/>
              <w:left w:val="single" w:sz="8" w:space="0" w:color="000000"/>
              <w:bottom w:val="single" w:sz="8" w:space="0" w:color="000000"/>
              <w:right w:val="single" w:sz="8" w:space="0" w:color="000000"/>
            </w:tcBorders>
            <w:vAlign w:val="center"/>
          </w:tcPr>
          <w:p w:rsidR="00093C40" w:rsidRDefault="00B61615">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093C40" w:rsidRDefault="00093C40">
      <w:pPr>
        <w:widowControl/>
        <w:jc w:val="left"/>
        <w:rPr>
          <w:rFonts w:ascii="宋体" w:hAnsi="宋体" w:cs="宋体"/>
          <w:color w:val="000000"/>
          <w:kern w:val="0"/>
          <w:sz w:val="24"/>
          <w:szCs w:val="24"/>
        </w:rPr>
      </w:pPr>
    </w:p>
    <w:p w:rsidR="00093C40" w:rsidRDefault="00B61615">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093C40">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093C40" w:rsidRDefault="00B61615">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093C40" w:rsidRDefault="00B61615">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093C40" w:rsidRDefault="00B61615">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093C40" w:rsidRDefault="00B61615">
            <w:pPr>
              <w:pStyle w:val="biaogecenter"/>
              <w:wordWrap w:val="0"/>
              <w:rPr>
                <w:color w:val="000000"/>
              </w:rPr>
            </w:pPr>
            <w:r>
              <w:rPr>
                <w:rFonts w:hint="eastAsia"/>
                <w:color w:val="000000"/>
              </w:rPr>
              <w:t>占产品资产净值比例（％）</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QTBZZ202007290001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浙建德国资</w:t>
            </w:r>
            <w:r>
              <w:rPr>
                <w:rFonts w:ascii="宋体" w:hAnsi="宋体" w:cs="宋体" w:hint="eastAsia"/>
                <w:color w:val="000000"/>
                <w:kern w:val="0"/>
                <w:sz w:val="24"/>
                <w:szCs w:val="24"/>
              </w:rPr>
              <w:t>ZRGN001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250,000,000.00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26.09%</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031676006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悦来投资</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74,977,861.93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7.83%</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031900010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东南资产</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70,291,165.03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7.34%</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060211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06</w:t>
            </w:r>
            <w:r>
              <w:rPr>
                <w:rFonts w:ascii="宋体" w:hAnsi="宋体" w:cs="宋体" w:hint="eastAsia"/>
                <w:color w:val="000000"/>
                <w:kern w:val="0"/>
                <w:sz w:val="24"/>
                <w:szCs w:val="24"/>
              </w:rPr>
              <w:t>国开</w:t>
            </w:r>
            <w:r>
              <w:rPr>
                <w:rFonts w:ascii="宋体" w:hAnsi="宋体" w:cs="宋体" w:hint="eastAsia"/>
                <w:color w:val="000000"/>
                <w:kern w:val="0"/>
                <w:sz w:val="24"/>
                <w:szCs w:val="24"/>
              </w:rPr>
              <w:t>11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50,422,552.49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5.26%</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031661036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滨海新城</w:t>
            </w:r>
            <w:r>
              <w:rPr>
                <w:rFonts w:ascii="宋体" w:hAnsi="宋体" w:cs="宋体" w:hint="eastAsia"/>
                <w:color w:val="000000"/>
                <w:kern w:val="0"/>
                <w:sz w:val="24"/>
                <w:szCs w:val="24"/>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50,010,098.69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5.22%</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031900038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宜兴城投</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49,933,475.27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5.21%</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031900512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盐城资产</w:t>
            </w:r>
            <w:r>
              <w:rPr>
                <w:rFonts w:ascii="宋体" w:hAnsi="宋体" w:cs="宋体" w:hint="eastAsia"/>
                <w:color w:val="000000"/>
                <w:kern w:val="0"/>
                <w:sz w:val="24"/>
                <w:szCs w:val="24"/>
              </w:rPr>
              <w:t>PPN003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49,883,642.40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5.21%</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031900091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溧水经开</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40,172,759.11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4.19%</w:t>
            </w:r>
          </w:p>
        </w:tc>
      </w:tr>
      <w:tr w:rsidR="00093C40">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101900129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南京软件</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40,011,108.59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4.18%</w:t>
            </w:r>
          </w:p>
        </w:tc>
      </w:tr>
      <w:tr w:rsidR="00093C4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93C40" w:rsidRDefault="00B61615">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102000325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盐城市政</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40,000,186.08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093C40" w:rsidRDefault="00B61615">
            <w:pPr>
              <w:jc w:val="right"/>
              <w:rPr>
                <w:rFonts w:ascii="宋体" w:hAnsi="宋体" w:cs="宋体"/>
                <w:color w:val="000000"/>
                <w:kern w:val="0"/>
                <w:sz w:val="24"/>
                <w:szCs w:val="24"/>
              </w:rPr>
            </w:pPr>
            <w:r>
              <w:rPr>
                <w:rFonts w:ascii="宋体" w:hAnsi="宋体" w:cs="宋体" w:hint="eastAsia"/>
                <w:color w:val="000000"/>
                <w:kern w:val="0"/>
                <w:sz w:val="24"/>
                <w:szCs w:val="24"/>
              </w:rPr>
              <w:t>4.18%</w:t>
            </w:r>
          </w:p>
        </w:tc>
      </w:tr>
    </w:tbl>
    <w:p w:rsidR="00093C40" w:rsidRDefault="00093C40">
      <w:pPr>
        <w:widowControl/>
        <w:jc w:val="left"/>
        <w:rPr>
          <w:rFonts w:ascii="宋体" w:hAnsi="宋体" w:cs="宋体"/>
          <w:b/>
          <w:sz w:val="24"/>
          <w:szCs w:val="24"/>
          <w:shd w:val="clear" w:color="auto" w:fill="FFFFFF"/>
        </w:rPr>
      </w:pPr>
    </w:p>
    <w:p w:rsidR="00093C40" w:rsidRDefault="00B61615">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093C40" w:rsidRDefault="00093C40">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093C40">
        <w:tc>
          <w:tcPr>
            <w:tcW w:w="709"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风险状况</w:t>
            </w:r>
          </w:p>
        </w:tc>
      </w:tr>
      <w:tr w:rsidR="00093C40">
        <w:tc>
          <w:tcPr>
            <w:tcW w:w="709"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建德市国有资产经营有限公司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20</w:t>
            </w:r>
            <w:r>
              <w:rPr>
                <w:rFonts w:hint="eastAsia"/>
                <w:shd w:val="clear" w:color="auto" w:fill="FFFFFF"/>
              </w:rPr>
              <w:t>浙建德国资</w:t>
            </w:r>
            <w:r>
              <w:rPr>
                <w:rFonts w:hint="eastAsia"/>
                <w:shd w:val="clear" w:color="auto" w:fill="FFFFFF"/>
              </w:rPr>
              <w:t>ZRGN001</w:t>
            </w:r>
          </w:p>
        </w:tc>
        <w:tc>
          <w:tcPr>
            <w:tcW w:w="1417"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189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093C40" w:rsidRDefault="00B61615">
            <w:pPr>
              <w:pStyle w:val="biaogecenter"/>
              <w:wordWrap w:val="0"/>
              <w:rPr>
                <w:shd w:val="clear" w:color="auto" w:fill="FFFFFF"/>
              </w:rPr>
            </w:pPr>
            <w:r>
              <w:rPr>
                <w:rFonts w:hint="eastAsia"/>
                <w:shd w:val="clear" w:color="auto" w:fill="FFFFFF"/>
              </w:rPr>
              <w:t>-</w:t>
            </w:r>
          </w:p>
        </w:tc>
      </w:tr>
    </w:tbl>
    <w:p w:rsidR="00093C40" w:rsidRDefault="00093C40">
      <w:pPr>
        <w:widowControl/>
        <w:jc w:val="left"/>
        <w:rPr>
          <w:rFonts w:ascii="宋体" w:hAnsi="宋体" w:cs="宋体"/>
          <w:color w:val="000000"/>
          <w:kern w:val="0"/>
          <w:sz w:val="24"/>
          <w:szCs w:val="24"/>
        </w:rPr>
      </w:pPr>
    </w:p>
    <w:p w:rsidR="00093C40" w:rsidRDefault="00093C40">
      <w:pPr>
        <w:widowControl/>
        <w:jc w:val="left"/>
        <w:rPr>
          <w:rFonts w:ascii="宋体" w:hAnsi="宋体" w:cs="宋体"/>
          <w:color w:val="000000"/>
          <w:kern w:val="0"/>
          <w:sz w:val="24"/>
          <w:szCs w:val="24"/>
        </w:rPr>
      </w:pPr>
    </w:p>
    <w:p w:rsidR="00093C40" w:rsidRDefault="00B61615">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093C40" w:rsidRDefault="00B6161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093C40" w:rsidRDefault="00B6161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40000186.08</w:t>
      </w:r>
      <w:r>
        <w:rPr>
          <w:rFonts w:ascii="宋体" w:hAnsi="宋体" w:cs="宋体" w:hint="eastAsia"/>
          <w:color w:val="000000"/>
          <w:kern w:val="0"/>
          <w:sz w:val="24"/>
          <w:szCs w:val="24"/>
        </w:rPr>
        <w:t>元。</w:t>
      </w:r>
    </w:p>
    <w:p w:rsidR="00093C40" w:rsidRDefault="00093C4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093C40" w:rsidRDefault="00093C4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093C40" w:rsidRDefault="00093C40">
      <w:pPr>
        <w:widowControl/>
        <w:jc w:val="left"/>
        <w:rPr>
          <w:rFonts w:ascii="宋体" w:hAnsi="宋体" w:cs="宋体"/>
          <w:color w:val="000000"/>
          <w:kern w:val="0"/>
          <w:sz w:val="24"/>
          <w:szCs w:val="24"/>
        </w:rPr>
      </w:pPr>
    </w:p>
    <w:p w:rsidR="00093C40" w:rsidRDefault="00093C40">
      <w:pPr>
        <w:widowControl/>
        <w:jc w:val="left"/>
        <w:rPr>
          <w:rFonts w:ascii="宋体" w:hAnsi="宋体" w:cs="宋体"/>
          <w:color w:val="000000"/>
          <w:kern w:val="0"/>
          <w:sz w:val="24"/>
          <w:szCs w:val="24"/>
        </w:rPr>
      </w:pPr>
    </w:p>
    <w:p w:rsidR="00093C40" w:rsidRDefault="00093C40">
      <w:pPr>
        <w:widowControl/>
        <w:jc w:val="left"/>
        <w:rPr>
          <w:rFonts w:ascii="宋体" w:hAnsi="宋体" w:cs="宋体"/>
          <w:color w:val="000000"/>
          <w:kern w:val="0"/>
          <w:sz w:val="24"/>
          <w:szCs w:val="24"/>
        </w:rPr>
      </w:pPr>
    </w:p>
    <w:p w:rsidR="00093C40" w:rsidRDefault="00093C40">
      <w:pPr>
        <w:widowControl/>
        <w:jc w:val="left"/>
        <w:rPr>
          <w:color w:val="000000"/>
        </w:rPr>
      </w:pPr>
    </w:p>
    <w:p w:rsidR="00093C40" w:rsidRDefault="00B61615">
      <w:pPr>
        <w:pStyle w:val="biaogeright"/>
        <w:rPr>
          <w:b/>
        </w:rPr>
      </w:pPr>
      <w:r>
        <w:rPr>
          <w:rFonts w:hint="eastAsia"/>
          <w:b/>
        </w:rPr>
        <w:t>南京银行股份有限公司</w:t>
      </w:r>
    </w:p>
    <w:p w:rsidR="00093C40" w:rsidRDefault="00B61615">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093C40" w:rsidRDefault="00093C40">
      <w:pPr>
        <w:pStyle w:val="biaogeright"/>
        <w:rPr>
          <w:color w:val="000000"/>
        </w:rPr>
      </w:pPr>
    </w:p>
    <w:sectPr w:rsidR="00093C40" w:rsidSect="00093C40">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615" w:rsidRDefault="00B61615" w:rsidP="00093C40">
      <w:r>
        <w:separator/>
      </w:r>
    </w:p>
  </w:endnote>
  <w:endnote w:type="continuationSeparator" w:id="1">
    <w:p w:rsidR="00B61615" w:rsidRDefault="00B61615" w:rsidP="00093C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40" w:rsidRDefault="00093C40">
    <w:pPr>
      <w:pStyle w:val="a5"/>
      <w:framePr w:wrap="around" w:vAnchor="text" w:hAnchor="margin" w:xAlign="center" w:y="1"/>
      <w:rPr>
        <w:rStyle w:val="aa"/>
      </w:rPr>
    </w:pPr>
    <w:r>
      <w:fldChar w:fldCharType="begin"/>
    </w:r>
    <w:r w:rsidR="00B61615">
      <w:rPr>
        <w:rStyle w:val="aa"/>
      </w:rPr>
      <w:instrText xml:space="preserve">PAGE  </w:instrText>
    </w:r>
    <w:r>
      <w:fldChar w:fldCharType="end"/>
    </w:r>
  </w:p>
  <w:p w:rsidR="00093C40" w:rsidRDefault="00093C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40" w:rsidRDefault="00093C40">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33" w:rsidRDefault="00C0173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40" w:rsidRDefault="00093C4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40" w:rsidRDefault="00093C4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615" w:rsidRDefault="00B61615" w:rsidP="00093C40">
      <w:r>
        <w:separator/>
      </w:r>
    </w:p>
  </w:footnote>
  <w:footnote w:type="continuationSeparator" w:id="1">
    <w:p w:rsidR="00B61615" w:rsidRDefault="00B61615" w:rsidP="00093C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C40" w:rsidRDefault="00093C4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33" w:rsidRDefault="00C0173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733" w:rsidRDefault="00C0173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93C40"/>
    <w:rsid w:val="000A3711"/>
    <w:rsid w:val="000D5066"/>
    <w:rsid w:val="000F6191"/>
    <w:rsid w:val="000F635C"/>
    <w:rsid w:val="00130CE8"/>
    <w:rsid w:val="00143508"/>
    <w:rsid w:val="00152201"/>
    <w:rsid w:val="00172A27"/>
    <w:rsid w:val="00176636"/>
    <w:rsid w:val="00183C84"/>
    <w:rsid w:val="001B483A"/>
    <w:rsid w:val="001C05F9"/>
    <w:rsid w:val="001C5395"/>
    <w:rsid w:val="00211F26"/>
    <w:rsid w:val="00221AF1"/>
    <w:rsid w:val="002263FC"/>
    <w:rsid w:val="00274CC7"/>
    <w:rsid w:val="002755A5"/>
    <w:rsid w:val="002A3AE9"/>
    <w:rsid w:val="002C196E"/>
    <w:rsid w:val="002D296F"/>
    <w:rsid w:val="002D75D0"/>
    <w:rsid w:val="002E795C"/>
    <w:rsid w:val="00305714"/>
    <w:rsid w:val="00313E71"/>
    <w:rsid w:val="00321CB7"/>
    <w:rsid w:val="00336989"/>
    <w:rsid w:val="003379A9"/>
    <w:rsid w:val="00350ADF"/>
    <w:rsid w:val="00355623"/>
    <w:rsid w:val="003A0419"/>
    <w:rsid w:val="003A1529"/>
    <w:rsid w:val="003C4D3B"/>
    <w:rsid w:val="003E09EA"/>
    <w:rsid w:val="003F0AC3"/>
    <w:rsid w:val="00456251"/>
    <w:rsid w:val="00471E2B"/>
    <w:rsid w:val="004C0063"/>
    <w:rsid w:val="004C1607"/>
    <w:rsid w:val="004C1BE1"/>
    <w:rsid w:val="005069D8"/>
    <w:rsid w:val="0056162E"/>
    <w:rsid w:val="00563B93"/>
    <w:rsid w:val="00567DB3"/>
    <w:rsid w:val="0057464A"/>
    <w:rsid w:val="00575BEA"/>
    <w:rsid w:val="005B3434"/>
    <w:rsid w:val="005E2884"/>
    <w:rsid w:val="005E4A75"/>
    <w:rsid w:val="005E5050"/>
    <w:rsid w:val="005F2C7B"/>
    <w:rsid w:val="005F4D04"/>
    <w:rsid w:val="005F7DA9"/>
    <w:rsid w:val="006054F8"/>
    <w:rsid w:val="006101B0"/>
    <w:rsid w:val="006158AF"/>
    <w:rsid w:val="00621310"/>
    <w:rsid w:val="0065419A"/>
    <w:rsid w:val="00654220"/>
    <w:rsid w:val="00663B94"/>
    <w:rsid w:val="00677F66"/>
    <w:rsid w:val="006C7F31"/>
    <w:rsid w:val="006E4E94"/>
    <w:rsid w:val="00730BEE"/>
    <w:rsid w:val="0073101E"/>
    <w:rsid w:val="00735153"/>
    <w:rsid w:val="0073527C"/>
    <w:rsid w:val="00740A68"/>
    <w:rsid w:val="00741E75"/>
    <w:rsid w:val="00745421"/>
    <w:rsid w:val="007A4219"/>
    <w:rsid w:val="007D73B1"/>
    <w:rsid w:val="0080200C"/>
    <w:rsid w:val="00814110"/>
    <w:rsid w:val="00816703"/>
    <w:rsid w:val="0082561A"/>
    <w:rsid w:val="00846B2E"/>
    <w:rsid w:val="00853290"/>
    <w:rsid w:val="0085663C"/>
    <w:rsid w:val="008768AB"/>
    <w:rsid w:val="008926F7"/>
    <w:rsid w:val="008A7510"/>
    <w:rsid w:val="008C78BD"/>
    <w:rsid w:val="008F0FA3"/>
    <w:rsid w:val="00900D90"/>
    <w:rsid w:val="009354D6"/>
    <w:rsid w:val="009431AD"/>
    <w:rsid w:val="00970A98"/>
    <w:rsid w:val="00985C26"/>
    <w:rsid w:val="009B5326"/>
    <w:rsid w:val="009C781F"/>
    <w:rsid w:val="009D19DC"/>
    <w:rsid w:val="009D5296"/>
    <w:rsid w:val="009E6170"/>
    <w:rsid w:val="009F620D"/>
    <w:rsid w:val="009F691D"/>
    <w:rsid w:val="00A37451"/>
    <w:rsid w:val="00A379D2"/>
    <w:rsid w:val="00A4484F"/>
    <w:rsid w:val="00A76D4B"/>
    <w:rsid w:val="00A77C47"/>
    <w:rsid w:val="00A9119C"/>
    <w:rsid w:val="00AA4549"/>
    <w:rsid w:val="00AC5144"/>
    <w:rsid w:val="00B13014"/>
    <w:rsid w:val="00B17559"/>
    <w:rsid w:val="00B33B19"/>
    <w:rsid w:val="00B404E6"/>
    <w:rsid w:val="00B4360D"/>
    <w:rsid w:val="00B61615"/>
    <w:rsid w:val="00B61EA9"/>
    <w:rsid w:val="00B670D1"/>
    <w:rsid w:val="00B716EE"/>
    <w:rsid w:val="00B74DCA"/>
    <w:rsid w:val="00B81A8F"/>
    <w:rsid w:val="00B8685F"/>
    <w:rsid w:val="00BC02E0"/>
    <w:rsid w:val="00BC3903"/>
    <w:rsid w:val="00BE47E0"/>
    <w:rsid w:val="00BF75C8"/>
    <w:rsid w:val="00C01733"/>
    <w:rsid w:val="00C1762E"/>
    <w:rsid w:val="00C2110F"/>
    <w:rsid w:val="00C22DF9"/>
    <w:rsid w:val="00C25123"/>
    <w:rsid w:val="00C30A48"/>
    <w:rsid w:val="00C375A7"/>
    <w:rsid w:val="00C62DF8"/>
    <w:rsid w:val="00C640FB"/>
    <w:rsid w:val="00C66163"/>
    <w:rsid w:val="00CB054E"/>
    <w:rsid w:val="00CC52D7"/>
    <w:rsid w:val="00D23AB6"/>
    <w:rsid w:val="00D42895"/>
    <w:rsid w:val="00D50309"/>
    <w:rsid w:val="00D51AA9"/>
    <w:rsid w:val="00D7264A"/>
    <w:rsid w:val="00D84E43"/>
    <w:rsid w:val="00D870DF"/>
    <w:rsid w:val="00DB0C2F"/>
    <w:rsid w:val="00DB3BF6"/>
    <w:rsid w:val="00DC31CC"/>
    <w:rsid w:val="00DC728A"/>
    <w:rsid w:val="00DD2F3C"/>
    <w:rsid w:val="00DD6028"/>
    <w:rsid w:val="00DF0350"/>
    <w:rsid w:val="00E1059D"/>
    <w:rsid w:val="00E155DF"/>
    <w:rsid w:val="00E246E1"/>
    <w:rsid w:val="00E560F1"/>
    <w:rsid w:val="00E944FA"/>
    <w:rsid w:val="00E9797A"/>
    <w:rsid w:val="00EA7ABC"/>
    <w:rsid w:val="00EB2746"/>
    <w:rsid w:val="00EE0436"/>
    <w:rsid w:val="00F1465C"/>
    <w:rsid w:val="00F17365"/>
    <w:rsid w:val="00F41324"/>
    <w:rsid w:val="00F54813"/>
    <w:rsid w:val="00F57C12"/>
    <w:rsid w:val="00F609FD"/>
    <w:rsid w:val="00F859AB"/>
    <w:rsid w:val="00F950D0"/>
    <w:rsid w:val="00FA2C26"/>
    <w:rsid w:val="00FF4550"/>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C215A25"/>
    <w:rsid w:val="1E911FB2"/>
    <w:rsid w:val="1F274305"/>
    <w:rsid w:val="200C41F6"/>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D0B578F"/>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C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93C40"/>
    <w:pPr>
      <w:jc w:val="left"/>
    </w:pPr>
  </w:style>
  <w:style w:type="paragraph" w:styleId="a4">
    <w:name w:val="Balloon Text"/>
    <w:basedOn w:val="a"/>
    <w:link w:val="Char0"/>
    <w:uiPriority w:val="99"/>
    <w:unhideWhenUsed/>
    <w:qFormat/>
    <w:rsid w:val="00093C40"/>
    <w:rPr>
      <w:sz w:val="18"/>
      <w:szCs w:val="18"/>
    </w:rPr>
  </w:style>
  <w:style w:type="paragraph" w:styleId="a5">
    <w:name w:val="footer"/>
    <w:basedOn w:val="a"/>
    <w:link w:val="Char1"/>
    <w:uiPriority w:val="99"/>
    <w:unhideWhenUsed/>
    <w:qFormat/>
    <w:rsid w:val="00093C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93C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093C40"/>
    <w:pPr>
      <w:snapToGrid w:val="0"/>
      <w:jc w:val="left"/>
    </w:pPr>
    <w:rPr>
      <w:sz w:val="18"/>
    </w:rPr>
  </w:style>
  <w:style w:type="paragraph" w:styleId="a8">
    <w:name w:val="Normal (Web)"/>
    <w:basedOn w:val="a"/>
    <w:qFormat/>
    <w:rsid w:val="00093C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093C40"/>
    <w:rPr>
      <w:b/>
      <w:bCs/>
    </w:rPr>
  </w:style>
  <w:style w:type="character" w:styleId="aa">
    <w:name w:val="page number"/>
    <w:basedOn w:val="a0"/>
    <w:uiPriority w:val="99"/>
    <w:unhideWhenUsed/>
    <w:qFormat/>
    <w:rsid w:val="00093C40"/>
  </w:style>
  <w:style w:type="character" w:styleId="ab">
    <w:name w:val="annotation reference"/>
    <w:uiPriority w:val="99"/>
    <w:unhideWhenUsed/>
    <w:qFormat/>
    <w:rsid w:val="00093C40"/>
    <w:rPr>
      <w:sz w:val="21"/>
      <w:szCs w:val="21"/>
    </w:rPr>
  </w:style>
  <w:style w:type="character" w:styleId="ac">
    <w:name w:val="footnote reference"/>
    <w:uiPriority w:val="99"/>
    <w:unhideWhenUsed/>
    <w:qFormat/>
    <w:rsid w:val="00093C40"/>
    <w:rPr>
      <w:vertAlign w:val="superscript"/>
    </w:rPr>
  </w:style>
  <w:style w:type="character" w:customStyle="1" w:styleId="Char0">
    <w:name w:val="批注框文本 Char"/>
    <w:link w:val="a4"/>
    <w:uiPriority w:val="99"/>
    <w:semiHidden/>
    <w:qFormat/>
    <w:rsid w:val="00093C40"/>
    <w:rPr>
      <w:kern w:val="2"/>
      <w:sz w:val="18"/>
      <w:szCs w:val="18"/>
    </w:rPr>
  </w:style>
  <w:style w:type="character" w:customStyle="1" w:styleId="Char2">
    <w:name w:val="页眉 Char"/>
    <w:link w:val="a6"/>
    <w:uiPriority w:val="99"/>
    <w:semiHidden/>
    <w:qFormat/>
    <w:locked/>
    <w:rsid w:val="00093C40"/>
    <w:rPr>
      <w:rFonts w:ascii="Times New Roman" w:hAnsi="Times New Roman" w:cs="Times New Roman" w:hint="default"/>
      <w:sz w:val="18"/>
      <w:szCs w:val="18"/>
    </w:rPr>
  </w:style>
  <w:style w:type="character" w:customStyle="1" w:styleId="Char3">
    <w:name w:val="批注主题 Char"/>
    <w:link w:val="a9"/>
    <w:uiPriority w:val="99"/>
    <w:semiHidden/>
    <w:qFormat/>
    <w:rsid w:val="00093C40"/>
    <w:rPr>
      <w:b/>
      <w:bCs/>
      <w:kern w:val="2"/>
      <w:sz w:val="21"/>
      <w:szCs w:val="22"/>
    </w:rPr>
  </w:style>
  <w:style w:type="character" w:customStyle="1" w:styleId="Char1">
    <w:name w:val="页脚 Char"/>
    <w:link w:val="a5"/>
    <w:uiPriority w:val="99"/>
    <w:semiHidden/>
    <w:qFormat/>
    <w:locked/>
    <w:rsid w:val="00093C40"/>
    <w:rPr>
      <w:rFonts w:ascii="Times New Roman" w:hAnsi="Times New Roman" w:cs="Times New Roman" w:hint="default"/>
      <w:sz w:val="18"/>
      <w:szCs w:val="18"/>
    </w:rPr>
  </w:style>
  <w:style w:type="character" w:customStyle="1" w:styleId="Char">
    <w:name w:val="批注文字 Char"/>
    <w:link w:val="a3"/>
    <w:uiPriority w:val="99"/>
    <w:qFormat/>
    <w:rsid w:val="00093C40"/>
    <w:rPr>
      <w:kern w:val="2"/>
      <w:sz w:val="21"/>
      <w:szCs w:val="22"/>
    </w:rPr>
  </w:style>
  <w:style w:type="paragraph" w:customStyle="1" w:styleId="zhongyaotishi">
    <w:name w:val="zhongyaotishi"/>
    <w:basedOn w:val="a"/>
    <w:qFormat/>
    <w:rsid w:val="00093C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093C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093C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093C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093C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093C40"/>
    <w:pPr>
      <w:widowControl w:val="0"/>
      <w:jc w:val="center"/>
    </w:pPr>
    <w:rPr>
      <w:kern w:val="2"/>
      <w:sz w:val="33"/>
      <w:szCs w:val="22"/>
    </w:rPr>
  </w:style>
  <w:style w:type="paragraph" w:customStyle="1" w:styleId="biaogeleft">
    <w:name w:val="biaoge_left"/>
    <w:basedOn w:val="a"/>
    <w:qFormat/>
    <w:rsid w:val="00093C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093C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093C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093C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093C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093C40"/>
    <w:pPr>
      <w:widowControl w:val="0"/>
    </w:pPr>
    <w:rPr>
      <w:kern w:val="2"/>
      <w:sz w:val="21"/>
      <w:szCs w:val="22"/>
    </w:rPr>
  </w:style>
  <w:style w:type="paragraph" w:customStyle="1" w:styleId="neirong">
    <w:name w:val="neirong"/>
    <w:basedOn w:val="a"/>
    <w:qFormat/>
    <w:rsid w:val="00093C40"/>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966</Words>
  <Characters>5510</Characters>
  <Application>Microsoft Office Word</Application>
  <DocSecurity>0</DocSecurity>
  <Lines>45</Lines>
  <Paragraphs>12</Paragraphs>
  <ScaleCrop>false</ScaleCrop>
  <Company>微软中国</Company>
  <LinksUpToDate>false</LinksUpToDate>
  <CharactersWithSpaces>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31</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3ED159DB94FB47FA82506970AD1C7406</vt:lpwstr>
  </property>
</Properties>
</file>