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DCC" w:rsidRDefault="00505DCC">
      <w:pPr>
        <w:pStyle w:val="dazhangjie"/>
        <w:rPr>
          <w:b/>
          <w:bCs/>
          <w:color w:val="000000"/>
        </w:rPr>
      </w:pPr>
    </w:p>
    <w:p w:rsidR="00505DCC" w:rsidRDefault="00505DCC">
      <w:pPr>
        <w:pStyle w:val="dazhangjie"/>
        <w:rPr>
          <w:b/>
          <w:bCs/>
          <w:color w:val="000000"/>
        </w:rPr>
      </w:pPr>
    </w:p>
    <w:p w:rsidR="00505DCC" w:rsidRDefault="00505DCC">
      <w:pPr>
        <w:pStyle w:val="dazhangjie"/>
        <w:rPr>
          <w:b/>
          <w:bCs/>
          <w:color w:val="000000"/>
        </w:rPr>
      </w:pPr>
    </w:p>
    <w:p w:rsidR="00505DCC" w:rsidRDefault="003E6513">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1906</w:t>
      </w:r>
      <w:r>
        <w:rPr>
          <w:rFonts w:ascii="黑体" w:eastAsia="黑体" w:hAnsi="黑体" w:hint="eastAsia"/>
          <w:b/>
          <w:bCs/>
          <w:sz w:val="36"/>
        </w:rPr>
        <w:t>一年定开公募人民币理财产品</w:t>
      </w:r>
    </w:p>
    <w:p w:rsidR="00505DCC" w:rsidRDefault="003E6513">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rPr>
          <w:rFonts w:ascii="黑体" w:eastAsia="黑体" w:hAnsi="黑体"/>
          <w:b/>
          <w:bCs/>
          <w:color w:val="000000"/>
          <w:sz w:val="36"/>
        </w:rPr>
      </w:pPr>
    </w:p>
    <w:p w:rsidR="00505DCC" w:rsidRDefault="00505DCC">
      <w:pPr>
        <w:pStyle w:val="dazhangjie"/>
        <w:spacing w:before="240" w:after="120"/>
        <w:ind w:left="0"/>
        <w:jc w:val="both"/>
        <w:rPr>
          <w:rFonts w:ascii="黑体" w:eastAsia="黑体" w:hAnsi="黑体"/>
          <w:b/>
          <w:bCs/>
          <w:color w:val="000000"/>
          <w:sz w:val="36"/>
        </w:rPr>
      </w:pPr>
    </w:p>
    <w:p w:rsidR="00505DCC" w:rsidRDefault="003E6513">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505DCC" w:rsidRDefault="003E6513">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505DCC" w:rsidRDefault="00505DCC">
      <w:pPr>
        <w:widowControl/>
        <w:jc w:val="left"/>
        <w:rPr>
          <w:rFonts w:ascii="宋体" w:hAnsi="宋体" w:cs="宋体"/>
          <w:color w:val="000000"/>
          <w:kern w:val="0"/>
          <w:sz w:val="24"/>
          <w:szCs w:val="24"/>
        </w:rPr>
        <w:sectPr w:rsidR="00505DC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505DCC" w:rsidRDefault="00505DCC">
      <w:pPr>
        <w:widowControl/>
        <w:jc w:val="left"/>
        <w:rPr>
          <w:rFonts w:ascii="宋体" w:hAnsi="宋体" w:cs="宋体"/>
          <w:color w:val="000000"/>
          <w:kern w:val="0"/>
          <w:sz w:val="24"/>
          <w:szCs w:val="24"/>
        </w:rPr>
      </w:pPr>
    </w:p>
    <w:p w:rsidR="00505DCC" w:rsidRDefault="003E6513">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505DCC" w:rsidRDefault="00505DC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南京银行珠联璧合安稳</w:t>
            </w:r>
            <w:r>
              <w:rPr>
                <w:rFonts w:hint="eastAsia"/>
              </w:rPr>
              <w:t>1906</w:t>
            </w:r>
            <w:r>
              <w:rPr>
                <w:rFonts w:hint="eastAsia"/>
              </w:rPr>
              <w:t>一年定开公募人民币理财产品</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pPr>
            <w:r>
              <w:t>C1086919000009</w:t>
            </w:r>
            <w:r>
              <w:rPr>
                <w:rFonts w:hint="eastAsia"/>
              </w:rPr>
              <w:t>（投资者可依据该编码在中国理财网</w:t>
            </w:r>
            <w:r>
              <w:rPr>
                <w:rFonts w:hint="eastAsia"/>
              </w:rPr>
              <w:t>www.chinawealth.com.cn</w:t>
            </w:r>
            <w:r>
              <w:rPr>
                <w:rFonts w:hint="eastAsia"/>
              </w:rPr>
              <w:t>查询理财产品相关信息）</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开放式</w:t>
            </w:r>
            <w:r>
              <w:rPr>
                <w:rFonts w:hint="eastAsia"/>
              </w:rPr>
              <w:t>净值型</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7A577B">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2019</w:t>
            </w:r>
            <w:r>
              <w:rPr>
                <w:rFonts w:hint="eastAsia"/>
              </w:rPr>
              <w:t>年</w:t>
            </w:r>
            <w:r>
              <w:rPr>
                <w:rFonts w:hint="eastAsia"/>
              </w:rPr>
              <w:t>06</w:t>
            </w:r>
            <w:r>
              <w:rPr>
                <w:rFonts w:hint="eastAsia"/>
              </w:rPr>
              <w:t>月</w:t>
            </w:r>
            <w:r>
              <w:rPr>
                <w:rFonts w:hint="eastAsia"/>
              </w:rPr>
              <w:t>19</w:t>
            </w:r>
            <w:r>
              <w:rPr>
                <w:rFonts w:hint="eastAsia"/>
              </w:rPr>
              <w:t>日</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highlight w:val="yellow"/>
              </w:rPr>
            </w:pPr>
            <w:r>
              <w:rPr>
                <w:rFonts w:hint="eastAsia"/>
              </w:rPr>
              <w:t>1,050,983,801.50</w:t>
            </w:r>
            <w:r>
              <w:rPr>
                <w:rFonts w:hint="eastAsia"/>
              </w:rPr>
              <w:t>份</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103.05%</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南京银行股份有限公司</w:t>
            </w:r>
          </w:p>
        </w:tc>
      </w:tr>
      <w:tr w:rsidR="00505DCC">
        <w:tc>
          <w:tcPr>
            <w:tcW w:w="281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left"/>
              <w:wordWrap w:val="0"/>
              <w:rPr>
                <w:color w:val="000000"/>
              </w:rPr>
            </w:pPr>
            <w:r>
              <w:rPr>
                <w:rFonts w:hint="eastAsia"/>
              </w:rPr>
              <w:t>南京银行股份有限公司</w:t>
            </w:r>
          </w:p>
        </w:tc>
      </w:tr>
    </w:tbl>
    <w:p w:rsidR="00505DCC" w:rsidRDefault="00505DCC">
      <w:pPr>
        <w:widowControl/>
        <w:jc w:val="left"/>
        <w:rPr>
          <w:rFonts w:ascii="宋体" w:hAnsi="宋体" w:cs="宋体"/>
          <w:color w:val="000000"/>
          <w:kern w:val="0"/>
          <w:sz w:val="24"/>
          <w:szCs w:val="24"/>
        </w:rPr>
      </w:pPr>
    </w:p>
    <w:p w:rsidR="00505DCC" w:rsidRDefault="00505DCC">
      <w:pPr>
        <w:pStyle w:val="dazhangjie"/>
        <w:rPr>
          <w:rFonts w:hAnsi="Calibri"/>
          <w:b/>
          <w:color w:val="000000"/>
        </w:rPr>
      </w:pPr>
    </w:p>
    <w:p w:rsidR="00505DCC" w:rsidRDefault="003E6513">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505DCC" w:rsidRDefault="00505DCC">
      <w:pPr>
        <w:widowControl/>
        <w:jc w:val="left"/>
        <w:rPr>
          <w:rFonts w:ascii="宋体" w:hAnsi="宋体" w:cs="宋体"/>
          <w:color w:val="000000"/>
          <w:kern w:val="0"/>
          <w:sz w:val="24"/>
          <w:szCs w:val="24"/>
        </w:rPr>
      </w:pPr>
    </w:p>
    <w:p w:rsidR="00505DCC" w:rsidRDefault="003E6513">
      <w:pPr>
        <w:pStyle w:val="zhangjiep"/>
        <w:rPr>
          <w:color w:val="000000"/>
        </w:rPr>
      </w:pPr>
      <w:r>
        <w:rPr>
          <w:rFonts w:hint="eastAsia"/>
          <w:b/>
          <w:bCs/>
          <w:color w:val="000000"/>
        </w:rPr>
        <w:t xml:space="preserve">2.1 </w:t>
      </w:r>
      <w:r>
        <w:rPr>
          <w:rFonts w:hint="eastAsia"/>
          <w:b/>
          <w:bCs/>
          <w:color w:val="000000"/>
        </w:rPr>
        <w:t>主要财务指标</w:t>
      </w:r>
    </w:p>
    <w:p w:rsidR="00505DCC" w:rsidRDefault="003E6513">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505DCC">
        <w:tc>
          <w:tcPr>
            <w:tcW w:w="5220"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505DCC">
        <w:tc>
          <w:tcPr>
            <w:tcW w:w="5220"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right"/>
              <w:jc w:val="center"/>
              <w:rPr>
                <w:color w:val="000000"/>
                <w:highlight w:val="yellow"/>
              </w:rPr>
            </w:pPr>
            <w:r>
              <w:rPr>
                <w:rFonts w:hint="eastAsia"/>
              </w:rPr>
              <w:t>1,076,463,234.07</w:t>
            </w:r>
          </w:p>
        </w:tc>
      </w:tr>
      <w:tr w:rsidR="00505DCC">
        <w:tc>
          <w:tcPr>
            <w:tcW w:w="5220"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right"/>
              <w:jc w:val="center"/>
              <w:rPr>
                <w:color w:val="000000"/>
                <w:highlight w:val="yellow"/>
              </w:rPr>
            </w:pPr>
            <w:r>
              <w:rPr>
                <w:rFonts w:hint="eastAsia"/>
              </w:rPr>
              <w:t>1.0242</w:t>
            </w:r>
          </w:p>
        </w:tc>
      </w:tr>
      <w:tr w:rsidR="00505DCC">
        <w:tc>
          <w:tcPr>
            <w:tcW w:w="5220"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right"/>
              <w:jc w:val="center"/>
              <w:rPr>
                <w:color w:val="000000"/>
                <w:highlight w:val="yellow"/>
              </w:rPr>
            </w:pPr>
            <w:r>
              <w:rPr>
                <w:color w:val="000000"/>
              </w:rPr>
              <w:t>1.0685</w:t>
            </w:r>
          </w:p>
        </w:tc>
      </w:tr>
      <w:tr w:rsidR="00505DCC">
        <w:tc>
          <w:tcPr>
            <w:tcW w:w="5220" w:type="dxa"/>
            <w:vAlign w:val="center"/>
          </w:tcPr>
          <w:p w:rsidR="00505DCC" w:rsidRDefault="00505DCC">
            <w:pPr>
              <w:widowControl/>
              <w:jc w:val="left"/>
              <w:rPr>
                <w:rFonts w:ascii="宋体" w:hAnsi="宋体" w:cs="宋体"/>
                <w:color w:val="000000"/>
                <w:kern w:val="0"/>
                <w:sz w:val="24"/>
                <w:szCs w:val="24"/>
              </w:rPr>
            </w:pPr>
          </w:p>
        </w:tc>
        <w:tc>
          <w:tcPr>
            <w:tcW w:w="3825" w:type="dxa"/>
            <w:vAlign w:val="center"/>
          </w:tcPr>
          <w:p w:rsidR="00505DCC" w:rsidRDefault="00505DCC">
            <w:pPr>
              <w:widowControl/>
              <w:jc w:val="left"/>
              <w:rPr>
                <w:color w:val="000000"/>
                <w:kern w:val="0"/>
                <w:sz w:val="20"/>
                <w:szCs w:val="20"/>
              </w:rPr>
            </w:pPr>
          </w:p>
        </w:tc>
      </w:tr>
    </w:tbl>
    <w:p w:rsidR="00505DCC" w:rsidRDefault="00505DCC">
      <w:pPr>
        <w:pStyle w:val="biaogeleft"/>
        <w:ind w:left="0"/>
        <w:rPr>
          <w:color w:val="000000"/>
        </w:rPr>
      </w:pPr>
    </w:p>
    <w:p w:rsidR="00505DCC" w:rsidRDefault="00505DCC">
      <w:pPr>
        <w:widowControl/>
        <w:jc w:val="left"/>
        <w:rPr>
          <w:rFonts w:ascii="宋体" w:hAnsi="宋体" w:cs="宋体"/>
          <w:color w:val="000000"/>
          <w:kern w:val="0"/>
          <w:sz w:val="24"/>
          <w:szCs w:val="24"/>
        </w:rPr>
      </w:pPr>
    </w:p>
    <w:p w:rsidR="00505DCC" w:rsidRDefault="003E6513">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505DCC" w:rsidRDefault="003E6513">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505DCC" w:rsidRDefault="003E651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505DCC" w:rsidRDefault="003E651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505DCC" w:rsidRDefault="003E651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505DCC" w:rsidRDefault="003E651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505DCC" w:rsidRDefault="003E6513">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505DCC" w:rsidRDefault="003E6513">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505DCC" w:rsidRDefault="003E6513">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505DCC" w:rsidRDefault="003E6513">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1.0242</w:t>
      </w:r>
      <w:r>
        <w:rPr>
          <w:rFonts w:hint="eastAsia"/>
          <w:color w:val="000000"/>
        </w:rPr>
        <w:t>元。</w:t>
      </w:r>
    </w:p>
    <w:p w:rsidR="00505DCC" w:rsidRDefault="00505DCC">
      <w:pPr>
        <w:widowControl/>
        <w:jc w:val="left"/>
        <w:rPr>
          <w:rFonts w:ascii="宋体" w:hAnsi="宋体" w:cs="宋体"/>
          <w:color w:val="000000"/>
          <w:kern w:val="0"/>
          <w:sz w:val="24"/>
          <w:szCs w:val="24"/>
        </w:rPr>
      </w:pPr>
    </w:p>
    <w:p w:rsidR="00505DCC" w:rsidRDefault="003E6513">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505DCC" w:rsidRDefault="00505DCC">
      <w:pPr>
        <w:pStyle w:val="dazhangjie"/>
        <w:rPr>
          <w:rFonts w:hAnsi="Calibri"/>
          <w:b/>
          <w:color w:val="000000"/>
        </w:rPr>
      </w:pPr>
    </w:p>
    <w:p w:rsidR="00505DCC" w:rsidRDefault="003E6513">
      <w:pPr>
        <w:pStyle w:val="a8"/>
        <w:rPr>
          <w:b/>
          <w:color w:val="000000"/>
        </w:rPr>
      </w:pPr>
      <w:r>
        <w:rPr>
          <w:rFonts w:hint="eastAsia"/>
          <w:b/>
          <w:color w:val="000000"/>
        </w:rPr>
        <w:lastRenderedPageBreak/>
        <w:t>4.1</w:t>
      </w:r>
      <w:r>
        <w:rPr>
          <w:rFonts w:hint="eastAsia"/>
          <w:b/>
          <w:color w:val="000000"/>
        </w:rPr>
        <w:t>报告期内托管人遵规守信情况声明</w:t>
      </w:r>
    </w:p>
    <w:p w:rsidR="00505DCC" w:rsidRDefault="003E6513">
      <w:pPr>
        <w:pStyle w:val="biaogeleft"/>
        <w:spacing w:line="360" w:lineRule="auto"/>
        <w:ind w:firstLineChars="200" w:firstLine="480"/>
        <w:rPr>
          <w:rFonts w:cs="Times New Roman"/>
          <w:b/>
          <w:color w:val="000000"/>
        </w:rPr>
      </w:pPr>
      <w:r>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01</w:t>
      </w:r>
      <w:r>
        <w:t>月</w:t>
      </w:r>
      <w:r>
        <w:t>01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505DCC" w:rsidRDefault="003E6513">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505DCC" w:rsidRDefault="003E6513">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505DCC" w:rsidRDefault="003E6513">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1" w:name="_GoBack"/>
      <w:bookmarkEnd w:id="1"/>
      <w:r>
        <w:rPr>
          <w:rFonts w:cs="Times New Roman" w:hint="eastAsia"/>
          <w:b/>
          <w:color w:val="000000"/>
        </w:rPr>
        <w:t>年度报告中财务信息等内容的真实、准确和完整发表意见</w:t>
      </w:r>
    </w:p>
    <w:p w:rsidR="00505DCC" w:rsidRDefault="003E6513">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w:t>
      </w:r>
      <w:r>
        <w:t>投资组合报告等信息真实、准确、完整，未发现有损害产品持有人利益的行为。</w:t>
      </w:r>
    </w:p>
    <w:p w:rsidR="00505DCC" w:rsidRDefault="00505DCC">
      <w:pPr>
        <w:pStyle w:val="biaogeleft"/>
        <w:spacing w:line="360" w:lineRule="auto"/>
        <w:ind w:firstLine="480"/>
        <w:rPr>
          <w:color w:val="000000"/>
        </w:rPr>
      </w:pPr>
    </w:p>
    <w:p w:rsidR="00505DCC" w:rsidRDefault="003E6513">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505DCC" w:rsidRDefault="00505DCC">
      <w:pPr>
        <w:widowControl/>
        <w:jc w:val="left"/>
        <w:rPr>
          <w:rFonts w:ascii="宋体" w:hAnsi="宋体" w:cs="宋体"/>
          <w:kern w:val="0"/>
          <w:sz w:val="24"/>
          <w:szCs w:val="24"/>
        </w:rPr>
      </w:pPr>
    </w:p>
    <w:p w:rsidR="00505DCC" w:rsidRDefault="003E6513">
      <w:pPr>
        <w:pStyle w:val="zhangjiep"/>
      </w:pPr>
      <w:bookmarkStart w:id="3" w:name="_Toc61271615"/>
      <w:r>
        <w:rPr>
          <w:rFonts w:hint="eastAsia"/>
          <w:b/>
          <w:bCs/>
        </w:rPr>
        <w:t xml:space="preserve">5.1 </w:t>
      </w:r>
      <w:r>
        <w:rPr>
          <w:rFonts w:hint="eastAsia"/>
          <w:b/>
          <w:bCs/>
        </w:rPr>
        <w:t>资产负债表</w:t>
      </w:r>
      <w:bookmarkEnd w:id="3"/>
    </w:p>
    <w:p w:rsidR="00505DCC" w:rsidRDefault="003E6513">
      <w:pPr>
        <w:pStyle w:val="biaogeleft"/>
      </w:pPr>
      <w:r>
        <w:rPr>
          <w:rFonts w:hint="eastAsia"/>
        </w:rPr>
        <w:t>会计主体：南京银行珠联璧合安稳</w:t>
      </w:r>
      <w:r>
        <w:rPr>
          <w:rFonts w:hint="eastAsia"/>
        </w:rPr>
        <w:t>1906</w:t>
      </w:r>
      <w:r>
        <w:rPr>
          <w:rFonts w:hint="eastAsia"/>
        </w:rPr>
        <w:t>一年定开公募人民币理财产品</w:t>
      </w:r>
    </w:p>
    <w:p w:rsidR="00505DCC" w:rsidRDefault="003E6513">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505DCC" w:rsidRDefault="003E651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Ansi="Calibri" w:hint="eastAsia"/>
                <w:color w:val="000000"/>
              </w:rPr>
              <w:t>本期末</w:t>
            </w:r>
            <w:r>
              <w:rPr>
                <w:rFonts w:hAnsi="Calibri" w:hint="eastAsia"/>
                <w:color w:val="000000"/>
              </w:rPr>
              <w:t> </w:t>
            </w:r>
          </w:p>
          <w:p w:rsidR="00505DCC" w:rsidRDefault="003E6513">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Ansi="Calibri" w:hint="eastAsia"/>
                <w:color w:val="000000"/>
              </w:rPr>
              <w:t>上年度末</w:t>
            </w:r>
            <w:r>
              <w:rPr>
                <w:rFonts w:hAnsi="Calibri" w:hint="eastAsia"/>
                <w:color w:val="000000"/>
              </w:rPr>
              <w:t> </w:t>
            </w:r>
          </w:p>
          <w:p w:rsidR="00505DCC" w:rsidRDefault="003E6513">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505DCC">
            <w:pPr>
              <w:rPr>
                <w:rFonts w:ascii="宋体" w:hAnsi="宋体" w:cs="宋体"/>
                <w:kern w:val="0"/>
                <w:sz w:val="24"/>
                <w:szCs w:val="24"/>
              </w:rPr>
            </w:pP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4,397,457.66</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1,256,747.28</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1,803.55</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791,999,652.36</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887,713,335.07</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791,999,652.36</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887,713,335.07</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32,897,394.41</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29,726,995.00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280,000,000.00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1,109,296,307.98</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918,697,077.35</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本期末</w:t>
            </w:r>
            <w:r>
              <w:rPr>
                <w:rFonts w:hint="eastAsia"/>
              </w:rPr>
              <w:t> </w:t>
            </w:r>
          </w:p>
          <w:p w:rsidR="00505DCC" w:rsidRDefault="003E6513">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上年度末</w:t>
            </w:r>
            <w:r>
              <w:rPr>
                <w:rFonts w:hint="eastAsia"/>
              </w:rPr>
              <w:t> </w:t>
            </w:r>
          </w:p>
          <w:p w:rsidR="00505DCC" w:rsidRDefault="003E6513">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 </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29,972,835.04</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29,699,835.45</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1,131,386.76</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1,858,767.96</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113,139.07</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92,939.28</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1,131,386.76</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929,383.00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1,309.88</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774.99</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436,814.82</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359,734.05</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46,201.58</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21,575.68</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32,833,073.91</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32,963,010.41</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505DCC">
            <w:pPr>
              <w:rPr>
                <w:rFonts w:ascii="宋体" w:hAnsi="宋体" w:cs="宋体"/>
                <w:kern w:val="0"/>
                <w:sz w:val="24"/>
                <w:szCs w:val="24"/>
              </w:rPr>
            </w:pP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1,050,983,801.50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865,370,000.00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0.00</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25,479,432.57</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20,364,066.94</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1,076,463,234.07</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885,734,066.94</w:t>
            </w:r>
          </w:p>
        </w:tc>
      </w:tr>
      <w:tr w:rsidR="00505DCC">
        <w:tc>
          <w:tcPr>
            <w:tcW w:w="260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1,109,296,307.98</w:t>
            </w:r>
          </w:p>
        </w:tc>
        <w:tc>
          <w:tcPr>
            <w:tcW w:w="2620"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cs="Arial" w:hint="eastAsia"/>
                <w:color w:val="000000"/>
              </w:rPr>
              <w:t>918,697,077.35</w:t>
            </w:r>
          </w:p>
        </w:tc>
      </w:tr>
    </w:tbl>
    <w:p w:rsidR="00505DCC" w:rsidRDefault="00505DCC">
      <w:pPr>
        <w:widowControl/>
        <w:jc w:val="left"/>
        <w:rPr>
          <w:rFonts w:ascii="宋体" w:hAnsi="宋体" w:cs="宋体"/>
          <w:kern w:val="0"/>
          <w:sz w:val="24"/>
          <w:szCs w:val="24"/>
        </w:rPr>
      </w:pPr>
    </w:p>
    <w:p w:rsidR="00505DCC" w:rsidRDefault="003E6513">
      <w:pPr>
        <w:pStyle w:val="zhangjiep"/>
      </w:pPr>
      <w:bookmarkStart w:id="4" w:name="_Toc61426864"/>
      <w:r>
        <w:rPr>
          <w:rFonts w:hint="eastAsia"/>
          <w:b/>
          <w:bCs/>
        </w:rPr>
        <w:t xml:space="preserve">5.2 </w:t>
      </w:r>
      <w:r>
        <w:rPr>
          <w:rFonts w:hint="eastAsia"/>
          <w:b/>
          <w:bCs/>
        </w:rPr>
        <w:t>利润表</w:t>
      </w:r>
      <w:bookmarkEnd w:id="4"/>
    </w:p>
    <w:p w:rsidR="00505DCC" w:rsidRDefault="003E6513">
      <w:pPr>
        <w:pStyle w:val="biaogeleft"/>
      </w:pPr>
      <w:r>
        <w:rPr>
          <w:rFonts w:hint="eastAsia"/>
        </w:rPr>
        <w:t>会计主体：南京银行珠联璧合安稳</w:t>
      </w:r>
      <w:r>
        <w:rPr>
          <w:rFonts w:hint="eastAsia"/>
        </w:rPr>
        <w:t>1906</w:t>
      </w:r>
      <w:r>
        <w:rPr>
          <w:rFonts w:hint="eastAsia"/>
        </w:rPr>
        <w:t>一年定开公募人民币理财产品</w:t>
      </w:r>
    </w:p>
    <w:p w:rsidR="00505DCC" w:rsidRDefault="003E6513">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505DCC" w:rsidRDefault="003E651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505DC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505DC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505DCC" w:rsidRDefault="00505DC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505DCC" w:rsidRDefault="00505DCC">
            <w:pPr>
              <w:widowControl/>
              <w:jc w:val="left"/>
              <w:rPr>
                <w:rFonts w:asciiTheme="minorEastAsia" w:eastAsiaTheme="minorEastAsia" w:hAnsiTheme="minorEastAsia" w:cs="宋体"/>
                <w:kern w:val="0"/>
                <w:sz w:val="24"/>
                <w:szCs w:val="24"/>
              </w:rPr>
            </w:pP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b/>
                <w:bCs/>
                <w:color w:val="000000"/>
              </w:rPr>
              <w:t>49,442,656.36</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42,089,823.67</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31,860.40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42,012,763.98</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45,199.29</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ascii="Arial" w:hAnsi="Arial" w:cs="Arial"/>
                <w:color w:val="000000"/>
              </w:rPr>
              <w:t xml:space="preserve">　</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7,352,832.69</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50,265.85</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7,521,643.84</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-219,077.00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 xml:space="preserve">　</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b/>
                <w:bCs/>
                <w:color w:val="000000"/>
              </w:rPr>
              <w:t>5,963,222.80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2,729,721.16</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193,055.79</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1,930,553.96</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898,963.90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898,963.90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173,727.99</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color w:val="000000"/>
              </w:rPr>
              <w:t>37,200.00</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b/>
                <w:bCs/>
                <w:color w:val="000000"/>
              </w:rPr>
              <w:t>43,479,433.56</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ascii="Arial" w:hAnsi="Arial" w:cs="Arial"/>
                <w:color w:val="000000"/>
              </w:rPr>
              <w:t xml:space="preserve">　</w:t>
            </w:r>
          </w:p>
        </w:tc>
      </w:tr>
      <w:tr w:rsidR="00505DCC">
        <w:tc>
          <w:tcPr>
            <w:tcW w:w="2969"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rPr>
                <w:rFonts w:asciiTheme="minorEastAsia" w:eastAsiaTheme="minorEastAsia" w:hAnsiTheme="minorEastAsia"/>
              </w:rPr>
            </w:pPr>
            <w:r>
              <w:rPr>
                <w:rFonts w:cs="Arial" w:hint="eastAsia"/>
                <w:b/>
                <w:bCs/>
                <w:color w:val="000000"/>
              </w:rPr>
              <w:t>43,479,433.56</w:t>
            </w:r>
          </w:p>
        </w:tc>
      </w:tr>
    </w:tbl>
    <w:p w:rsidR="00505DCC" w:rsidRDefault="00505DCC">
      <w:pPr>
        <w:widowControl/>
        <w:jc w:val="left"/>
        <w:rPr>
          <w:rFonts w:ascii="宋体" w:hAnsi="宋体" w:cs="宋体"/>
          <w:kern w:val="0"/>
          <w:sz w:val="24"/>
          <w:szCs w:val="24"/>
        </w:rPr>
      </w:pPr>
    </w:p>
    <w:p w:rsidR="00505DCC" w:rsidRDefault="003E6513">
      <w:pPr>
        <w:pStyle w:val="zhangjiep"/>
      </w:pPr>
      <w:bookmarkStart w:id="5" w:name="_Toc61426865"/>
      <w:r>
        <w:rPr>
          <w:rFonts w:hint="eastAsia"/>
          <w:b/>
          <w:bCs/>
        </w:rPr>
        <w:t xml:space="preserve">5.3 </w:t>
      </w:r>
      <w:r>
        <w:rPr>
          <w:rFonts w:hint="eastAsia"/>
          <w:b/>
          <w:bCs/>
        </w:rPr>
        <w:t>所有者权益（基金净值）变动表</w:t>
      </w:r>
      <w:bookmarkEnd w:id="5"/>
    </w:p>
    <w:p w:rsidR="00505DCC" w:rsidRDefault="003E6513">
      <w:pPr>
        <w:pStyle w:val="biaogeleft"/>
      </w:pPr>
      <w:r>
        <w:rPr>
          <w:rFonts w:hint="eastAsia"/>
        </w:rPr>
        <w:t>会计主体：南京银行珠联璧合安稳</w:t>
      </w:r>
      <w:r>
        <w:rPr>
          <w:rFonts w:hint="eastAsia"/>
        </w:rPr>
        <w:t>1906</w:t>
      </w:r>
      <w:r>
        <w:rPr>
          <w:rFonts w:hint="eastAsia"/>
        </w:rPr>
        <w:t>一年定开公募人民币理财产品</w:t>
      </w:r>
    </w:p>
    <w:p w:rsidR="00505DCC" w:rsidRDefault="003E6513">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505DCC" w:rsidRDefault="003E6513">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505DC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本期</w:t>
            </w:r>
            <w:r>
              <w:rPr>
                <w:rFonts w:hint="eastAsia"/>
              </w:rPr>
              <w:t> </w:t>
            </w:r>
          </w:p>
          <w:p w:rsidR="00505DCC" w:rsidRDefault="003E6513">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505DCC">
        <w:tc>
          <w:tcPr>
            <w:tcW w:w="2116" w:type="dxa"/>
            <w:vMerge/>
            <w:tcBorders>
              <w:top w:val="single" w:sz="8" w:space="0" w:color="000000"/>
              <w:left w:val="single" w:sz="8" w:space="0" w:color="000000"/>
              <w:bottom w:val="single" w:sz="8" w:space="0" w:color="000000"/>
              <w:right w:val="single" w:sz="8" w:space="0" w:color="000000"/>
            </w:tcBorders>
            <w:vAlign w:val="center"/>
          </w:tcPr>
          <w:p w:rsidR="00505DCC" w:rsidRDefault="00505DC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所有者权益合计</w:t>
            </w:r>
            <w:r>
              <w:rPr>
                <w:rFonts w:hint="eastAsia"/>
              </w:rPr>
              <w:t> </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865,370,000.00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20,364,066.94</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885,734,066.94</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43,479,433.56</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43,479,433.56</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185,613,801.50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185,613,801.50</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624,967,000.00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624,967,000.00</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-439,353,198.50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-439,353,198.50</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-38,364,067.93</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-38,364,067.93</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1,050,983,801.50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25,479,432.57</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1,076,463,234.07</w:t>
            </w:r>
          </w:p>
        </w:tc>
      </w:tr>
      <w:tr w:rsidR="00505DC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上年度可比期间</w:t>
            </w:r>
            <w:r>
              <w:rPr>
                <w:rFonts w:hint="eastAsia"/>
              </w:rPr>
              <w:t> </w:t>
            </w:r>
          </w:p>
          <w:p w:rsidR="00505DCC" w:rsidRDefault="003E6513">
            <w:pPr>
              <w:pStyle w:val="biaogecenter"/>
              <w:wordWrap w:val="0"/>
            </w:pPr>
            <w:r>
              <w:rPr>
                <w:rFonts w:hint="eastAsia"/>
              </w:rPr>
              <w:t>2019</w:t>
            </w:r>
            <w:r>
              <w:rPr>
                <w:rFonts w:hint="eastAsia"/>
              </w:rPr>
              <w:t>年</w:t>
            </w:r>
            <w:r>
              <w:rPr>
                <w:rFonts w:hint="eastAsia"/>
              </w:rPr>
              <w:t>06</w:t>
            </w:r>
            <w:r>
              <w:rPr>
                <w:rFonts w:hint="eastAsia"/>
              </w:rPr>
              <w:t>月</w:t>
            </w:r>
            <w:r>
              <w:rPr>
                <w:rFonts w:hint="eastAsia"/>
              </w:rPr>
              <w:t>19</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505DCC">
        <w:tc>
          <w:tcPr>
            <w:tcW w:w="2116" w:type="dxa"/>
            <w:vMerge/>
            <w:tcBorders>
              <w:top w:val="single" w:sz="8" w:space="0" w:color="000000"/>
              <w:left w:val="single" w:sz="8" w:space="0" w:color="000000"/>
              <w:bottom w:val="single" w:sz="8" w:space="0" w:color="000000"/>
              <w:right w:val="single" w:sz="8" w:space="0" w:color="000000"/>
            </w:tcBorders>
            <w:vAlign w:val="center"/>
          </w:tcPr>
          <w:p w:rsidR="00505DCC" w:rsidRDefault="00505DC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pPr>
            <w:r>
              <w:rPr>
                <w:rFonts w:hint="eastAsia"/>
              </w:rPr>
              <w:t>所有者权益合计</w:t>
            </w:r>
            <w:r>
              <w:rPr>
                <w:rFonts w:hint="eastAsia"/>
              </w:rPr>
              <w:t> </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865,370,000.00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865,370,000.00</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20,364,066.94</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20,364,066.94</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w:t>
            </w:r>
          </w:p>
        </w:tc>
      </w:tr>
      <w:tr w:rsidR="00505DCC">
        <w:tc>
          <w:tcPr>
            <w:tcW w:w="211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865,370,000.00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20,364,066.94</w:t>
            </w:r>
          </w:p>
        </w:tc>
        <w:tc>
          <w:tcPr>
            <w:tcW w:w="2484"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right"/>
              <w:wordWrap w:val="0"/>
            </w:pPr>
            <w:r>
              <w:rPr>
                <w:rFonts w:hint="eastAsia"/>
              </w:rPr>
              <w:t>885,734,066.94</w:t>
            </w:r>
          </w:p>
        </w:tc>
      </w:tr>
    </w:tbl>
    <w:p w:rsidR="00505DCC" w:rsidRDefault="00505DCC">
      <w:pPr>
        <w:widowControl/>
        <w:autoSpaceDE w:val="0"/>
        <w:autoSpaceDN w:val="0"/>
        <w:adjustRightInd w:val="0"/>
        <w:spacing w:line="288" w:lineRule="auto"/>
        <w:jc w:val="right"/>
        <w:rPr>
          <w:rFonts w:ascii="宋体" w:hAnsi="宋体" w:cs="宋体"/>
          <w:kern w:val="0"/>
          <w:sz w:val="24"/>
          <w:szCs w:val="24"/>
        </w:rPr>
      </w:pPr>
    </w:p>
    <w:p w:rsidR="00505DCC" w:rsidRDefault="00505DCC">
      <w:pPr>
        <w:pStyle w:val="biaogeleft"/>
        <w:spacing w:line="360" w:lineRule="auto"/>
        <w:ind w:firstLine="480"/>
        <w:rPr>
          <w:color w:val="000000"/>
        </w:rPr>
      </w:pPr>
    </w:p>
    <w:p w:rsidR="00505DCC" w:rsidRDefault="003E6513">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505DCC" w:rsidRDefault="00505DCC">
      <w:pPr>
        <w:widowControl/>
        <w:jc w:val="left"/>
        <w:rPr>
          <w:rFonts w:ascii="宋体" w:hAnsi="宋体" w:cs="宋体"/>
          <w:color w:val="000000"/>
          <w:kern w:val="0"/>
          <w:sz w:val="24"/>
          <w:szCs w:val="24"/>
        </w:rPr>
      </w:pPr>
    </w:p>
    <w:p w:rsidR="00505DCC" w:rsidRDefault="003E6513">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505DCC">
        <w:tc>
          <w:tcPr>
            <w:tcW w:w="891" w:type="dxa"/>
            <w:tcBorders>
              <w:top w:val="single" w:sz="8" w:space="0" w:color="000000"/>
              <w:left w:val="single" w:sz="8" w:space="0" w:color="000000"/>
              <w:bottom w:val="single" w:sz="6" w:space="0" w:color="000000"/>
              <w:right w:val="single" w:sz="8" w:space="0" w:color="000000"/>
            </w:tcBorders>
            <w:vAlign w:val="bottom"/>
          </w:tcPr>
          <w:p w:rsidR="00505DCC" w:rsidRDefault="003E6513">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505DCC" w:rsidRDefault="003E6513">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505DCC" w:rsidRDefault="003E6513">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505DCC" w:rsidRDefault="003E6513">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791,999,652.36</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71.40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25.24</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4,397,457.66</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0.40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1,803.55</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32,897,394.41</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w:t>
            </w:r>
            <w:r>
              <w:rPr>
                <w:rFonts w:ascii="宋体" w:hAnsi="宋体" w:cs="宋体"/>
                <w:color w:val="000000"/>
                <w:kern w:val="0"/>
                <w:sz w:val="24"/>
                <w:szCs w:val="24"/>
              </w:rPr>
              <w:t>6</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505DCC">
        <w:tc>
          <w:tcPr>
            <w:tcW w:w="891"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1,109,296,307.98</w:t>
            </w:r>
          </w:p>
        </w:tc>
        <w:tc>
          <w:tcPr>
            <w:tcW w:w="2395" w:type="dxa"/>
            <w:tcBorders>
              <w:top w:val="single" w:sz="8" w:space="0" w:color="000000"/>
              <w:left w:val="single" w:sz="8" w:space="0" w:color="000000"/>
              <w:bottom w:val="single" w:sz="8" w:space="0" w:color="000000"/>
              <w:right w:val="single" w:sz="8" w:space="0" w:color="000000"/>
            </w:tcBorders>
            <w:vAlign w:val="center"/>
          </w:tcPr>
          <w:p w:rsidR="00505DCC" w:rsidRDefault="003E6513">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w:t>
            </w:r>
            <w:r>
              <w:rPr>
                <w:rFonts w:ascii="宋体" w:hAnsi="宋体" w:cs="宋体"/>
                <w:color w:val="000000"/>
                <w:kern w:val="0"/>
                <w:sz w:val="24"/>
                <w:szCs w:val="24"/>
              </w:rPr>
              <w:t>0</w:t>
            </w:r>
          </w:p>
        </w:tc>
      </w:tr>
    </w:tbl>
    <w:p w:rsidR="00505DCC" w:rsidRDefault="00505DCC">
      <w:pPr>
        <w:widowControl/>
        <w:jc w:val="left"/>
        <w:rPr>
          <w:rFonts w:ascii="宋体" w:hAnsi="宋体" w:cs="宋体"/>
          <w:color w:val="000000"/>
          <w:kern w:val="0"/>
          <w:sz w:val="24"/>
          <w:szCs w:val="24"/>
        </w:rPr>
      </w:pPr>
    </w:p>
    <w:p w:rsidR="00505DCC" w:rsidRDefault="003E6513">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505DC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505DCC" w:rsidRDefault="003E6513">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505DCC" w:rsidRDefault="003E6513">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505DCC" w:rsidRDefault="003E6513">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505DCC" w:rsidRDefault="003E6513">
            <w:pPr>
              <w:pStyle w:val="biaogecenter"/>
              <w:wordWrap w:val="0"/>
              <w:rPr>
                <w:color w:val="000000"/>
              </w:rPr>
            </w:pPr>
            <w:r>
              <w:rPr>
                <w:rFonts w:hint="eastAsia"/>
                <w:color w:val="000000"/>
              </w:rPr>
              <w:t>占产品资产净值比例（％）</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QTBZZ202006290001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苏扬邗江城建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280,000,000.00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26.01%</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101900651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高淳国资</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50,003,855.36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4.65%</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042000047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宿州城投</w:t>
            </w:r>
            <w:r>
              <w:rPr>
                <w:rFonts w:ascii="宋体" w:hAnsi="宋体" w:cs="宋体" w:hint="eastAsia"/>
                <w:color w:val="000000"/>
                <w:kern w:val="0"/>
                <w:sz w:val="24"/>
                <w:szCs w:val="24"/>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50,000,037.39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4.64%</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114802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商丘</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50,000,000.00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4.64%</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200403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农发</w:t>
            </w:r>
            <w:r>
              <w:rPr>
                <w:rFonts w:ascii="宋体" w:hAnsi="宋体" w:cs="宋体" w:hint="eastAsia"/>
                <w:color w:val="000000"/>
                <w:kern w:val="0"/>
                <w:sz w:val="24"/>
                <w:szCs w:val="24"/>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49,959,606.42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4.64%</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031900015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藕塘职教</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40,814,136.52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3.79%</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031800177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浦口康居</w:t>
            </w:r>
            <w:r>
              <w:rPr>
                <w:rFonts w:ascii="宋体" w:hAnsi="宋体" w:cs="宋体" w:hint="eastAsia"/>
                <w:color w:val="000000"/>
                <w:kern w:val="0"/>
                <w:sz w:val="24"/>
                <w:szCs w:val="24"/>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40,136,034.10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3.73%</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031900402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江阴高新</w:t>
            </w:r>
            <w:r>
              <w:rPr>
                <w:rFonts w:ascii="宋体" w:hAnsi="宋体" w:cs="宋体" w:hint="eastAsia"/>
                <w:color w:val="000000"/>
                <w:kern w:val="0"/>
                <w:sz w:val="24"/>
                <w:szCs w:val="24"/>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40,011,398.26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3.72%</w:t>
            </w:r>
          </w:p>
        </w:tc>
      </w:tr>
      <w:tr w:rsidR="00505DCC">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031900891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盐城高新</w:t>
            </w:r>
            <w:r>
              <w:rPr>
                <w:rFonts w:ascii="宋体" w:hAnsi="宋体" w:cs="宋体" w:hint="eastAsia"/>
                <w:color w:val="000000"/>
                <w:kern w:val="0"/>
                <w:sz w:val="24"/>
                <w:szCs w:val="24"/>
              </w:rPr>
              <w:t>PPN005</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40,004,991.23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3.72%</w:t>
            </w:r>
          </w:p>
        </w:tc>
      </w:tr>
      <w:tr w:rsidR="00505DC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05DCC" w:rsidRDefault="003E6513">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101900824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袍江工业</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40,003,374.18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505DCC" w:rsidRDefault="003E6513">
            <w:pPr>
              <w:jc w:val="right"/>
              <w:rPr>
                <w:rFonts w:ascii="宋体" w:hAnsi="宋体" w:cs="宋体"/>
                <w:color w:val="000000"/>
                <w:kern w:val="0"/>
                <w:sz w:val="24"/>
                <w:szCs w:val="24"/>
              </w:rPr>
            </w:pPr>
            <w:r>
              <w:rPr>
                <w:rFonts w:ascii="宋体" w:hAnsi="宋体" w:cs="宋体" w:hint="eastAsia"/>
                <w:color w:val="000000"/>
                <w:kern w:val="0"/>
                <w:sz w:val="24"/>
                <w:szCs w:val="24"/>
              </w:rPr>
              <w:t>3.72%</w:t>
            </w:r>
          </w:p>
        </w:tc>
      </w:tr>
    </w:tbl>
    <w:p w:rsidR="00505DCC" w:rsidRDefault="00505DCC">
      <w:pPr>
        <w:widowControl/>
        <w:jc w:val="left"/>
        <w:rPr>
          <w:rFonts w:ascii="宋体" w:hAnsi="宋体" w:cs="宋体"/>
          <w:b/>
          <w:sz w:val="24"/>
          <w:szCs w:val="24"/>
          <w:shd w:val="clear" w:color="auto" w:fill="FFFFFF"/>
        </w:rPr>
      </w:pPr>
    </w:p>
    <w:p w:rsidR="00505DCC" w:rsidRDefault="003E6513">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505DCC" w:rsidRDefault="00505DC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505DCC">
        <w:tc>
          <w:tcPr>
            <w:tcW w:w="709"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风险状况</w:t>
            </w:r>
          </w:p>
        </w:tc>
      </w:tr>
      <w:tr w:rsidR="00505DCC">
        <w:tc>
          <w:tcPr>
            <w:tcW w:w="709"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扬州市邗江城市建设发展有限公司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20</w:t>
            </w:r>
            <w:r>
              <w:rPr>
                <w:rFonts w:hint="eastAsia"/>
                <w:shd w:val="clear" w:color="auto" w:fill="FFFFFF"/>
              </w:rPr>
              <w:t>苏扬邗江城建</w:t>
            </w:r>
            <w:r>
              <w:rPr>
                <w:rFonts w:hint="eastAsia"/>
                <w:shd w:val="clear" w:color="auto" w:fill="FFFFFF"/>
              </w:rPr>
              <w:t>ZR002</w:t>
            </w:r>
            <w:r>
              <w:rPr>
                <w:rFonts w:hint="eastAsia"/>
                <w:shd w:val="clear" w:color="auto" w:fill="FFFFFF"/>
              </w:rPr>
              <w:t>（</w:t>
            </w:r>
            <w:r>
              <w:rPr>
                <w:rFonts w:hint="eastAsia"/>
                <w:shd w:val="clear" w:color="auto" w:fill="FFFFFF"/>
              </w:rPr>
              <w:t>1+1+1</w:t>
            </w: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169</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505DCC" w:rsidRDefault="003E6513">
            <w:pPr>
              <w:pStyle w:val="biaogecenter"/>
              <w:wordWrap w:val="0"/>
              <w:rPr>
                <w:shd w:val="clear" w:color="auto" w:fill="FFFFFF"/>
              </w:rPr>
            </w:pPr>
            <w:r>
              <w:rPr>
                <w:rFonts w:hint="eastAsia"/>
                <w:shd w:val="clear" w:color="auto" w:fill="FFFFFF"/>
              </w:rPr>
              <w:t>-</w:t>
            </w:r>
          </w:p>
        </w:tc>
      </w:tr>
    </w:tbl>
    <w:p w:rsidR="00505DCC" w:rsidRDefault="003E6513">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505DCC" w:rsidRDefault="003E6513">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505DCC" w:rsidRDefault="003E6513">
      <w:pPr>
        <w:widowControl/>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351696560.12</w:t>
      </w:r>
      <w:r>
        <w:rPr>
          <w:rFonts w:ascii="宋体" w:hAnsi="宋体" w:cs="宋体" w:hint="eastAsia"/>
          <w:color w:val="000000"/>
          <w:kern w:val="0"/>
          <w:sz w:val="24"/>
          <w:szCs w:val="24"/>
        </w:rPr>
        <w:t>元。</w:t>
      </w:r>
    </w:p>
    <w:p w:rsidR="00505DCC" w:rsidRDefault="003E6513">
      <w:pPr>
        <w:pStyle w:val="biaogeright"/>
        <w:rPr>
          <w:b/>
        </w:rPr>
      </w:pPr>
      <w:r>
        <w:rPr>
          <w:rFonts w:hint="eastAsia"/>
          <w:b/>
        </w:rPr>
        <w:t>南京银行股份有限公司</w:t>
      </w:r>
    </w:p>
    <w:p w:rsidR="00505DCC" w:rsidRDefault="003E6513">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505DCC" w:rsidSect="00505DC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513" w:rsidRDefault="003E6513" w:rsidP="00505DCC">
      <w:r>
        <w:separator/>
      </w:r>
    </w:p>
  </w:endnote>
  <w:endnote w:type="continuationSeparator" w:id="1">
    <w:p w:rsidR="003E6513" w:rsidRDefault="003E6513" w:rsidP="00505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DCC" w:rsidRDefault="00505DCC">
    <w:pPr>
      <w:pStyle w:val="a5"/>
      <w:framePr w:wrap="around" w:vAnchor="text" w:hAnchor="margin" w:xAlign="center" w:y="1"/>
      <w:rPr>
        <w:rStyle w:val="aa"/>
      </w:rPr>
    </w:pPr>
    <w:r>
      <w:fldChar w:fldCharType="begin"/>
    </w:r>
    <w:r w:rsidR="003E6513">
      <w:rPr>
        <w:rStyle w:val="aa"/>
      </w:rPr>
      <w:instrText xml:space="preserve">PAGE  </w:instrText>
    </w:r>
    <w:r>
      <w:fldChar w:fldCharType="end"/>
    </w:r>
  </w:p>
  <w:p w:rsidR="00505DCC" w:rsidRDefault="00505DC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DCC" w:rsidRDefault="00505DC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77B" w:rsidRDefault="007A577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DCC" w:rsidRDefault="00505DC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DCC" w:rsidRDefault="00505D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513" w:rsidRDefault="003E6513" w:rsidP="00505DCC">
      <w:r>
        <w:separator/>
      </w:r>
    </w:p>
  </w:footnote>
  <w:footnote w:type="continuationSeparator" w:id="1">
    <w:p w:rsidR="003E6513" w:rsidRDefault="003E6513" w:rsidP="00505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DCC" w:rsidRDefault="00505DC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77B" w:rsidRDefault="007A577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77B" w:rsidRDefault="007A577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094A"/>
    <w:rsid w:val="00034FF6"/>
    <w:rsid w:val="00044BFF"/>
    <w:rsid w:val="0005291C"/>
    <w:rsid w:val="0005474A"/>
    <w:rsid w:val="00061725"/>
    <w:rsid w:val="00072777"/>
    <w:rsid w:val="000A3711"/>
    <w:rsid w:val="000D027D"/>
    <w:rsid w:val="000D5066"/>
    <w:rsid w:val="000E621F"/>
    <w:rsid w:val="000F6191"/>
    <w:rsid w:val="00130CE8"/>
    <w:rsid w:val="00152201"/>
    <w:rsid w:val="00164290"/>
    <w:rsid w:val="00172A27"/>
    <w:rsid w:val="00176636"/>
    <w:rsid w:val="00183C84"/>
    <w:rsid w:val="001C05F9"/>
    <w:rsid w:val="001C5395"/>
    <w:rsid w:val="002019EE"/>
    <w:rsid w:val="00211F26"/>
    <w:rsid w:val="002263FC"/>
    <w:rsid w:val="002304BC"/>
    <w:rsid w:val="00295A2D"/>
    <w:rsid w:val="002A3AE9"/>
    <w:rsid w:val="002C196E"/>
    <w:rsid w:val="002D296F"/>
    <w:rsid w:val="002D75D0"/>
    <w:rsid w:val="002E795C"/>
    <w:rsid w:val="00305714"/>
    <w:rsid w:val="00313E71"/>
    <w:rsid w:val="00321CB7"/>
    <w:rsid w:val="003379A9"/>
    <w:rsid w:val="00350ADF"/>
    <w:rsid w:val="00355623"/>
    <w:rsid w:val="003A0419"/>
    <w:rsid w:val="003C4D3B"/>
    <w:rsid w:val="003E09EA"/>
    <w:rsid w:val="003E6513"/>
    <w:rsid w:val="003F0AC3"/>
    <w:rsid w:val="003F4977"/>
    <w:rsid w:val="004219F7"/>
    <w:rsid w:val="00456251"/>
    <w:rsid w:val="004C1607"/>
    <w:rsid w:val="004C1BE1"/>
    <w:rsid w:val="00505DCC"/>
    <w:rsid w:val="005069D8"/>
    <w:rsid w:val="00533242"/>
    <w:rsid w:val="005352A4"/>
    <w:rsid w:val="005357AA"/>
    <w:rsid w:val="0056162E"/>
    <w:rsid w:val="00563B93"/>
    <w:rsid w:val="00567DB3"/>
    <w:rsid w:val="00575BEA"/>
    <w:rsid w:val="005B3434"/>
    <w:rsid w:val="005E2884"/>
    <w:rsid w:val="005E5050"/>
    <w:rsid w:val="005F2C7B"/>
    <w:rsid w:val="005F4D04"/>
    <w:rsid w:val="005F7DA9"/>
    <w:rsid w:val="006054F8"/>
    <w:rsid w:val="00605B4B"/>
    <w:rsid w:val="00613225"/>
    <w:rsid w:val="0065419A"/>
    <w:rsid w:val="00654220"/>
    <w:rsid w:val="00663B94"/>
    <w:rsid w:val="00677F66"/>
    <w:rsid w:val="006A39A8"/>
    <w:rsid w:val="006C7F31"/>
    <w:rsid w:val="006E4E94"/>
    <w:rsid w:val="007042FB"/>
    <w:rsid w:val="007219FC"/>
    <w:rsid w:val="00730BEE"/>
    <w:rsid w:val="0073101E"/>
    <w:rsid w:val="00734D67"/>
    <w:rsid w:val="00735153"/>
    <w:rsid w:val="00741445"/>
    <w:rsid w:val="00745421"/>
    <w:rsid w:val="007A4219"/>
    <w:rsid w:val="007A577B"/>
    <w:rsid w:val="007B6AF6"/>
    <w:rsid w:val="0080200C"/>
    <w:rsid w:val="00814110"/>
    <w:rsid w:val="0082561A"/>
    <w:rsid w:val="00837A3A"/>
    <w:rsid w:val="00846B2E"/>
    <w:rsid w:val="00853290"/>
    <w:rsid w:val="0085663C"/>
    <w:rsid w:val="008704FB"/>
    <w:rsid w:val="008768AB"/>
    <w:rsid w:val="008926F7"/>
    <w:rsid w:val="008A7510"/>
    <w:rsid w:val="008C78BD"/>
    <w:rsid w:val="008F0FA3"/>
    <w:rsid w:val="00900D90"/>
    <w:rsid w:val="00903EE8"/>
    <w:rsid w:val="009354D6"/>
    <w:rsid w:val="00970A98"/>
    <w:rsid w:val="00972619"/>
    <w:rsid w:val="009B4BEF"/>
    <w:rsid w:val="009C781F"/>
    <w:rsid w:val="009D5296"/>
    <w:rsid w:val="009E3CAB"/>
    <w:rsid w:val="009E6170"/>
    <w:rsid w:val="00A040FA"/>
    <w:rsid w:val="00A37451"/>
    <w:rsid w:val="00A420E2"/>
    <w:rsid w:val="00A4484F"/>
    <w:rsid w:val="00A6677A"/>
    <w:rsid w:val="00A76D4B"/>
    <w:rsid w:val="00A77C47"/>
    <w:rsid w:val="00A9119C"/>
    <w:rsid w:val="00AA4549"/>
    <w:rsid w:val="00AC2041"/>
    <w:rsid w:val="00AC5144"/>
    <w:rsid w:val="00B13014"/>
    <w:rsid w:val="00B17559"/>
    <w:rsid w:val="00B311B7"/>
    <w:rsid w:val="00B33B19"/>
    <w:rsid w:val="00B404E6"/>
    <w:rsid w:val="00B4360D"/>
    <w:rsid w:val="00B61EA9"/>
    <w:rsid w:val="00B670D1"/>
    <w:rsid w:val="00B74DCA"/>
    <w:rsid w:val="00BC02E0"/>
    <w:rsid w:val="00BC3903"/>
    <w:rsid w:val="00BE47E0"/>
    <w:rsid w:val="00BF75C8"/>
    <w:rsid w:val="00C1762E"/>
    <w:rsid w:val="00C22DF9"/>
    <w:rsid w:val="00C25123"/>
    <w:rsid w:val="00C30A48"/>
    <w:rsid w:val="00C375A7"/>
    <w:rsid w:val="00C5054B"/>
    <w:rsid w:val="00C62DF8"/>
    <w:rsid w:val="00C640FB"/>
    <w:rsid w:val="00CB054E"/>
    <w:rsid w:val="00CC52D7"/>
    <w:rsid w:val="00CD0D07"/>
    <w:rsid w:val="00D23AB6"/>
    <w:rsid w:val="00D42895"/>
    <w:rsid w:val="00D50309"/>
    <w:rsid w:val="00D51AA9"/>
    <w:rsid w:val="00D56541"/>
    <w:rsid w:val="00D60FC3"/>
    <w:rsid w:val="00D70B2E"/>
    <w:rsid w:val="00D7264A"/>
    <w:rsid w:val="00D84E43"/>
    <w:rsid w:val="00D870DF"/>
    <w:rsid w:val="00D96699"/>
    <w:rsid w:val="00DB0C2F"/>
    <w:rsid w:val="00DB3BF6"/>
    <w:rsid w:val="00DC31CC"/>
    <w:rsid w:val="00DC728A"/>
    <w:rsid w:val="00DD1887"/>
    <w:rsid w:val="00DD2F3C"/>
    <w:rsid w:val="00DE5D30"/>
    <w:rsid w:val="00E1059D"/>
    <w:rsid w:val="00E155DF"/>
    <w:rsid w:val="00E246E1"/>
    <w:rsid w:val="00E560F1"/>
    <w:rsid w:val="00E944FA"/>
    <w:rsid w:val="00E9797A"/>
    <w:rsid w:val="00EA7ABC"/>
    <w:rsid w:val="00EB2746"/>
    <w:rsid w:val="00EE0436"/>
    <w:rsid w:val="00F1465C"/>
    <w:rsid w:val="00F22EED"/>
    <w:rsid w:val="00F41324"/>
    <w:rsid w:val="00F577CD"/>
    <w:rsid w:val="00F57C12"/>
    <w:rsid w:val="00F609FD"/>
    <w:rsid w:val="00F859AB"/>
    <w:rsid w:val="00F950D0"/>
    <w:rsid w:val="00FA2C26"/>
    <w:rsid w:val="00FF7729"/>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49B42A8"/>
    <w:rsid w:val="55F73C55"/>
    <w:rsid w:val="5617604A"/>
    <w:rsid w:val="59611594"/>
    <w:rsid w:val="5BE61B5E"/>
    <w:rsid w:val="5CA05A23"/>
    <w:rsid w:val="5DD73BDE"/>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D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05DCC"/>
    <w:pPr>
      <w:jc w:val="left"/>
    </w:pPr>
  </w:style>
  <w:style w:type="paragraph" w:styleId="a4">
    <w:name w:val="Balloon Text"/>
    <w:basedOn w:val="a"/>
    <w:link w:val="Char0"/>
    <w:uiPriority w:val="99"/>
    <w:unhideWhenUsed/>
    <w:qFormat/>
    <w:rsid w:val="00505DCC"/>
    <w:rPr>
      <w:sz w:val="18"/>
      <w:szCs w:val="18"/>
    </w:rPr>
  </w:style>
  <w:style w:type="paragraph" w:styleId="a5">
    <w:name w:val="footer"/>
    <w:basedOn w:val="a"/>
    <w:link w:val="Char1"/>
    <w:uiPriority w:val="99"/>
    <w:unhideWhenUsed/>
    <w:qFormat/>
    <w:rsid w:val="00505DC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05DC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505DCC"/>
    <w:pPr>
      <w:snapToGrid w:val="0"/>
      <w:jc w:val="left"/>
    </w:pPr>
    <w:rPr>
      <w:sz w:val="18"/>
    </w:rPr>
  </w:style>
  <w:style w:type="paragraph" w:styleId="a8">
    <w:name w:val="Normal (Web)"/>
    <w:basedOn w:val="a"/>
    <w:qFormat/>
    <w:rsid w:val="00505DC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505DCC"/>
    <w:rPr>
      <w:b/>
      <w:bCs/>
    </w:rPr>
  </w:style>
  <w:style w:type="character" w:styleId="aa">
    <w:name w:val="page number"/>
    <w:basedOn w:val="a0"/>
    <w:uiPriority w:val="99"/>
    <w:unhideWhenUsed/>
    <w:qFormat/>
    <w:rsid w:val="00505DCC"/>
  </w:style>
  <w:style w:type="character" w:styleId="ab">
    <w:name w:val="annotation reference"/>
    <w:uiPriority w:val="99"/>
    <w:unhideWhenUsed/>
    <w:qFormat/>
    <w:rsid w:val="00505DCC"/>
    <w:rPr>
      <w:sz w:val="21"/>
      <w:szCs w:val="21"/>
    </w:rPr>
  </w:style>
  <w:style w:type="character" w:styleId="ac">
    <w:name w:val="footnote reference"/>
    <w:uiPriority w:val="99"/>
    <w:unhideWhenUsed/>
    <w:qFormat/>
    <w:rsid w:val="00505DCC"/>
    <w:rPr>
      <w:vertAlign w:val="superscript"/>
    </w:rPr>
  </w:style>
  <w:style w:type="character" w:customStyle="1" w:styleId="Char0">
    <w:name w:val="批注框文本 Char"/>
    <w:link w:val="a4"/>
    <w:uiPriority w:val="99"/>
    <w:semiHidden/>
    <w:qFormat/>
    <w:rsid w:val="00505DCC"/>
    <w:rPr>
      <w:kern w:val="2"/>
      <w:sz w:val="18"/>
      <w:szCs w:val="18"/>
    </w:rPr>
  </w:style>
  <w:style w:type="character" w:customStyle="1" w:styleId="Char2">
    <w:name w:val="页眉 Char"/>
    <w:link w:val="a6"/>
    <w:uiPriority w:val="99"/>
    <w:semiHidden/>
    <w:qFormat/>
    <w:locked/>
    <w:rsid w:val="00505DCC"/>
    <w:rPr>
      <w:rFonts w:ascii="Times New Roman" w:hAnsi="Times New Roman" w:cs="Times New Roman" w:hint="default"/>
      <w:sz w:val="18"/>
      <w:szCs w:val="18"/>
    </w:rPr>
  </w:style>
  <w:style w:type="character" w:customStyle="1" w:styleId="Char3">
    <w:name w:val="批注主题 Char"/>
    <w:link w:val="a9"/>
    <w:uiPriority w:val="99"/>
    <w:semiHidden/>
    <w:qFormat/>
    <w:rsid w:val="00505DCC"/>
    <w:rPr>
      <w:b/>
      <w:bCs/>
      <w:kern w:val="2"/>
      <w:sz w:val="21"/>
      <w:szCs w:val="22"/>
    </w:rPr>
  </w:style>
  <w:style w:type="character" w:customStyle="1" w:styleId="Char1">
    <w:name w:val="页脚 Char"/>
    <w:link w:val="a5"/>
    <w:uiPriority w:val="99"/>
    <w:semiHidden/>
    <w:qFormat/>
    <w:locked/>
    <w:rsid w:val="00505DCC"/>
    <w:rPr>
      <w:rFonts w:ascii="Times New Roman" w:hAnsi="Times New Roman" w:cs="Times New Roman" w:hint="default"/>
      <w:sz w:val="18"/>
      <w:szCs w:val="18"/>
    </w:rPr>
  </w:style>
  <w:style w:type="character" w:customStyle="1" w:styleId="Char">
    <w:name w:val="批注文字 Char"/>
    <w:link w:val="a3"/>
    <w:uiPriority w:val="99"/>
    <w:qFormat/>
    <w:rsid w:val="00505DCC"/>
    <w:rPr>
      <w:kern w:val="2"/>
      <w:sz w:val="21"/>
      <w:szCs w:val="22"/>
    </w:rPr>
  </w:style>
  <w:style w:type="paragraph" w:customStyle="1" w:styleId="zhongyaotishi">
    <w:name w:val="zhongyaotishi"/>
    <w:basedOn w:val="a"/>
    <w:qFormat/>
    <w:rsid w:val="00505DC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05DC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05DC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05DC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05DC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05DCC"/>
    <w:pPr>
      <w:widowControl w:val="0"/>
      <w:jc w:val="center"/>
    </w:pPr>
    <w:rPr>
      <w:kern w:val="2"/>
      <w:sz w:val="33"/>
      <w:szCs w:val="22"/>
    </w:rPr>
  </w:style>
  <w:style w:type="paragraph" w:customStyle="1" w:styleId="biaogeleft">
    <w:name w:val="biaoge_left"/>
    <w:basedOn w:val="a"/>
    <w:qFormat/>
    <w:rsid w:val="00505DC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05DC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05DC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05DC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05DC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05DCC"/>
    <w:pPr>
      <w:widowControl w:val="0"/>
    </w:pPr>
    <w:rPr>
      <w:kern w:val="2"/>
      <w:sz w:val="21"/>
      <w:szCs w:val="22"/>
    </w:rPr>
  </w:style>
  <w:style w:type="paragraph" w:customStyle="1" w:styleId="neirong">
    <w:name w:val="neirong"/>
    <w:basedOn w:val="a"/>
    <w:qFormat/>
    <w:rsid w:val="00505DCC"/>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970</Words>
  <Characters>5532</Characters>
  <Application>Microsoft Office Word</Application>
  <DocSecurity>0</DocSecurity>
  <Lines>46</Lines>
  <Paragraphs>12</Paragraphs>
  <ScaleCrop>false</ScaleCrop>
  <Company>微软中国</Company>
  <LinksUpToDate>false</LinksUpToDate>
  <CharactersWithSpaces>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1C4021F4C82847669F6431B80BE2C485</vt:lpwstr>
  </property>
</Properties>
</file>