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52C" w:rsidRDefault="008D752C">
      <w:pPr>
        <w:pStyle w:val="dazhangjie"/>
        <w:rPr>
          <w:b/>
          <w:bCs/>
          <w:color w:val="000000"/>
        </w:rPr>
      </w:pPr>
    </w:p>
    <w:p w:rsidR="008D752C" w:rsidRDefault="008D752C">
      <w:pPr>
        <w:pStyle w:val="dazhangjie"/>
        <w:rPr>
          <w:b/>
          <w:bCs/>
          <w:color w:val="000000"/>
        </w:rPr>
      </w:pPr>
    </w:p>
    <w:p w:rsidR="008D752C" w:rsidRDefault="008D752C">
      <w:pPr>
        <w:pStyle w:val="dazhangjie"/>
        <w:rPr>
          <w:b/>
          <w:bCs/>
          <w:color w:val="000000"/>
        </w:rPr>
      </w:pPr>
    </w:p>
    <w:p w:rsidR="008D752C" w:rsidRDefault="0034057A">
      <w:pPr>
        <w:pStyle w:val="dazhangjie"/>
        <w:spacing w:before="240" w:after="120"/>
        <w:rPr>
          <w:rFonts w:ascii="黑体" w:eastAsia="黑体" w:hAnsi="黑体"/>
          <w:b/>
          <w:bCs/>
          <w:sz w:val="36"/>
        </w:rPr>
      </w:pPr>
      <w:r>
        <w:rPr>
          <w:rFonts w:ascii="黑体" w:eastAsia="黑体" w:hAnsi="黑体" w:hint="eastAsia"/>
          <w:b/>
          <w:bCs/>
          <w:sz w:val="36"/>
        </w:rPr>
        <w:t>南京银行珠联璧合致远</w:t>
      </w:r>
      <w:r>
        <w:rPr>
          <w:rFonts w:ascii="黑体" w:eastAsia="黑体" w:hAnsi="黑体"/>
          <w:b/>
          <w:bCs/>
          <w:sz w:val="36"/>
        </w:rPr>
        <w:t>2008</w:t>
      </w:r>
      <w:r>
        <w:rPr>
          <w:rFonts w:ascii="黑体" w:eastAsia="黑体" w:hAnsi="黑体"/>
          <w:b/>
          <w:bCs/>
          <w:sz w:val="36"/>
        </w:rPr>
        <w:t>一年定开公募人民币理财产品</w:t>
      </w:r>
    </w:p>
    <w:p w:rsidR="008D752C" w:rsidRDefault="0034057A">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8D752C" w:rsidRDefault="008D752C">
      <w:pPr>
        <w:pStyle w:val="dazhangjie"/>
        <w:spacing w:before="240" w:after="120"/>
        <w:rPr>
          <w:rFonts w:ascii="黑体" w:eastAsia="黑体" w:hAnsi="黑体"/>
          <w:b/>
          <w:bCs/>
          <w:color w:val="000000"/>
          <w:sz w:val="36"/>
        </w:rPr>
      </w:pPr>
    </w:p>
    <w:p w:rsidR="008D752C" w:rsidRDefault="008D752C">
      <w:pPr>
        <w:pStyle w:val="dazhangjie"/>
        <w:spacing w:before="240" w:after="120"/>
        <w:rPr>
          <w:rFonts w:ascii="黑体" w:eastAsia="黑体" w:hAnsi="黑体"/>
          <w:b/>
          <w:bCs/>
          <w:color w:val="000000"/>
          <w:sz w:val="36"/>
        </w:rPr>
      </w:pPr>
    </w:p>
    <w:p w:rsidR="008D752C" w:rsidRDefault="008D752C">
      <w:pPr>
        <w:pStyle w:val="dazhangjie"/>
        <w:spacing w:before="240" w:after="120"/>
        <w:rPr>
          <w:rFonts w:ascii="黑体" w:eastAsia="黑体" w:hAnsi="黑体"/>
          <w:b/>
          <w:bCs/>
          <w:color w:val="000000"/>
          <w:sz w:val="36"/>
        </w:rPr>
      </w:pPr>
    </w:p>
    <w:p w:rsidR="008D752C" w:rsidRDefault="008D752C">
      <w:pPr>
        <w:pStyle w:val="dazhangjie"/>
        <w:spacing w:before="240" w:after="120"/>
        <w:rPr>
          <w:rFonts w:ascii="黑体" w:eastAsia="黑体" w:hAnsi="黑体"/>
          <w:b/>
          <w:bCs/>
          <w:color w:val="000000"/>
          <w:sz w:val="36"/>
        </w:rPr>
      </w:pPr>
    </w:p>
    <w:p w:rsidR="008D752C" w:rsidRDefault="008D752C">
      <w:pPr>
        <w:pStyle w:val="dazhangjie"/>
        <w:spacing w:before="240" w:after="120"/>
        <w:rPr>
          <w:rFonts w:ascii="黑体" w:eastAsia="黑体" w:hAnsi="黑体"/>
          <w:b/>
          <w:bCs/>
          <w:color w:val="000000"/>
          <w:sz w:val="36"/>
        </w:rPr>
      </w:pPr>
    </w:p>
    <w:p w:rsidR="008D752C" w:rsidRDefault="008D752C">
      <w:pPr>
        <w:pStyle w:val="dazhangjie"/>
        <w:spacing w:before="240" w:after="120"/>
        <w:rPr>
          <w:rFonts w:ascii="黑体" w:eastAsia="黑体" w:hAnsi="黑体"/>
          <w:b/>
          <w:bCs/>
          <w:color w:val="000000"/>
          <w:sz w:val="36"/>
        </w:rPr>
      </w:pPr>
    </w:p>
    <w:p w:rsidR="008D752C" w:rsidRDefault="008D752C">
      <w:pPr>
        <w:pStyle w:val="dazhangjie"/>
        <w:spacing w:before="240" w:after="120"/>
        <w:rPr>
          <w:rFonts w:ascii="黑体" w:eastAsia="黑体" w:hAnsi="黑体"/>
          <w:b/>
          <w:bCs/>
          <w:color w:val="000000"/>
          <w:sz w:val="36"/>
        </w:rPr>
      </w:pPr>
    </w:p>
    <w:p w:rsidR="008D752C" w:rsidRDefault="008D752C">
      <w:pPr>
        <w:pStyle w:val="dazhangjie"/>
        <w:spacing w:before="240" w:after="120"/>
        <w:rPr>
          <w:rFonts w:ascii="黑体" w:eastAsia="黑体" w:hAnsi="黑体"/>
          <w:b/>
          <w:bCs/>
          <w:color w:val="000000"/>
          <w:sz w:val="36"/>
        </w:rPr>
      </w:pPr>
    </w:p>
    <w:p w:rsidR="008D752C" w:rsidRDefault="008D752C">
      <w:pPr>
        <w:pStyle w:val="dazhangjie"/>
        <w:spacing w:before="240" w:after="120"/>
        <w:ind w:left="0"/>
        <w:jc w:val="both"/>
        <w:rPr>
          <w:rFonts w:ascii="黑体" w:eastAsia="黑体" w:hAnsi="黑体"/>
          <w:b/>
          <w:bCs/>
          <w:color w:val="000000"/>
          <w:sz w:val="36"/>
        </w:rPr>
      </w:pPr>
    </w:p>
    <w:p w:rsidR="008D752C" w:rsidRDefault="0034057A">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8D752C" w:rsidRDefault="0034057A">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8D752C" w:rsidRDefault="008D752C">
      <w:pPr>
        <w:widowControl/>
        <w:jc w:val="left"/>
        <w:rPr>
          <w:rFonts w:ascii="宋体" w:hAnsi="宋体" w:cs="宋体"/>
          <w:color w:val="000000"/>
          <w:kern w:val="0"/>
          <w:sz w:val="24"/>
          <w:szCs w:val="24"/>
        </w:rPr>
        <w:sectPr w:rsidR="008D752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8D752C" w:rsidRDefault="008D752C">
      <w:pPr>
        <w:widowControl/>
        <w:jc w:val="left"/>
        <w:rPr>
          <w:rFonts w:ascii="宋体" w:hAnsi="宋体" w:cs="宋体"/>
          <w:color w:val="000000"/>
          <w:kern w:val="0"/>
          <w:sz w:val="24"/>
          <w:szCs w:val="24"/>
        </w:rPr>
      </w:pPr>
    </w:p>
    <w:p w:rsidR="008D752C" w:rsidRDefault="0034057A">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8D752C" w:rsidRDefault="008D752C">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8D752C">
        <w:tc>
          <w:tcPr>
            <w:tcW w:w="2811"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rPr>
              <w:t>南京银行珠联璧合致远</w:t>
            </w:r>
            <w:r>
              <w:rPr>
                <w:rFonts w:hint="eastAsia"/>
              </w:rPr>
              <w:t>2008</w:t>
            </w:r>
            <w:r>
              <w:rPr>
                <w:rFonts w:hint="eastAsia"/>
              </w:rPr>
              <w:t>一年定开公募人民币理财产品</w:t>
            </w:r>
          </w:p>
        </w:tc>
      </w:tr>
      <w:tr w:rsidR="008D752C">
        <w:tc>
          <w:tcPr>
            <w:tcW w:w="2811"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pPr>
            <w:r>
              <w:t>C1086920000012</w:t>
            </w:r>
            <w:r>
              <w:rPr>
                <w:rFonts w:hint="eastAsia"/>
              </w:rPr>
              <w:t>（投资者可依据该编码在中国理财网</w:t>
            </w:r>
            <w:r>
              <w:rPr>
                <w:rFonts w:hint="eastAsia"/>
              </w:rPr>
              <w:t>www.chinawealth.com.cn</w:t>
            </w:r>
            <w:r>
              <w:rPr>
                <w:rFonts w:hint="eastAsia"/>
              </w:rPr>
              <w:t>查询理财产品相关信息）</w:t>
            </w:r>
          </w:p>
        </w:tc>
      </w:tr>
      <w:tr w:rsidR="008D752C">
        <w:tc>
          <w:tcPr>
            <w:tcW w:w="2811"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rPr>
              <w:t>开放式</w:t>
            </w:r>
            <w:r>
              <w:rPr>
                <w:rFonts w:hint="eastAsia"/>
              </w:rPr>
              <w:t>净值型</w:t>
            </w:r>
          </w:p>
        </w:tc>
      </w:tr>
      <w:tr w:rsidR="008D752C">
        <w:tc>
          <w:tcPr>
            <w:tcW w:w="2811" w:type="dxa"/>
            <w:tcBorders>
              <w:top w:val="single" w:sz="8" w:space="0" w:color="000000"/>
              <w:left w:val="single" w:sz="8" w:space="0" w:color="000000"/>
              <w:bottom w:val="single" w:sz="6" w:space="0" w:color="000000"/>
              <w:right w:val="single" w:sz="8" w:space="0" w:color="000000"/>
            </w:tcBorders>
            <w:vAlign w:val="center"/>
          </w:tcPr>
          <w:p w:rsidR="008D752C" w:rsidRDefault="00FF1A1A">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rPr>
              <w:t>2020</w:t>
            </w:r>
            <w:r>
              <w:rPr>
                <w:rFonts w:hint="eastAsia"/>
              </w:rPr>
              <w:t>年</w:t>
            </w:r>
            <w:r>
              <w:rPr>
                <w:rFonts w:hint="eastAsia"/>
              </w:rPr>
              <w:t>08</w:t>
            </w:r>
            <w:r>
              <w:rPr>
                <w:rFonts w:hint="eastAsia"/>
              </w:rPr>
              <w:t>月</w:t>
            </w:r>
            <w:r>
              <w:rPr>
                <w:rFonts w:hint="eastAsia"/>
              </w:rPr>
              <w:t>12</w:t>
            </w:r>
            <w:r>
              <w:rPr>
                <w:rFonts w:hint="eastAsia"/>
              </w:rPr>
              <w:t>日</w:t>
            </w:r>
          </w:p>
        </w:tc>
      </w:tr>
      <w:tr w:rsidR="008D752C">
        <w:tc>
          <w:tcPr>
            <w:tcW w:w="2811"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highlight w:val="yellow"/>
              </w:rPr>
            </w:pPr>
            <w:r>
              <w:rPr>
                <w:rFonts w:hint="eastAsia"/>
              </w:rPr>
              <w:t>145,486,000.00</w:t>
            </w:r>
            <w:r>
              <w:rPr>
                <w:rFonts w:hint="eastAsia"/>
              </w:rPr>
              <w:t>份</w:t>
            </w:r>
          </w:p>
        </w:tc>
      </w:tr>
      <w:tr w:rsidR="008D752C">
        <w:tc>
          <w:tcPr>
            <w:tcW w:w="2811"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color w:val="000000"/>
              </w:rPr>
              <w:t>100.22%</w:t>
            </w:r>
          </w:p>
        </w:tc>
      </w:tr>
      <w:tr w:rsidR="008D752C">
        <w:tc>
          <w:tcPr>
            <w:tcW w:w="2811"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color w:val="000000"/>
              </w:rPr>
              <w:t>华夏基金管理有限公司、广发基金管理有限公司、华润深国投信托有限公司、鹏华基金管理有限公司</w:t>
            </w:r>
          </w:p>
        </w:tc>
      </w:tr>
      <w:tr w:rsidR="008D752C">
        <w:tc>
          <w:tcPr>
            <w:tcW w:w="2811"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rPr>
              <w:t>南京银行股份有限公司</w:t>
            </w:r>
          </w:p>
        </w:tc>
      </w:tr>
      <w:tr w:rsidR="008D752C">
        <w:tc>
          <w:tcPr>
            <w:tcW w:w="2811"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left"/>
              <w:wordWrap w:val="0"/>
              <w:rPr>
                <w:color w:val="000000"/>
              </w:rPr>
            </w:pPr>
            <w:r>
              <w:rPr>
                <w:rFonts w:hint="eastAsia"/>
              </w:rPr>
              <w:t>南京银行股份有限公司</w:t>
            </w:r>
          </w:p>
        </w:tc>
      </w:tr>
    </w:tbl>
    <w:p w:rsidR="008D752C" w:rsidRDefault="008D752C">
      <w:pPr>
        <w:widowControl/>
        <w:jc w:val="left"/>
        <w:rPr>
          <w:rFonts w:ascii="宋体" w:hAnsi="宋体" w:cs="宋体"/>
          <w:color w:val="000000"/>
          <w:kern w:val="0"/>
          <w:sz w:val="24"/>
          <w:szCs w:val="24"/>
        </w:rPr>
      </w:pPr>
    </w:p>
    <w:p w:rsidR="008D752C" w:rsidRDefault="008D752C">
      <w:pPr>
        <w:pStyle w:val="dazhangjie"/>
        <w:rPr>
          <w:rFonts w:hAnsi="Calibri"/>
          <w:b/>
          <w:color w:val="000000"/>
        </w:rPr>
      </w:pPr>
    </w:p>
    <w:p w:rsidR="008D752C" w:rsidRDefault="0034057A">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8D752C" w:rsidRDefault="008D752C">
      <w:pPr>
        <w:widowControl/>
        <w:jc w:val="left"/>
        <w:rPr>
          <w:rFonts w:ascii="宋体" w:hAnsi="宋体" w:cs="宋体"/>
          <w:color w:val="000000"/>
          <w:kern w:val="0"/>
          <w:sz w:val="24"/>
          <w:szCs w:val="24"/>
        </w:rPr>
      </w:pPr>
    </w:p>
    <w:p w:rsidR="008D752C" w:rsidRDefault="0034057A">
      <w:pPr>
        <w:pStyle w:val="zhangjiep"/>
        <w:rPr>
          <w:color w:val="000000"/>
        </w:rPr>
      </w:pPr>
      <w:r>
        <w:rPr>
          <w:rFonts w:hint="eastAsia"/>
          <w:b/>
          <w:bCs/>
          <w:color w:val="000000"/>
        </w:rPr>
        <w:t xml:space="preserve">2.1 </w:t>
      </w:r>
      <w:r>
        <w:rPr>
          <w:rFonts w:hint="eastAsia"/>
          <w:b/>
          <w:bCs/>
          <w:color w:val="000000"/>
        </w:rPr>
        <w:t>主要财务指标</w:t>
      </w:r>
    </w:p>
    <w:p w:rsidR="008D752C" w:rsidRDefault="0034057A">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8D752C">
        <w:tc>
          <w:tcPr>
            <w:tcW w:w="5220"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dazhangjie"/>
              <w:spacing w:before="240" w:after="120"/>
              <w:rPr>
                <w:color w:val="000000"/>
              </w:rPr>
            </w:pPr>
            <w:r>
              <w:t>报告期（</w:t>
            </w:r>
            <w:r>
              <w:rPr>
                <w:rFonts w:hint="eastAsia"/>
              </w:rPr>
              <w:t>2020</w:t>
            </w:r>
            <w:r>
              <w:rPr>
                <w:rFonts w:hint="eastAsia"/>
              </w:rPr>
              <w:t>年</w:t>
            </w:r>
            <w:r>
              <w:rPr>
                <w:rFonts w:hint="eastAsia"/>
              </w:rPr>
              <w:t>08</w:t>
            </w:r>
            <w:r>
              <w:rPr>
                <w:rFonts w:hint="eastAsia"/>
              </w:rPr>
              <w:t>月</w:t>
            </w:r>
            <w:r>
              <w:rPr>
                <w:rFonts w:hint="eastAsia"/>
              </w:rPr>
              <w:t>12</w:t>
            </w:r>
            <w:r>
              <w:rPr>
                <w:rFonts w:hint="eastAsia"/>
              </w:rPr>
              <w:t>日</w:t>
            </w:r>
            <w:r>
              <w:t>- 2020</w:t>
            </w:r>
            <w:r>
              <w:t>年</w:t>
            </w:r>
            <w:r>
              <w:t>12</w:t>
            </w:r>
            <w:r>
              <w:t>月</w:t>
            </w:r>
            <w:r>
              <w:t>31</w:t>
            </w:r>
            <w:r>
              <w:t>日）</w:t>
            </w:r>
          </w:p>
        </w:tc>
      </w:tr>
      <w:tr w:rsidR="008D752C">
        <w:tc>
          <w:tcPr>
            <w:tcW w:w="5220"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right"/>
              <w:jc w:val="center"/>
              <w:rPr>
                <w:color w:val="000000"/>
                <w:highlight w:val="yellow"/>
              </w:rPr>
            </w:pPr>
            <w:r>
              <w:rPr>
                <w:rFonts w:hint="eastAsia"/>
              </w:rPr>
              <w:t>148,966,672.79</w:t>
            </w:r>
          </w:p>
        </w:tc>
      </w:tr>
      <w:tr w:rsidR="008D752C">
        <w:tc>
          <w:tcPr>
            <w:tcW w:w="5220"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right"/>
              <w:jc w:val="center"/>
              <w:rPr>
                <w:color w:val="000000"/>
                <w:highlight w:val="yellow"/>
              </w:rPr>
            </w:pPr>
            <w:r>
              <w:rPr>
                <w:rFonts w:hint="eastAsia"/>
              </w:rPr>
              <w:t>1.0239</w:t>
            </w:r>
          </w:p>
        </w:tc>
      </w:tr>
      <w:tr w:rsidR="008D752C">
        <w:tc>
          <w:tcPr>
            <w:tcW w:w="5220"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right"/>
              <w:jc w:val="center"/>
              <w:rPr>
                <w:color w:val="000000"/>
                <w:highlight w:val="yellow"/>
              </w:rPr>
            </w:pPr>
            <w:r>
              <w:rPr>
                <w:color w:val="000000"/>
              </w:rPr>
              <w:t>1.0239</w:t>
            </w:r>
          </w:p>
        </w:tc>
      </w:tr>
      <w:tr w:rsidR="008D752C">
        <w:tc>
          <w:tcPr>
            <w:tcW w:w="5220" w:type="dxa"/>
            <w:vAlign w:val="center"/>
          </w:tcPr>
          <w:p w:rsidR="008D752C" w:rsidRDefault="008D752C">
            <w:pPr>
              <w:widowControl/>
              <w:jc w:val="left"/>
              <w:rPr>
                <w:rFonts w:ascii="宋体" w:hAnsi="宋体" w:cs="宋体"/>
                <w:color w:val="000000"/>
                <w:kern w:val="0"/>
                <w:sz w:val="24"/>
                <w:szCs w:val="24"/>
              </w:rPr>
            </w:pPr>
          </w:p>
        </w:tc>
        <w:tc>
          <w:tcPr>
            <w:tcW w:w="3825" w:type="dxa"/>
            <w:vAlign w:val="center"/>
          </w:tcPr>
          <w:p w:rsidR="008D752C" w:rsidRDefault="008D752C">
            <w:pPr>
              <w:widowControl/>
              <w:jc w:val="left"/>
              <w:rPr>
                <w:color w:val="000000"/>
                <w:kern w:val="0"/>
                <w:sz w:val="20"/>
                <w:szCs w:val="20"/>
              </w:rPr>
            </w:pPr>
          </w:p>
        </w:tc>
      </w:tr>
    </w:tbl>
    <w:p w:rsidR="008D752C" w:rsidRDefault="008D752C">
      <w:pPr>
        <w:pStyle w:val="biaogeleft"/>
        <w:ind w:left="0"/>
        <w:rPr>
          <w:color w:val="000000"/>
        </w:rPr>
      </w:pPr>
    </w:p>
    <w:p w:rsidR="008D752C" w:rsidRDefault="008D752C">
      <w:pPr>
        <w:widowControl/>
        <w:jc w:val="left"/>
        <w:rPr>
          <w:rFonts w:ascii="宋体" w:hAnsi="宋体" w:cs="宋体"/>
          <w:color w:val="000000"/>
          <w:kern w:val="0"/>
          <w:sz w:val="24"/>
          <w:szCs w:val="24"/>
        </w:rPr>
      </w:pPr>
    </w:p>
    <w:p w:rsidR="008D752C" w:rsidRDefault="0034057A">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8D752C" w:rsidRDefault="0034057A">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8D752C" w:rsidRDefault="0034057A" w:rsidP="00FF1A1A">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bookmarkStart w:id="0" w:name="_Hlk63865955"/>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年，新冠疫情对宏观经济与金融市场的冲击贯穿全年。受疫情影响，我国一季度经济明显收缩，投资、消费、出口均出呈现了萎缩态势，一季度经济增速同比下滑</w:t>
      </w:r>
      <w:r>
        <w:rPr>
          <w:rFonts w:asciiTheme="minorEastAsia" w:eastAsiaTheme="minorEastAsia" w:hAnsiTheme="minorEastAsia" w:hint="eastAsia"/>
          <w:kern w:val="0"/>
          <w:sz w:val="24"/>
          <w:szCs w:val="24"/>
        </w:rPr>
        <w:t>6.8%</w:t>
      </w:r>
      <w:r>
        <w:rPr>
          <w:rFonts w:asciiTheme="minorEastAsia" w:eastAsiaTheme="minorEastAsia" w:hAnsiTheme="minorEastAsia" w:hint="eastAsia"/>
          <w:kern w:val="0"/>
          <w:sz w:val="24"/>
          <w:szCs w:val="24"/>
        </w:rPr>
        <w:t>。二季度以来，全国疫情防控和复工复产取得明显成效，在宏观政策不断加大力度的背景</w:t>
      </w:r>
      <w:r>
        <w:rPr>
          <w:rFonts w:asciiTheme="minorEastAsia" w:eastAsiaTheme="minorEastAsia" w:hAnsiTheme="minorEastAsia" w:hint="eastAsia"/>
          <w:kern w:val="0"/>
          <w:sz w:val="24"/>
          <w:szCs w:val="24"/>
        </w:rPr>
        <w:lastRenderedPageBreak/>
        <w:t>下，国内经济呈全面复苏态势，并在世界主要经济体中率先实现正增长。据初步核算，</w:t>
      </w:r>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年国内生产总值</w:t>
      </w:r>
      <w:r>
        <w:rPr>
          <w:rFonts w:asciiTheme="minorEastAsia" w:eastAsiaTheme="minorEastAsia" w:hAnsiTheme="minorEastAsia" w:hint="eastAsia"/>
          <w:kern w:val="0"/>
          <w:sz w:val="24"/>
          <w:szCs w:val="24"/>
        </w:rPr>
        <w:t>101.6</w:t>
      </w:r>
      <w:r>
        <w:rPr>
          <w:rFonts w:asciiTheme="minorEastAsia" w:eastAsiaTheme="minorEastAsia" w:hAnsiTheme="minorEastAsia" w:hint="eastAsia"/>
          <w:kern w:val="0"/>
          <w:sz w:val="24"/>
          <w:szCs w:val="24"/>
        </w:rPr>
        <w:t>万亿元，同比增长</w:t>
      </w:r>
      <w:r>
        <w:rPr>
          <w:rFonts w:asciiTheme="minorEastAsia" w:eastAsiaTheme="minorEastAsia" w:hAnsiTheme="minorEastAsia" w:hint="eastAsia"/>
          <w:kern w:val="0"/>
          <w:sz w:val="24"/>
          <w:szCs w:val="24"/>
        </w:rPr>
        <w:t>2.3%</w:t>
      </w:r>
      <w:r>
        <w:rPr>
          <w:rFonts w:asciiTheme="minorEastAsia" w:eastAsiaTheme="minorEastAsia" w:hAnsiTheme="minorEastAsia" w:hint="eastAsia"/>
          <w:kern w:val="0"/>
          <w:sz w:val="24"/>
          <w:szCs w:val="24"/>
        </w:rPr>
        <w:t>。</w:t>
      </w:r>
    </w:p>
    <w:p w:rsidR="008D752C" w:rsidRDefault="0034057A" w:rsidP="00FF1A1A">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市场方面，债券市场全年大幅波动。前四个月，受疫情冲击、全球央行货币政策全面放松等因素影响，债券收益率大幅下行，</w:t>
      </w:r>
      <w:r>
        <w:rPr>
          <w:rFonts w:asciiTheme="minorEastAsia" w:eastAsiaTheme="minorEastAsia" w:hAnsiTheme="minorEastAsia" w:hint="eastAsia"/>
          <w:kern w:val="0"/>
          <w:sz w:val="24"/>
          <w:szCs w:val="24"/>
        </w:rPr>
        <w:t>10</w:t>
      </w:r>
      <w:r>
        <w:rPr>
          <w:rFonts w:asciiTheme="minorEastAsia" w:eastAsiaTheme="minorEastAsia" w:hAnsiTheme="minorEastAsia" w:hint="eastAsia"/>
          <w:kern w:val="0"/>
          <w:sz w:val="24"/>
          <w:szCs w:val="24"/>
        </w:rPr>
        <w:t>年期国债一度向下突破</w:t>
      </w:r>
      <w:r>
        <w:rPr>
          <w:rFonts w:asciiTheme="minorEastAsia" w:eastAsiaTheme="minorEastAsia" w:hAnsiTheme="minorEastAsia" w:hint="eastAsia"/>
          <w:kern w:val="0"/>
          <w:sz w:val="24"/>
          <w:szCs w:val="24"/>
        </w:rPr>
        <w:t>2.5</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5</w:t>
      </w:r>
      <w:r>
        <w:rPr>
          <w:rFonts w:asciiTheme="minorEastAsia" w:eastAsiaTheme="minorEastAsia" w:hAnsiTheme="minorEastAsia" w:hint="eastAsia"/>
          <w:kern w:val="0"/>
          <w:sz w:val="24"/>
          <w:szCs w:val="24"/>
        </w:rPr>
        <w:t>月，随着我国疫情防控逐步常态化，基本面预期企稳，央行货币政策边际收紧，叠加利率债供给放量等因素共振，债券收益率快速走高。进入</w:t>
      </w:r>
      <w:r>
        <w:rPr>
          <w:rFonts w:asciiTheme="minorEastAsia" w:eastAsiaTheme="minorEastAsia" w:hAnsiTheme="minorEastAsia" w:hint="eastAsia"/>
          <w:kern w:val="0"/>
          <w:sz w:val="24"/>
          <w:szCs w:val="24"/>
        </w:rPr>
        <w:t>11</w:t>
      </w:r>
      <w:r>
        <w:rPr>
          <w:rFonts w:asciiTheme="minorEastAsia" w:eastAsiaTheme="minorEastAsia" w:hAnsiTheme="minorEastAsia" w:hint="eastAsia"/>
          <w:kern w:val="0"/>
          <w:sz w:val="24"/>
          <w:szCs w:val="24"/>
        </w:rPr>
        <w:t>月后，国企债券违约等信用风险事件导致债券市场出现普遍性调整，信用利差持续走阔。</w:t>
      </w:r>
      <w:r>
        <w:rPr>
          <w:rFonts w:asciiTheme="minorEastAsia" w:eastAsiaTheme="minorEastAsia" w:hAnsiTheme="minorEastAsia" w:hint="eastAsia"/>
          <w:kern w:val="0"/>
          <w:sz w:val="24"/>
          <w:szCs w:val="24"/>
        </w:rPr>
        <w:t>12</w:t>
      </w:r>
      <w:r>
        <w:rPr>
          <w:rFonts w:asciiTheme="minorEastAsia" w:eastAsiaTheme="minorEastAsia" w:hAnsiTheme="minorEastAsia" w:hint="eastAsia"/>
          <w:kern w:val="0"/>
          <w:sz w:val="24"/>
          <w:szCs w:val="24"/>
        </w:rPr>
        <w:t>月，在中央表态政策“不急转弯”，央行呵护流动性的影响下，债市走强。全年来看，</w:t>
      </w:r>
      <w:r>
        <w:rPr>
          <w:rFonts w:asciiTheme="minorEastAsia" w:eastAsiaTheme="minorEastAsia" w:hAnsiTheme="minorEastAsia" w:hint="eastAsia"/>
          <w:kern w:val="0"/>
          <w:sz w:val="24"/>
          <w:szCs w:val="24"/>
        </w:rPr>
        <w:t xml:space="preserve"> 10</w:t>
      </w:r>
      <w:r>
        <w:rPr>
          <w:rFonts w:asciiTheme="minorEastAsia" w:eastAsiaTheme="minorEastAsia" w:hAnsiTheme="minorEastAsia" w:hint="eastAsia"/>
          <w:kern w:val="0"/>
          <w:sz w:val="24"/>
          <w:szCs w:val="24"/>
        </w:rPr>
        <w:t>年期国债收益率收于</w:t>
      </w:r>
      <w:r>
        <w:rPr>
          <w:rFonts w:asciiTheme="minorEastAsia" w:eastAsiaTheme="minorEastAsia" w:hAnsiTheme="minorEastAsia" w:hint="eastAsia"/>
          <w:kern w:val="0"/>
          <w:sz w:val="24"/>
          <w:szCs w:val="24"/>
        </w:rPr>
        <w:t>3.14%</w:t>
      </w:r>
      <w:r>
        <w:rPr>
          <w:rFonts w:asciiTheme="minorEastAsia" w:eastAsiaTheme="minorEastAsia" w:hAnsiTheme="minorEastAsia" w:hint="eastAsia"/>
          <w:kern w:val="0"/>
          <w:sz w:val="24"/>
          <w:szCs w:val="24"/>
        </w:rPr>
        <w:t>，较上年末无变化。</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股市场表现抢眼，尽管经历了疫情扰动，但在国内疫情控制得力、流动性相对宽松、龙头企业优势进一步扩大和居民财富加速入场等背景下，全年沪深</w:t>
      </w:r>
      <w:r>
        <w:rPr>
          <w:rFonts w:asciiTheme="minorEastAsia" w:eastAsiaTheme="minorEastAsia" w:hAnsiTheme="minorEastAsia" w:hint="eastAsia"/>
          <w:kern w:val="0"/>
          <w:sz w:val="24"/>
          <w:szCs w:val="24"/>
        </w:rPr>
        <w:t>300</w:t>
      </w:r>
      <w:r>
        <w:rPr>
          <w:rFonts w:asciiTheme="minorEastAsia" w:eastAsiaTheme="minorEastAsia" w:hAnsiTheme="minorEastAsia" w:hint="eastAsia"/>
          <w:kern w:val="0"/>
          <w:sz w:val="24"/>
          <w:szCs w:val="24"/>
        </w:rPr>
        <w:t>指数上涨达</w:t>
      </w:r>
      <w:r>
        <w:rPr>
          <w:rFonts w:asciiTheme="minorEastAsia" w:eastAsiaTheme="minorEastAsia" w:hAnsiTheme="minorEastAsia" w:hint="eastAsia"/>
          <w:kern w:val="0"/>
          <w:sz w:val="24"/>
          <w:szCs w:val="24"/>
        </w:rPr>
        <w:t>27%</w:t>
      </w:r>
      <w:r>
        <w:rPr>
          <w:rFonts w:asciiTheme="minorEastAsia" w:eastAsiaTheme="minorEastAsia" w:hAnsiTheme="minorEastAsia" w:hint="eastAsia"/>
          <w:kern w:val="0"/>
          <w:sz w:val="24"/>
          <w:szCs w:val="24"/>
        </w:rPr>
        <w:t>。</w:t>
      </w:r>
    </w:p>
    <w:p w:rsidR="008D752C" w:rsidRDefault="0034057A" w:rsidP="00FF1A1A">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本系列产品信用债投资维持中性偏短久期，有效控制回撤；权益部分则通过哑铃型配置策略，以金融周期为盾，以高端制造等高景气板块为矛，取得了较好的收益和较低的波动。展望未来，国内经济内生动力增强，但境外疫情和世界经济形势依然复杂严峻，预计全年债券维持震荡行情。投资上将继续坚持中短久期的票息策略为主，精选优质主体，并关注品种利差投资机会。权益方面，我们认为国家竞争优势的增强、房住不炒下居民财富搬家是</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股权益市场长期配置价值的坚实基础，但同时也关注到短期结构化高估带来的估值消化需求，</w:t>
      </w:r>
      <w:r>
        <w:rPr>
          <w:rFonts w:asciiTheme="minorEastAsia" w:eastAsiaTheme="minorEastAsia" w:hAnsiTheme="minorEastAsia" w:hint="eastAsia"/>
          <w:kern w:val="0"/>
          <w:sz w:val="24"/>
          <w:szCs w:val="24"/>
        </w:rPr>
        <w:t>2</w:t>
      </w:r>
      <w:r>
        <w:rPr>
          <w:rFonts w:asciiTheme="minorEastAsia" w:eastAsiaTheme="minorEastAsia" w:hAnsiTheme="minorEastAsia"/>
          <w:kern w:val="0"/>
          <w:sz w:val="24"/>
          <w:szCs w:val="24"/>
        </w:rPr>
        <w:t>021</w:t>
      </w:r>
      <w:r>
        <w:rPr>
          <w:rFonts w:asciiTheme="minorEastAsia" w:eastAsiaTheme="minorEastAsia" w:hAnsiTheme="minorEastAsia" w:hint="eastAsia"/>
          <w:kern w:val="0"/>
          <w:sz w:val="24"/>
          <w:szCs w:val="24"/>
        </w:rPr>
        <w:t>年选股难度将有所增加，我</w:t>
      </w:r>
      <w:r>
        <w:rPr>
          <w:rFonts w:asciiTheme="minorEastAsia" w:eastAsiaTheme="minorEastAsia" w:hAnsiTheme="minorEastAsia" w:hint="eastAsia"/>
          <w:kern w:val="0"/>
          <w:sz w:val="24"/>
          <w:szCs w:val="24"/>
        </w:rPr>
        <w:t>们将更加致力于攻守平衡，稳扎稳打。</w:t>
      </w:r>
      <w:bookmarkEnd w:id="0"/>
    </w:p>
    <w:p w:rsidR="008D752C" w:rsidRDefault="0034057A">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8D752C" w:rsidRDefault="0034057A" w:rsidP="00FF1A1A">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bookmarkStart w:id="1" w:name="_Hlk63865996"/>
      <w:r>
        <w:rPr>
          <w:rFonts w:asciiTheme="minorEastAsia" w:eastAsiaTheme="minorEastAsia" w:hAnsiTheme="minorEastAsia" w:hint="eastAsia"/>
          <w:kern w:val="0"/>
          <w:sz w:val="24"/>
          <w:szCs w:val="24"/>
        </w:rPr>
        <w:t>本系列持仓资产以债券为主，变现能力较强，同时合理控制个券集中度，持有的非标债权满足期限匹配要求，流动性风险较低。</w:t>
      </w:r>
      <w:bookmarkEnd w:id="1"/>
    </w:p>
    <w:p w:rsidR="008D752C" w:rsidRDefault="0034057A">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8D752C" w:rsidRDefault="0034057A">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1.0239</w:t>
      </w:r>
      <w:r>
        <w:rPr>
          <w:rFonts w:hint="eastAsia"/>
          <w:color w:val="000000"/>
        </w:rPr>
        <w:t>元。</w:t>
      </w:r>
    </w:p>
    <w:p w:rsidR="008D752C" w:rsidRDefault="008D752C">
      <w:pPr>
        <w:widowControl/>
        <w:jc w:val="left"/>
        <w:rPr>
          <w:rFonts w:ascii="宋体" w:hAnsi="宋体" w:cs="宋体"/>
          <w:color w:val="000000"/>
          <w:kern w:val="0"/>
          <w:sz w:val="24"/>
          <w:szCs w:val="24"/>
        </w:rPr>
      </w:pPr>
    </w:p>
    <w:p w:rsidR="008D752C" w:rsidRDefault="0034057A">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8D752C" w:rsidRDefault="008D752C">
      <w:pPr>
        <w:pStyle w:val="dazhangjie"/>
        <w:rPr>
          <w:rFonts w:hAnsi="Calibri"/>
          <w:b/>
          <w:color w:val="000000"/>
        </w:rPr>
      </w:pPr>
    </w:p>
    <w:p w:rsidR="008D752C" w:rsidRDefault="0034057A">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8D752C" w:rsidRDefault="0034057A">
      <w:pPr>
        <w:pStyle w:val="biaogeleft"/>
        <w:spacing w:line="360" w:lineRule="auto"/>
        <w:ind w:firstLineChars="200" w:firstLine="480"/>
        <w:rPr>
          <w:rFonts w:cs="Times New Roman"/>
          <w:b/>
          <w:color w:val="000000"/>
        </w:rPr>
      </w:pPr>
      <w:r>
        <w:rPr>
          <w:rFonts w:hint="eastAsia"/>
        </w:rPr>
        <w:lastRenderedPageBreak/>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08</w:t>
      </w:r>
      <w:r>
        <w:rPr>
          <w:rFonts w:hint="eastAsia"/>
        </w:rPr>
        <w:t>月</w:t>
      </w:r>
      <w:r>
        <w:rPr>
          <w:rFonts w:hint="eastAsia"/>
        </w:rPr>
        <w:t>12</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8D752C" w:rsidRDefault="0034057A">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8D752C" w:rsidRDefault="0034057A">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D752C" w:rsidRDefault="0034057A">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托管人对本年度报告中财务信息等内容的真实、准确和完整发表意见</w:t>
      </w:r>
    </w:p>
    <w:p w:rsidR="008D752C" w:rsidRDefault="0034057A">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2"/>
    </w:p>
    <w:p w:rsidR="008D752C" w:rsidRDefault="008D752C">
      <w:pPr>
        <w:pStyle w:val="biaogeleft"/>
        <w:spacing w:line="360" w:lineRule="auto"/>
        <w:ind w:firstLine="480"/>
        <w:rPr>
          <w:color w:val="000000"/>
        </w:rPr>
      </w:pPr>
    </w:p>
    <w:p w:rsidR="008D752C" w:rsidRDefault="0034057A">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8D752C" w:rsidRDefault="008D752C">
      <w:pPr>
        <w:widowControl/>
        <w:jc w:val="left"/>
        <w:rPr>
          <w:rFonts w:ascii="宋体" w:hAnsi="宋体" w:cs="宋体"/>
          <w:kern w:val="0"/>
          <w:sz w:val="24"/>
          <w:szCs w:val="24"/>
        </w:rPr>
      </w:pPr>
    </w:p>
    <w:p w:rsidR="008D752C" w:rsidRDefault="0034057A">
      <w:pPr>
        <w:pStyle w:val="zhangjiep"/>
      </w:pPr>
      <w:bookmarkStart w:id="4" w:name="_Toc61271615"/>
      <w:r>
        <w:rPr>
          <w:rFonts w:hint="eastAsia"/>
          <w:b/>
          <w:bCs/>
        </w:rPr>
        <w:t xml:space="preserve">5.1 </w:t>
      </w:r>
      <w:r>
        <w:rPr>
          <w:rFonts w:hint="eastAsia"/>
          <w:b/>
          <w:bCs/>
        </w:rPr>
        <w:t>资产负债表</w:t>
      </w:r>
      <w:bookmarkEnd w:id="4"/>
    </w:p>
    <w:p w:rsidR="008D752C" w:rsidRDefault="0034057A">
      <w:pPr>
        <w:pStyle w:val="biaogeleft"/>
      </w:pPr>
      <w:r>
        <w:rPr>
          <w:rFonts w:hint="eastAsia"/>
        </w:rPr>
        <w:t>会计主体：南京银行珠联璧合致远</w:t>
      </w:r>
      <w:r>
        <w:rPr>
          <w:rFonts w:hint="eastAsia"/>
        </w:rPr>
        <w:t>2008</w:t>
      </w:r>
      <w:r>
        <w:rPr>
          <w:rFonts w:hint="eastAsia"/>
        </w:rPr>
        <w:t>一年定开公募人民币理财产品</w:t>
      </w:r>
    </w:p>
    <w:p w:rsidR="008D752C" w:rsidRDefault="0034057A">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D752C" w:rsidRDefault="0034057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pPr>
            <w:r>
              <w:rPr>
                <w:rFonts w:hAnsi="Calibri" w:hint="eastAsia"/>
                <w:color w:val="000000"/>
              </w:rPr>
              <w:t>本期末</w:t>
            </w:r>
            <w:r>
              <w:rPr>
                <w:rFonts w:hAnsi="Calibri" w:hint="eastAsia"/>
                <w:color w:val="000000"/>
              </w:rPr>
              <w:t> </w:t>
            </w:r>
          </w:p>
          <w:p w:rsidR="008D752C" w:rsidRDefault="0034057A">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pPr>
            <w:r>
              <w:rPr>
                <w:rFonts w:hint="eastAsia"/>
              </w:rPr>
              <w:t> </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7,055,283.81</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90,015,712.74</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pPr>
            <w:r>
              <w:rPr>
                <w:rFonts w:hint="eastAsia"/>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9,754,093.13</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pPr>
            <w:r>
              <w:rPr>
                <w:rFonts w:hint="eastAsia"/>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80,261,619.61</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pPr>
            <w:r>
              <w:rPr>
                <w:rFonts w:hint="eastAsia"/>
              </w:rPr>
              <w:lastRenderedPageBreak/>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pPr>
            <w:r>
              <w:rPr>
                <w:rFonts w:hint="eastAsia"/>
              </w:rPr>
              <w:t>贵金属投资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衍生金融资产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2,171,747.36</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887,013.70</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递延所得税资产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49,176,978.31</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149,306,735.92</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pPr>
            <w:r>
              <w:rPr>
                <w:rFonts w:hint="eastAsia"/>
              </w:rPr>
              <w:t>本期末</w:t>
            </w:r>
            <w:r>
              <w:rPr>
                <w:rFonts w:hint="eastAsia"/>
              </w:rPr>
              <w:t> </w:t>
            </w:r>
          </w:p>
          <w:p w:rsidR="008D752C" w:rsidRDefault="0034057A">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pPr>
            <w:r>
              <w:rPr>
                <w:rFonts w:hint="eastAsia"/>
              </w:rPr>
              <w:t> </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121,636.02</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8,109.00</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121,636.02</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175.00</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88,507.09</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递延所得税负债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340,063.13</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pPr>
            <w:r>
              <w:rPr>
                <w:rFonts w:hint="eastAsia"/>
              </w:rPr>
              <w:t> </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145,486,000.00</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3,480,672.79</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lastRenderedPageBreak/>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148,966,672.79</w:t>
            </w:r>
          </w:p>
        </w:tc>
      </w:tr>
      <w:tr w:rsidR="008D752C">
        <w:tc>
          <w:tcPr>
            <w:tcW w:w="3660"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149,306,735.92</w:t>
            </w:r>
          </w:p>
        </w:tc>
      </w:tr>
    </w:tbl>
    <w:p w:rsidR="008D752C" w:rsidRDefault="008D752C">
      <w:pPr>
        <w:widowControl/>
        <w:jc w:val="left"/>
        <w:rPr>
          <w:rFonts w:ascii="宋体" w:hAnsi="宋体" w:cs="宋体"/>
          <w:kern w:val="0"/>
          <w:sz w:val="24"/>
          <w:szCs w:val="24"/>
        </w:rPr>
      </w:pPr>
    </w:p>
    <w:p w:rsidR="008D752C" w:rsidRDefault="0034057A">
      <w:pPr>
        <w:pStyle w:val="zhangjiep"/>
      </w:pPr>
      <w:bookmarkStart w:id="5" w:name="_Toc61427440"/>
      <w:r>
        <w:rPr>
          <w:rFonts w:hint="eastAsia"/>
          <w:b/>
          <w:bCs/>
        </w:rPr>
        <w:t xml:space="preserve">5.2 </w:t>
      </w:r>
      <w:r>
        <w:rPr>
          <w:rFonts w:hint="eastAsia"/>
          <w:b/>
          <w:bCs/>
        </w:rPr>
        <w:t>利润表</w:t>
      </w:r>
      <w:bookmarkEnd w:id="5"/>
    </w:p>
    <w:p w:rsidR="008D752C" w:rsidRDefault="0034057A">
      <w:pPr>
        <w:pStyle w:val="biaogeleft"/>
      </w:pPr>
      <w:r>
        <w:rPr>
          <w:rFonts w:hint="eastAsia"/>
        </w:rPr>
        <w:t>会计主体：南京银行珠联璧合致远</w:t>
      </w:r>
      <w:r>
        <w:rPr>
          <w:rFonts w:hint="eastAsia"/>
        </w:rPr>
        <w:t>2008</w:t>
      </w:r>
      <w:r>
        <w:rPr>
          <w:rFonts w:hint="eastAsia"/>
        </w:rPr>
        <w:t>一年定开公募人民币理财产品</w:t>
      </w:r>
    </w:p>
    <w:p w:rsidR="008D752C" w:rsidRDefault="0034057A">
      <w:pPr>
        <w:pStyle w:val="biaogeleft"/>
      </w:pPr>
      <w:r>
        <w:rPr>
          <w:rFonts w:hint="eastAsia"/>
        </w:rPr>
        <w:t>本报告期：</w:t>
      </w:r>
      <w:r>
        <w:rPr>
          <w:rFonts w:hint="eastAsia"/>
        </w:rPr>
        <w:t>2020</w:t>
      </w:r>
      <w:r>
        <w:rPr>
          <w:rFonts w:hint="eastAsia"/>
        </w:rPr>
        <w:t>年</w:t>
      </w:r>
      <w:r>
        <w:rPr>
          <w:rFonts w:hint="eastAsia"/>
        </w:rPr>
        <w:t>08</w:t>
      </w:r>
      <w:r>
        <w:rPr>
          <w:rFonts w:hint="eastAsia"/>
        </w:rPr>
        <w:t>月</w:t>
      </w:r>
      <w:r>
        <w:rPr>
          <w:rFonts w:hint="eastAsia"/>
        </w:rPr>
        <w:t>12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D752C" w:rsidRDefault="0034057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8D752C">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08</w:t>
            </w:r>
            <w:r>
              <w:rPr>
                <w:rFonts w:hint="eastAsia"/>
              </w:rPr>
              <w:t>月</w:t>
            </w:r>
            <w:r>
              <w:rPr>
                <w:rFonts w:hint="eastAsia"/>
              </w:rPr>
              <w:t>12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D752C">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8D752C" w:rsidRDefault="008D752C">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8D752C" w:rsidRDefault="008D752C">
            <w:pPr>
              <w:widowControl/>
              <w:jc w:val="left"/>
              <w:rPr>
                <w:rFonts w:asciiTheme="minorEastAsia" w:eastAsiaTheme="minorEastAsia" w:hAnsiTheme="minorEastAsia" w:cs="宋体"/>
                <w:kern w:val="0"/>
                <w:sz w:val="24"/>
                <w:szCs w:val="24"/>
              </w:rPr>
            </w:pP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b/>
                <w:bCs/>
                <w:color w:val="000000"/>
              </w:rPr>
              <w:t>3,859,001.39</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2,008,398.54</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8,279.26</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2,000,119.28</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0.00</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0.00</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ascii="Arial" w:hAnsi="Arial" w:cs="Arial"/>
                <w:color w:val="000000"/>
              </w:rPr>
              <w:t xml:space="preserve">　</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131,596.39</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0.00</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0.00</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107,763.87</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0.00</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0.00</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 xml:space="preserve">　</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0.00</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27,531.95</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-3,699.43</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857,828.24</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 xml:space="preserve">　</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861,178.22</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b/>
                <w:bCs/>
                <w:color w:val="000000"/>
              </w:rPr>
              <w:t>378,328.60</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169,336.42</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11,289.00</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169,336.42</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1,501.17</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11,684.61</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11,684.61</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13,280.98</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color w:val="000000"/>
              </w:rPr>
              <w:t>1,900.00</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b/>
                <w:bCs/>
                <w:color w:val="000000"/>
              </w:rPr>
              <w:t>3,480,672.79</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ascii="Arial" w:hAnsi="Arial" w:cs="Arial"/>
                <w:color w:val="000000"/>
              </w:rPr>
              <w:t xml:space="preserve">　</w:t>
            </w:r>
          </w:p>
        </w:tc>
      </w:tr>
      <w:tr w:rsidR="008D752C">
        <w:tc>
          <w:tcPr>
            <w:tcW w:w="2969" w:type="dxa"/>
            <w:tcBorders>
              <w:top w:val="single" w:sz="8" w:space="0" w:color="000000"/>
              <w:left w:val="single" w:sz="8" w:space="0" w:color="000000"/>
              <w:bottom w:val="single" w:sz="8" w:space="0" w:color="000000"/>
              <w:right w:val="single" w:sz="8" w:space="0" w:color="000000"/>
            </w:tcBorders>
            <w:vAlign w:val="center"/>
          </w:tcPr>
          <w:p w:rsidR="008D752C" w:rsidRDefault="0034057A">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rPr>
                <w:rFonts w:asciiTheme="minorEastAsia" w:eastAsiaTheme="minorEastAsia" w:hAnsiTheme="minorEastAsia"/>
              </w:rPr>
            </w:pPr>
            <w:r>
              <w:rPr>
                <w:rFonts w:cs="Arial" w:hint="eastAsia"/>
                <w:b/>
                <w:bCs/>
                <w:color w:val="000000"/>
              </w:rPr>
              <w:t>3,480,672.79</w:t>
            </w:r>
          </w:p>
        </w:tc>
      </w:tr>
    </w:tbl>
    <w:p w:rsidR="008D752C" w:rsidRDefault="008D752C">
      <w:pPr>
        <w:widowControl/>
        <w:jc w:val="left"/>
        <w:rPr>
          <w:rFonts w:ascii="宋体" w:hAnsi="宋体" w:cs="宋体"/>
          <w:kern w:val="0"/>
          <w:sz w:val="24"/>
          <w:szCs w:val="24"/>
        </w:rPr>
      </w:pPr>
    </w:p>
    <w:p w:rsidR="008D752C" w:rsidRDefault="0034057A">
      <w:pPr>
        <w:pStyle w:val="zhangjiep"/>
      </w:pPr>
      <w:bookmarkStart w:id="6" w:name="_Toc61427441"/>
      <w:r>
        <w:rPr>
          <w:rFonts w:hint="eastAsia"/>
          <w:b/>
          <w:bCs/>
        </w:rPr>
        <w:t xml:space="preserve">5.3 </w:t>
      </w:r>
      <w:r>
        <w:rPr>
          <w:rFonts w:hint="eastAsia"/>
          <w:b/>
          <w:bCs/>
        </w:rPr>
        <w:t>所有者权益（基金净值）变动表</w:t>
      </w:r>
      <w:bookmarkEnd w:id="6"/>
    </w:p>
    <w:p w:rsidR="008D752C" w:rsidRDefault="0034057A">
      <w:pPr>
        <w:pStyle w:val="biaogeleft"/>
      </w:pPr>
      <w:r>
        <w:rPr>
          <w:rFonts w:hint="eastAsia"/>
        </w:rPr>
        <w:t>会计主体：南京银行珠联璧合致远</w:t>
      </w:r>
      <w:r>
        <w:rPr>
          <w:rFonts w:hint="eastAsia"/>
        </w:rPr>
        <w:t>2008</w:t>
      </w:r>
      <w:r>
        <w:rPr>
          <w:rFonts w:hint="eastAsia"/>
        </w:rPr>
        <w:t>一年定开公募人民币理财产品</w:t>
      </w:r>
    </w:p>
    <w:p w:rsidR="008D752C" w:rsidRDefault="0034057A">
      <w:pPr>
        <w:pStyle w:val="biaogeleft"/>
      </w:pPr>
      <w:r>
        <w:rPr>
          <w:rFonts w:hint="eastAsia"/>
        </w:rPr>
        <w:t>本报告期：</w:t>
      </w:r>
      <w:r>
        <w:rPr>
          <w:rFonts w:hint="eastAsia"/>
        </w:rPr>
        <w:t>2020</w:t>
      </w:r>
      <w:r>
        <w:rPr>
          <w:rFonts w:hint="eastAsia"/>
        </w:rPr>
        <w:t>年</w:t>
      </w:r>
      <w:r>
        <w:rPr>
          <w:rFonts w:hint="eastAsia"/>
        </w:rPr>
        <w:t>08</w:t>
      </w:r>
      <w:r>
        <w:rPr>
          <w:rFonts w:hint="eastAsia"/>
        </w:rPr>
        <w:t>月</w:t>
      </w:r>
      <w:r>
        <w:rPr>
          <w:rFonts w:hint="eastAsia"/>
        </w:rPr>
        <w:t>12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D752C" w:rsidRDefault="0034057A">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8D752C">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pPr>
            <w:r>
              <w:rPr>
                <w:rFonts w:hint="eastAsia"/>
              </w:rPr>
              <w:t>本期</w:t>
            </w:r>
            <w:r>
              <w:rPr>
                <w:rFonts w:hint="eastAsia"/>
              </w:rPr>
              <w:t> </w:t>
            </w:r>
          </w:p>
          <w:p w:rsidR="008D752C" w:rsidRDefault="0034057A">
            <w:pPr>
              <w:pStyle w:val="biaogecenter"/>
              <w:wordWrap w:val="0"/>
            </w:pPr>
            <w:r>
              <w:rPr>
                <w:rFonts w:hint="eastAsia"/>
              </w:rPr>
              <w:t>2020</w:t>
            </w:r>
            <w:r>
              <w:rPr>
                <w:rFonts w:hint="eastAsia"/>
              </w:rPr>
              <w:t>年</w:t>
            </w:r>
            <w:r>
              <w:rPr>
                <w:rFonts w:hint="eastAsia"/>
              </w:rPr>
              <w:t>08</w:t>
            </w:r>
            <w:r>
              <w:rPr>
                <w:rFonts w:hint="eastAsia"/>
              </w:rPr>
              <w:t>月</w:t>
            </w:r>
            <w:r>
              <w:rPr>
                <w:rFonts w:hint="eastAsia"/>
              </w:rPr>
              <w:t>12</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D752C">
        <w:tc>
          <w:tcPr>
            <w:tcW w:w="2116" w:type="dxa"/>
            <w:vMerge/>
            <w:tcBorders>
              <w:top w:val="single" w:sz="8" w:space="0" w:color="000000"/>
              <w:left w:val="single" w:sz="8" w:space="0" w:color="000000"/>
              <w:bottom w:val="single" w:sz="8" w:space="0" w:color="000000"/>
              <w:right w:val="single" w:sz="8" w:space="0" w:color="000000"/>
            </w:tcBorders>
            <w:vAlign w:val="center"/>
          </w:tcPr>
          <w:p w:rsidR="008D752C" w:rsidRDefault="008D752C">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pPr>
            <w:r>
              <w:rPr>
                <w:rFonts w:hint="eastAsia"/>
              </w:rPr>
              <w:t>所有者权益合计</w:t>
            </w:r>
            <w:r>
              <w:rPr>
                <w:rFonts w:hint="eastAsia"/>
              </w:rPr>
              <w:t> </w:t>
            </w:r>
          </w:p>
        </w:tc>
      </w:tr>
      <w:tr w:rsidR="008D752C">
        <w:tc>
          <w:tcPr>
            <w:tcW w:w="2116"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145,486,000.00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145,486,000.00</w:t>
            </w:r>
          </w:p>
        </w:tc>
      </w:tr>
      <w:tr w:rsidR="008D752C">
        <w:tc>
          <w:tcPr>
            <w:tcW w:w="2116"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3,480,672.79</w:t>
            </w:r>
          </w:p>
        </w:tc>
        <w:tc>
          <w:tcPr>
            <w:tcW w:w="2484"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3,480,672.79</w:t>
            </w:r>
          </w:p>
        </w:tc>
      </w:tr>
      <w:tr w:rsidR="008D752C">
        <w:tc>
          <w:tcPr>
            <w:tcW w:w="2116"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三、本期基金份额交易产生的基金</w:t>
            </w:r>
            <w:r>
              <w:rPr>
                <w:rFonts w:hint="eastAsia"/>
              </w:rPr>
              <w:lastRenderedPageBreak/>
              <w:t>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2116"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lastRenderedPageBreak/>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2116"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2116"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w:t>
            </w:r>
          </w:p>
        </w:tc>
      </w:tr>
      <w:tr w:rsidR="008D752C">
        <w:tc>
          <w:tcPr>
            <w:tcW w:w="2116"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145,486,000.00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3,480,672.79</w:t>
            </w:r>
          </w:p>
        </w:tc>
        <w:tc>
          <w:tcPr>
            <w:tcW w:w="2484"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right"/>
              <w:wordWrap w:val="0"/>
            </w:pPr>
            <w:r>
              <w:rPr>
                <w:rFonts w:hint="eastAsia"/>
              </w:rPr>
              <w:t>148,966,672.79</w:t>
            </w:r>
          </w:p>
        </w:tc>
      </w:tr>
    </w:tbl>
    <w:p w:rsidR="008D752C" w:rsidRDefault="008D752C">
      <w:pPr>
        <w:widowControl/>
        <w:autoSpaceDE w:val="0"/>
        <w:autoSpaceDN w:val="0"/>
        <w:adjustRightInd w:val="0"/>
        <w:spacing w:line="288" w:lineRule="auto"/>
        <w:jc w:val="right"/>
        <w:rPr>
          <w:rFonts w:ascii="宋体" w:hAnsi="宋体" w:cs="宋体"/>
          <w:kern w:val="0"/>
          <w:sz w:val="24"/>
          <w:szCs w:val="24"/>
        </w:rPr>
      </w:pPr>
    </w:p>
    <w:p w:rsidR="008D752C" w:rsidRDefault="008D752C">
      <w:pPr>
        <w:pStyle w:val="biaogeleft"/>
        <w:spacing w:line="360" w:lineRule="auto"/>
        <w:ind w:firstLine="480"/>
        <w:rPr>
          <w:color w:val="000000"/>
        </w:rPr>
      </w:pPr>
    </w:p>
    <w:p w:rsidR="008D752C" w:rsidRDefault="0034057A">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8D752C" w:rsidRDefault="008D752C">
      <w:pPr>
        <w:widowControl/>
        <w:jc w:val="left"/>
        <w:rPr>
          <w:rFonts w:ascii="宋体" w:hAnsi="宋体" w:cs="宋体"/>
          <w:color w:val="000000"/>
          <w:kern w:val="0"/>
          <w:sz w:val="24"/>
          <w:szCs w:val="24"/>
        </w:rPr>
      </w:pPr>
    </w:p>
    <w:p w:rsidR="008D752C" w:rsidRDefault="0034057A">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8D752C">
        <w:tc>
          <w:tcPr>
            <w:tcW w:w="891" w:type="dxa"/>
            <w:tcBorders>
              <w:top w:val="single" w:sz="8" w:space="0" w:color="000000"/>
              <w:left w:val="single" w:sz="8" w:space="0" w:color="000000"/>
              <w:bottom w:val="single" w:sz="6" w:space="0" w:color="000000"/>
              <w:right w:val="single" w:sz="8" w:space="0" w:color="000000"/>
            </w:tcBorders>
            <w:vAlign w:val="bottom"/>
          </w:tcPr>
          <w:p w:rsidR="008D752C" w:rsidRDefault="0034057A">
            <w:pPr>
              <w:widowControl/>
              <w:jc w:val="center"/>
              <w:textAlignment w:val="bottom"/>
              <w:rPr>
                <w:color w:val="000000"/>
              </w:rPr>
            </w:pPr>
            <w:r>
              <w:rPr>
                <w:rFonts w:ascii="宋体" w:hAnsi="宋体" w:cs="宋体" w:hint="eastAsia"/>
                <w:color w:val="000000"/>
                <w:kern w:val="0"/>
                <w:sz w:val="24"/>
                <w:szCs w:val="24"/>
                <w:lang/>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8D752C" w:rsidRDefault="0034057A">
            <w:pPr>
              <w:widowControl/>
              <w:jc w:val="center"/>
              <w:textAlignment w:val="bottom"/>
              <w:rPr>
                <w:color w:val="000000"/>
              </w:rPr>
            </w:pPr>
            <w:r>
              <w:rPr>
                <w:rFonts w:ascii="宋体" w:hAnsi="宋体" w:cs="宋体" w:hint="eastAsia"/>
                <w:color w:val="000000"/>
                <w:kern w:val="0"/>
                <w:sz w:val="24"/>
                <w:szCs w:val="24"/>
                <w:lang/>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8D752C" w:rsidRDefault="0034057A">
            <w:pPr>
              <w:widowControl/>
              <w:jc w:val="center"/>
              <w:textAlignment w:val="bottom"/>
              <w:rPr>
                <w:color w:val="000000"/>
              </w:rPr>
            </w:pPr>
            <w:r>
              <w:rPr>
                <w:rFonts w:ascii="宋体" w:hAnsi="宋体" w:cs="宋体" w:hint="eastAsia"/>
                <w:color w:val="000000"/>
                <w:kern w:val="0"/>
                <w:sz w:val="24"/>
                <w:szCs w:val="24"/>
                <w:lang/>
              </w:rPr>
              <w:t>金额</w:t>
            </w:r>
            <w:r>
              <w:rPr>
                <w:rFonts w:ascii="宋体" w:hAnsi="宋体" w:cs="宋体" w:hint="eastAsia"/>
                <w:color w:val="000000"/>
                <w:kern w:val="0"/>
                <w:sz w:val="24"/>
                <w:szCs w:val="24"/>
                <w:lang/>
              </w:rPr>
              <w:t>(</w:t>
            </w:r>
            <w:r>
              <w:rPr>
                <w:rFonts w:ascii="宋体" w:hAnsi="宋体" w:cs="宋体" w:hint="eastAsia"/>
                <w:color w:val="000000"/>
                <w:kern w:val="0"/>
                <w:sz w:val="24"/>
                <w:szCs w:val="24"/>
                <w:lang/>
              </w:rPr>
              <w:t>元</w:t>
            </w:r>
            <w:r>
              <w:rPr>
                <w:rFonts w:ascii="宋体" w:hAnsi="宋体" w:cs="宋体" w:hint="eastAsia"/>
                <w:color w:val="000000"/>
                <w:kern w:val="0"/>
                <w:sz w:val="24"/>
                <w:szCs w:val="24"/>
                <w:lang/>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8D752C" w:rsidRDefault="0034057A">
            <w:pPr>
              <w:widowControl/>
              <w:jc w:val="center"/>
              <w:textAlignment w:val="bottom"/>
              <w:rPr>
                <w:color w:val="000000"/>
              </w:rPr>
            </w:pPr>
            <w:r>
              <w:rPr>
                <w:rFonts w:ascii="宋体" w:hAnsi="宋体" w:cs="宋体" w:hint="eastAsia"/>
                <w:color w:val="000000"/>
                <w:kern w:val="0"/>
                <w:sz w:val="24"/>
                <w:szCs w:val="24"/>
                <w:lang/>
              </w:rPr>
              <w:t>占产品总资产的比例（</w:t>
            </w:r>
            <w:r>
              <w:rPr>
                <w:rFonts w:ascii="宋体" w:hAnsi="宋体" w:cs="宋体" w:hint="eastAsia"/>
                <w:color w:val="000000"/>
                <w:kern w:val="0"/>
                <w:sz w:val="24"/>
                <w:szCs w:val="24"/>
                <w:lang/>
              </w:rPr>
              <w:t>%</w:t>
            </w:r>
            <w:r>
              <w:rPr>
                <w:rFonts w:ascii="宋体" w:hAnsi="宋体" w:cs="宋体" w:hint="eastAsia"/>
                <w:color w:val="000000"/>
                <w:kern w:val="0"/>
                <w:sz w:val="24"/>
                <w:szCs w:val="24"/>
                <w:lang/>
              </w:rPr>
              <w:t>）</w:t>
            </w:r>
          </w:p>
        </w:tc>
      </w:tr>
      <w:tr w:rsidR="008D752C">
        <w:tc>
          <w:tcPr>
            <w:tcW w:w="89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8D752C" w:rsidRDefault="0034057A">
            <w:pPr>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8D752C" w:rsidRDefault="0034057A">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752C" w:rsidRDefault="0034057A">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D752C">
        <w:tc>
          <w:tcPr>
            <w:tcW w:w="89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9,754,093.13</w:t>
            </w:r>
          </w:p>
        </w:tc>
        <w:tc>
          <w:tcPr>
            <w:tcW w:w="2395"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6.53</w:t>
            </w:r>
          </w:p>
        </w:tc>
      </w:tr>
      <w:tr w:rsidR="008D752C">
        <w:tc>
          <w:tcPr>
            <w:tcW w:w="89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80,261,619.61</w:t>
            </w:r>
          </w:p>
        </w:tc>
        <w:tc>
          <w:tcPr>
            <w:tcW w:w="2395"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53.76</w:t>
            </w:r>
          </w:p>
        </w:tc>
      </w:tr>
      <w:tr w:rsidR="008D752C">
        <w:tc>
          <w:tcPr>
            <w:tcW w:w="89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D752C">
        <w:tc>
          <w:tcPr>
            <w:tcW w:w="89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40,000,000.00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26.79</w:t>
            </w:r>
          </w:p>
        </w:tc>
      </w:tr>
      <w:tr w:rsidR="008D752C">
        <w:tc>
          <w:tcPr>
            <w:tcW w:w="89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color w:val="000000"/>
                <w:kern w:val="0"/>
                <w:sz w:val="24"/>
                <w:szCs w:val="24"/>
                <w:lang/>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9,176,978.31</w:t>
            </w:r>
          </w:p>
        </w:tc>
        <w:tc>
          <w:tcPr>
            <w:tcW w:w="2395"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6.15</w:t>
            </w:r>
          </w:p>
        </w:tc>
      </w:tr>
      <w:tr w:rsidR="008D752C">
        <w:tc>
          <w:tcPr>
            <w:tcW w:w="89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D752C">
        <w:tc>
          <w:tcPr>
            <w:tcW w:w="89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D752C">
        <w:tc>
          <w:tcPr>
            <w:tcW w:w="89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7,055,283.81</w:t>
            </w:r>
          </w:p>
        </w:tc>
        <w:tc>
          <w:tcPr>
            <w:tcW w:w="2395"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4.73</w:t>
            </w:r>
          </w:p>
        </w:tc>
      </w:tr>
      <w:tr w:rsidR="008D752C">
        <w:tc>
          <w:tcPr>
            <w:tcW w:w="89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D752C">
        <w:tc>
          <w:tcPr>
            <w:tcW w:w="89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2,171,747.36</w:t>
            </w:r>
          </w:p>
        </w:tc>
        <w:tc>
          <w:tcPr>
            <w:tcW w:w="2395"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1.45</w:t>
            </w:r>
          </w:p>
        </w:tc>
      </w:tr>
      <w:tr w:rsidR="008D752C">
        <w:tc>
          <w:tcPr>
            <w:tcW w:w="89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887,013.70</w:t>
            </w:r>
          </w:p>
        </w:tc>
        <w:tc>
          <w:tcPr>
            <w:tcW w:w="2395"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0.59</w:t>
            </w:r>
          </w:p>
        </w:tc>
      </w:tr>
      <w:tr w:rsidR="008D752C">
        <w:tc>
          <w:tcPr>
            <w:tcW w:w="89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D752C">
        <w:tc>
          <w:tcPr>
            <w:tcW w:w="89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D752C">
        <w:tc>
          <w:tcPr>
            <w:tcW w:w="891" w:type="dxa"/>
            <w:tcBorders>
              <w:top w:val="single" w:sz="8" w:space="0" w:color="000000"/>
              <w:left w:val="single" w:sz="8" w:space="0" w:color="000000"/>
              <w:bottom w:val="single" w:sz="8"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D752C">
        <w:tc>
          <w:tcPr>
            <w:tcW w:w="891" w:type="dxa"/>
            <w:tcBorders>
              <w:top w:val="single" w:sz="8" w:space="0" w:color="000000"/>
              <w:left w:val="single" w:sz="8" w:space="0" w:color="000000"/>
              <w:bottom w:val="single" w:sz="8" w:space="0" w:color="000000"/>
              <w:right w:val="single" w:sz="8" w:space="0" w:color="000000"/>
            </w:tcBorders>
            <w:vAlign w:val="center"/>
          </w:tcPr>
          <w:p w:rsidR="008D752C" w:rsidRDefault="0034057A">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8D752C" w:rsidRDefault="0034057A">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149,306,735.92</w:t>
            </w:r>
          </w:p>
        </w:tc>
        <w:tc>
          <w:tcPr>
            <w:tcW w:w="2395" w:type="dxa"/>
            <w:tcBorders>
              <w:top w:val="single" w:sz="8" w:space="0" w:color="000000"/>
              <w:left w:val="single" w:sz="8" w:space="0" w:color="000000"/>
              <w:bottom w:val="single" w:sz="8" w:space="0" w:color="000000"/>
              <w:right w:val="single" w:sz="8" w:space="0" w:color="000000"/>
            </w:tcBorders>
            <w:vAlign w:val="center"/>
          </w:tcPr>
          <w:p w:rsidR="008D752C" w:rsidRDefault="0034057A">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100.00</w:t>
            </w:r>
          </w:p>
        </w:tc>
      </w:tr>
    </w:tbl>
    <w:p w:rsidR="008D752C" w:rsidRDefault="008D752C">
      <w:pPr>
        <w:widowControl/>
        <w:jc w:val="left"/>
        <w:rPr>
          <w:rFonts w:ascii="宋体" w:hAnsi="宋体" w:cs="宋体"/>
          <w:color w:val="000000"/>
          <w:kern w:val="0"/>
          <w:sz w:val="24"/>
          <w:szCs w:val="24"/>
        </w:rPr>
      </w:pPr>
    </w:p>
    <w:p w:rsidR="008D752C" w:rsidRDefault="0034057A">
      <w:pPr>
        <w:pStyle w:val="zhangjiep"/>
        <w:rPr>
          <w:b/>
          <w:bCs/>
          <w:color w:val="000000"/>
        </w:rPr>
      </w:pPr>
      <w:r>
        <w:rPr>
          <w:rFonts w:hint="eastAsia"/>
          <w:b/>
          <w:bCs/>
          <w:color w:val="000000"/>
        </w:rPr>
        <w:lastRenderedPageBreak/>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8D752C">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8D752C" w:rsidRDefault="0034057A">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8D752C" w:rsidRDefault="0034057A">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8D752C" w:rsidRDefault="0034057A">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8D752C" w:rsidRDefault="0034057A">
            <w:pPr>
              <w:pStyle w:val="biaogecenter"/>
              <w:wordWrap w:val="0"/>
              <w:rPr>
                <w:color w:val="000000"/>
              </w:rPr>
            </w:pPr>
            <w:r>
              <w:rPr>
                <w:rFonts w:hint="eastAsia"/>
                <w:color w:val="000000"/>
              </w:rPr>
              <w:t>占产品资产净值比例（％）</w:t>
            </w:r>
          </w:p>
        </w:tc>
      </w:tr>
      <w:tr w:rsidR="008D752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D752C" w:rsidRDefault="0034057A">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20088144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镇江交通</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40,000,000.00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26.85%</w:t>
            </w:r>
          </w:p>
        </w:tc>
      </w:tr>
      <w:tr w:rsidR="008D752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D752C" w:rsidRDefault="0034057A">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162771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邳经债</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10,172,874.95</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6.83%</w:t>
            </w:r>
          </w:p>
        </w:tc>
      </w:tr>
      <w:tr w:rsidR="008D752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D752C" w:rsidRDefault="0034057A">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162102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姜城</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10,142,280.03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6.81%</w:t>
            </w:r>
          </w:p>
        </w:tc>
      </w:tr>
      <w:tr w:rsidR="008D752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D752C" w:rsidRDefault="0034057A">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162944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兴化</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10,095,909.98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6.78%</w:t>
            </w:r>
          </w:p>
        </w:tc>
      </w:tr>
      <w:tr w:rsidR="008D752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D752C" w:rsidRDefault="0034057A">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150649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淮资</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10,000,092.47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6.71%</w:t>
            </w:r>
          </w:p>
        </w:tc>
      </w:tr>
      <w:tr w:rsidR="008D752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D752C" w:rsidRDefault="0034057A">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166969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双溪</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9,981,442.18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6.70%</w:t>
            </w:r>
          </w:p>
        </w:tc>
      </w:tr>
      <w:tr w:rsidR="008D752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D752C" w:rsidRDefault="0034057A">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012002651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华诚医学</w:t>
            </w:r>
            <w:r>
              <w:rPr>
                <w:rFonts w:ascii="宋体" w:hAnsi="宋体" w:cs="宋体" w:hint="eastAsia"/>
                <w:color w:val="000000"/>
                <w:kern w:val="0"/>
                <w:sz w:val="24"/>
                <w:szCs w:val="24"/>
              </w:rPr>
              <w:t>SCP003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9,978,700.00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6.70%</w:t>
            </w:r>
          </w:p>
        </w:tc>
      </w:tr>
      <w:tr w:rsidR="008D752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D752C" w:rsidRDefault="0034057A">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012003151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潍坊滨投</w:t>
            </w:r>
            <w:r>
              <w:rPr>
                <w:rFonts w:ascii="宋体" w:hAnsi="宋体" w:cs="宋体" w:hint="eastAsia"/>
                <w:color w:val="000000"/>
                <w:kern w:val="0"/>
                <w:sz w:val="24"/>
                <w:szCs w:val="24"/>
              </w:rPr>
              <w:t>SCP003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9,974,030.00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6.70%</w:t>
            </w:r>
          </w:p>
        </w:tc>
      </w:tr>
      <w:tr w:rsidR="008D752C">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D752C" w:rsidRDefault="0034057A">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163355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靖江</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9,916,290.00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6.66%</w:t>
            </w:r>
          </w:p>
        </w:tc>
      </w:tr>
      <w:tr w:rsidR="008D752C">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D752C" w:rsidRDefault="0034057A">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005658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rPr>
                <w:rFonts w:ascii="宋体" w:hAnsi="宋体" w:cs="宋体"/>
                <w:color w:val="000000"/>
                <w:kern w:val="0"/>
                <w:sz w:val="24"/>
                <w:szCs w:val="24"/>
              </w:rPr>
            </w:pPr>
            <w:r>
              <w:rPr>
                <w:rFonts w:ascii="宋体" w:hAnsi="宋体" w:cs="宋体" w:hint="eastAsia"/>
                <w:color w:val="000000"/>
                <w:kern w:val="0"/>
                <w:sz w:val="24"/>
                <w:szCs w:val="24"/>
              </w:rPr>
              <w:t>华夏沪深</w:t>
            </w:r>
            <w:r>
              <w:rPr>
                <w:rFonts w:ascii="宋体" w:hAnsi="宋体" w:cs="宋体" w:hint="eastAsia"/>
                <w:color w:val="000000"/>
                <w:kern w:val="0"/>
                <w:sz w:val="24"/>
                <w:szCs w:val="24"/>
              </w:rPr>
              <w:t>300ETF</w:t>
            </w:r>
            <w:r>
              <w:rPr>
                <w:rFonts w:ascii="宋体" w:hAnsi="宋体" w:cs="宋体" w:hint="eastAsia"/>
                <w:color w:val="000000"/>
                <w:kern w:val="0"/>
                <w:sz w:val="24"/>
                <w:szCs w:val="24"/>
              </w:rPr>
              <w:t>联接</w:t>
            </w:r>
            <w:r>
              <w:rPr>
                <w:rFonts w:ascii="宋体" w:hAnsi="宋体" w:cs="宋体" w:hint="eastAsia"/>
                <w:color w:val="000000"/>
                <w:kern w:val="0"/>
                <w:sz w:val="24"/>
                <w:szCs w:val="24"/>
              </w:rPr>
              <w:t>C</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9,754,093.13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D752C" w:rsidRDefault="0034057A">
            <w:pPr>
              <w:jc w:val="right"/>
              <w:rPr>
                <w:rFonts w:ascii="宋体" w:hAnsi="宋体" w:cs="宋体"/>
                <w:color w:val="000000"/>
                <w:kern w:val="0"/>
                <w:sz w:val="24"/>
                <w:szCs w:val="24"/>
              </w:rPr>
            </w:pPr>
            <w:r>
              <w:rPr>
                <w:rFonts w:ascii="宋体" w:hAnsi="宋体" w:cs="宋体" w:hint="eastAsia"/>
                <w:color w:val="000000"/>
                <w:kern w:val="0"/>
                <w:sz w:val="24"/>
                <w:szCs w:val="24"/>
              </w:rPr>
              <w:t>6.55%</w:t>
            </w:r>
          </w:p>
        </w:tc>
      </w:tr>
    </w:tbl>
    <w:p w:rsidR="008D752C" w:rsidRDefault="008D752C">
      <w:pPr>
        <w:widowControl/>
        <w:jc w:val="left"/>
        <w:rPr>
          <w:rFonts w:ascii="宋体" w:hAnsi="宋体" w:cs="宋体"/>
          <w:b/>
          <w:sz w:val="24"/>
          <w:szCs w:val="24"/>
          <w:shd w:val="clear" w:color="auto" w:fill="FFFFFF"/>
        </w:rPr>
      </w:pPr>
    </w:p>
    <w:p w:rsidR="008D752C" w:rsidRDefault="0034057A">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8D752C" w:rsidRDefault="008D752C">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8D752C">
        <w:tc>
          <w:tcPr>
            <w:tcW w:w="709"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8D752C" w:rsidRDefault="0034057A">
            <w:pPr>
              <w:pStyle w:val="biaogecenter"/>
              <w:wordWrap w:val="0"/>
              <w:rPr>
                <w:shd w:val="clear" w:color="auto" w:fill="FFFFFF"/>
              </w:rPr>
            </w:pPr>
            <w:r>
              <w:rPr>
                <w:rFonts w:hint="eastAsia"/>
                <w:shd w:val="clear" w:color="auto" w:fill="FFFFFF"/>
              </w:rPr>
              <w:t>风险状况</w:t>
            </w:r>
          </w:p>
        </w:tc>
      </w:tr>
      <w:tr w:rsidR="008D752C">
        <w:tc>
          <w:tcPr>
            <w:tcW w:w="709"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rPr>
                <w:shd w:val="clear" w:color="auto" w:fill="FFFFFF"/>
              </w:rPr>
            </w:pPr>
            <w:r>
              <w:rPr>
                <w:rFonts w:hint="eastAsia"/>
                <w:shd w:val="clear" w:color="auto" w:fill="FFFFFF"/>
              </w:rPr>
              <w:t>镇江交通产业集团有限公司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rPr>
                <w:shd w:val="clear" w:color="auto" w:fill="FFFFFF"/>
              </w:rPr>
            </w:pPr>
            <w:r>
              <w:rPr>
                <w:rFonts w:hint="eastAsia"/>
                <w:shd w:val="clear" w:color="auto" w:fill="FFFFFF"/>
              </w:rPr>
              <w:t>20</w:t>
            </w:r>
            <w:r>
              <w:rPr>
                <w:rFonts w:hint="eastAsia"/>
                <w:shd w:val="clear" w:color="auto" w:fill="FFFFFF"/>
              </w:rPr>
              <w:t>镇江交通</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rPr>
                <w:shd w:val="clear" w:color="auto" w:fill="FFFFFF"/>
              </w:rPr>
            </w:pPr>
            <w:r>
              <w:rPr>
                <w:rFonts w:hint="eastAsia"/>
                <w:shd w:val="clear" w:color="auto" w:fill="FFFFFF"/>
              </w:rPr>
              <w:t>224</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rPr>
                <w:shd w:val="clear" w:color="auto" w:fill="FFFFFF"/>
              </w:rPr>
            </w:pPr>
            <w:r>
              <w:rPr>
                <w:rFonts w:hint="eastAsia"/>
                <w:shd w:val="clear" w:color="auto" w:fill="FFFFFF"/>
              </w:rPr>
              <w:t>按年付</w:t>
            </w:r>
            <w:bookmarkStart w:id="7" w:name="_GoBack"/>
            <w:bookmarkEnd w:id="7"/>
            <w:r>
              <w:rPr>
                <w:rFonts w:hint="eastAsia"/>
                <w:shd w:val="clear" w:color="auto" w:fill="FFFFFF"/>
              </w:rPr>
              <w:t>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8D752C" w:rsidRDefault="0034057A">
            <w:pPr>
              <w:pStyle w:val="biaogecenter"/>
              <w:wordWrap w:val="0"/>
              <w:rPr>
                <w:shd w:val="clear" w:color="auto" w:fill="FFFFFF"/>
              </w:rPr>
            </w:pPr>
            <w:r>
              <w:rPr>
                <w:rFonts w:hint="eastAsia"/>
                <w:shd w:val="clear" w:color="auto" w:fill="FFFFFF"/>
              </w:rPr>
              <w:t>-</w:t>
            </w:r>
          </w:p>
        </w:tc>
      </w:tr>
    </w:tbl>
    <w:p w:rsidR="008D752C" w:rsidRDefault="008D752C">
      <w:pPr>
        <w:widowControl/>
        <w:jc w:val="left"/>
        <w:rPr>
          <w:rFonts w:ascii="宋体" w:hAnsi="宋体" w:cs="宋体"/>
          <w:color w:val="000000"/>
          <w:kern w:val="0"/>
          <w:sz w:val="24"/>
          <w:szCs w:val="24"/>
        </w:rPr>
      </w:pPr>
    </w:p>
    <w:p w:rsidR="008D752C" w:rsidRDefault="008D752C">
      <w:pPr>
        <w:widowControl/>
        <w:jc w:val="left"/>
        <w:rPr>
          <w:rFonts w:ascii="宋体" w:hAnsi="宋体" w:cs="宋体"/>
          <w:color w:val="000000"/>
          <w:kern w:val="0"/>
          <w:sz w:val="24"/>
          <w:szCs w:val="24"/>
        </w:rPr>
      </w:pPr>
    </w:p>
    <w:p w:rsidR="008D752C" w:rsidRDefault="0034057A">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8D752C" w:rsidRDefault="0034057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D752C" w:rsidRDefault="0034057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D752C" w:rsidRDefault="008D752C">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8D752C" w:rsidRDefault="008D752C">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8D752C" w:rsidRDefault="008D752C">
      <w:pPr>
        <w:widowControl/>
        <w:jc w:val="left"/>
        <w:rPr>
          <w:rFonts w:ascii="宋体" w:hAnsi="宋体" w:cs="宋体"/>
          <w:color w:val="000000"/>
          <w:kern w:val="0"/>
          <w:sz w:val="24"/>
          <w:szCs w:val="24"/>
        </w:rPr>
      </w:pPr>
    </w:p>
    <w:p w:rsidR="008D752C" w:rsidRDefault="008D752C">
      <w:pPr>
        <w:widowControl/>
        <w:jc w:val="left"/>
        <w:rPr>
          <w:rFonts w:ascii="宋体" w:hAnsi="宋体" w:cs="宋体"/>
          <w:color w:val="000000"/>
          <w:kern w:val="0"/>
          <w:sz w:val="24"/>
          <w:szCs w:val="24"/>
        </w:rPr>
      </w:pPr>
    </w:p>
    <w:p w:rsidR="008D752C" w:rsidRDefault="008D752C">
      <w:pPr>
        <w:widowControl/>
        <w:jc w:val="left"/>
        <w:rPr>
          <w:rFonts w:ascii="宋体" w:hAnsi="宋体" w:cs="宋体"/>
          <w:color w:val="000000"/>
          <w:kern w:val="0"/>
          <w:sz w:val="24"/>
          <w:szCs w:val="24"/>
        </w:rPr>
      </w:pPr>
    </w:p>
    <w:p w:rsidR="008D752C" w:rsidRDefault="008D752C">
      <w:pPr>
        <w:widowControl/>
        <w:jc w:val="left"/>
        <w:rPr>
          <w:color w:val="000000"/>
        </w:rPr>
      </w:pPr>
    </w:p>
    <w:p w:rsidR="008D752C" w:rsidRDefault="0034057A">
      <w:pPr>
        <w:pStyle w:val="biaogeright"/>
        <w:rPr>
          <w:b/>
        </w:rPr>
      </w:pPr>
      <w:r>
        <w:rPr>
          <w:rFonts w:hint="eastAsia"/>
          <w:b/>
        </w:rPr>
        <w:t>南京银行股份有限公司</w:t>
      </w:r>
    </w:p>
    <w:p w:rsidR="008D752C" w:rsidRDefault="0034057A">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8D752C" w:rsidRDefault="008D752C">
      <w:pPr>
        <w:pStyle w:val="biaogeright"/>
        <w:rPr>
          <w:color w:val="000000"/>
        </w:rPr>
      </w:pPr>
    </w:p>
    <w:sectPr w:rsidR="008D752C" w:rsidSect="008D752C">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57A" w:rsidRDefault="0034057A" w:rsidP="008D752C">
      <w:r>
        <w:separator/>
      </w:r>
    </w:p>
  </w:endnote>
  <w:endnote w:type="continuationSeparator" w:id="1">
    <w:p w:rsidR="0034057A" w:rsidRDefault="0034057A" w:rsidP="008D75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52C" w:rsidRDefault="008D752C">
    <w:pPr>
      <w:pStyle w:val="a5"/>
      <w:framePr w:wrap="around" w:vAnchor="text" w:hAnchor="margin" w:xAlign="center" w:y="1"/>
      <w:rPr>
        <w:rStyle w:val="aa"/>
      </w:rPr>
    </w:pPr>
    <w:r>
      <w:fldChar w:fldCharType="begin"/>
    </w:r>
    <w:r w:rsidR="0034057A">
      <w:rPr>
        <w:rStyle w:val="aa"/>
      </w:rPr>
      <w:instrText xml:space="preserve">PAGE  </w:instrText>
    </w:r>
    <w:r>
      <w:fldChar w:fldCharType="end"/>
    </w:r>
  </w:p>
  <w:p w:rsidR="008D752C" w:rsidRDefault="008D752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52C" w:rsidRDefault="008D752C">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A1A" w:rsidRDefault="00FF1A1A">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52C" w:rsidRDefault="008D752C">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52C" w:rsidRDefault="008D752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57A" w:rsidRDefault="0034057A" w:rsidP="008D752C">
      <w:r>
        <w:separator/>
      </w:r>
    </w:p>
  </w:footnote>
  <w:footnote w:type="continuationSeparator" w:id="1">
    <w:p w:rsidR="0034057A" w:rsidRDefault="0034057A" w:rsidP="008D75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A1A" w:rsidRDefault="00FF1A1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A1A" w:rsidRDefault="00FF1A1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A1A" w:rsidRDefault="00FF1A1A">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A3711"/>
    <w:rsid w:val="000D5066"/>
    <w:rsid w:val="000F6191"/>
    <w:rsid w:val="00130CE8"/>
    <w:rsid w:val="00146AB0"/>
    <w:rsid w:val="00152201"/>
    <w:rsid w:val="00172A27"/>
    <w:rsid w:val="00176636"/>
    <w:rsid w:val="00183C84"/>
    <w:rsid w:val="001A7045"/>
    <w:rsid w:val="001C05F9"/>
    <w:rsid w:val="001C5395"/>
    <w:rsid w:val="001C69A2"/>
    <w:rsid w:val="001D3895"/>
    <w:rsid w:val="00211F26"/>
    <w:rsid w:val="002263FC"/>
    <w:rsid w:val="002861E4"/>
    <w:rsid w:val="002A3AE9"/>
    <w:rsid w:val="002B4F45"/>
    <w:rsid w:val="002C196E"/>
    <w:rsid w:val="002D296F"/>
    <w:rsid w:val="002D75D0"/>
    <w:rsid w:val="002E795C"/>
    <w:rsid w:val="00302ABE"/>
    <w:rsid w:val="00305714"/>
    <w:rsid w:val="00313E71"/>
    <w:rsid w:val="00321CB7"/>
    <w:rsid w:val="003379A9"/>
    <w:rsid w:val="0034057A"/>
    <w:rsid w:val="00350ADF"/>
    <w:rsid w:val="00355623"/>
    <w:rsid w:val="003A0419"/>
    <w:rsid w:val="003A06AE"/>
    <w:rsid w:val="003B1CE5"/>
    <w:rsid w:val="003C4D3B"/>
    <w:rsid w:val="003E09EA"/>
    <w:rsid w:val="003E2502"/>
    <w:rsid w:val="003F0AC3"/>
    <w:rsid w:val="00456251"/>
    <w:rsid w:val="004706C7"/>
    <w:rsid w:val="004C1607"/>
    <w:rsid w:val="004C1BE1"/>
    <w:rsid w:val="005069D8"/>
    <w:rsid w:val="0056162E"/>
    <w:rsid w:val="00563B93"/>
    <w:rsid w:val="00567DB3"/>
    <w:rsid w:val="00575BEA"/>
    <w:rsid w:val="005B3434"/>
    <w:rsid w:val="005E2884"/>
    <w:rsid w:val="005E5050"/>
    <w:rsid w:val="005E764A"/>
    <w:rsid w:val="005F2C7B"/>
    <w:rsid w:val="005F4D04"/>
    <w:rsid w:val="005F7DA9"/>
    <w:rsid w:val="006054F8"/>
    <w:rsid w:val="0062768B"/>
    <w:rsid w:val="0065419A"/>
    <w:rsid w:val="00654220"/>
    <w:rsid w:val="00663B94"/>
    <w:rsid w:val="00675646"/>
    <w:rsid w:val="00677F66"/>
    <w:rsid w:val="006C7F31"/>
    <w:rsid w:val="006D1905"/>
    <w:rsid w:val="006E4E94"/>
    <w:rsid w:val="00710D4E"/>
    <w:rsid w:val="00730BEE"/>
    <w:rsid w:val="0073101E"/>
    <w:rsid w:val="00735153"/>
    <w:rsid w:val="00745421"/>
    <w:rsid w:val="007837C6"/>
    <w:rsid w:val="007A4219"/>
    <w:rsid w:val="0080200C"/>
    <w:rsid w:val="00814110"/>
    <w:rsid w:val="0082561A"/>
    <w:rsid w:val="00846B2E"/>
    <w:rsid w:val="00853290"/>
    <w:rsid w:val="0085663C"/>
    <w:rsid w:val="008768AB"/>
    <w:rsid w:val="00882FF8"/>
    <w:rsid w:val="008926F7"/>
    <w:rsid w:val="008A7510"/>
    <w:rsid w:val="008C78BD"/>
    <w:rsid w:val="008D752C"/>
    <w:rsid w:val="008F0FA3"/>
    <w:rsid w:val="00900D90"/>
    <w:rsid w:val="009354D6"/>
    <w:rsid w:val="00970A98"/>
    <w:rsid w:val="009761D0"/>
    <w:rsid w:val="00987F9E"/>
    <w:rsid w:val="009C781F"/>
    <w:rsid w:val="009D5296"/>
    <w:rsid w:val="009E6170"/>
    <w:rsid w:val="00A37451"/>
    <w:rsid w:val="00A4465E"/>
    <w:rsid w:val="00A4484F"/>
    <w:rsid w:val="00A457EB"/>
    <w:rsid w:val="00A76D4B"/>
    <w:rsid w:val="00A77C47"/>
    <w:rsid w:val="00A9119C"/>
    <w:rsid w:val="00AA4549"/>
    <w:rsid w:val="00AB1984"/>
    <w:rsid w:val="00AC5144"/>
    <w:rsid w:val="00B13014"/>
    <w:rsid w:val="00B1608F"/>
    <w:rsid w:val="00B17559"/>
    <w:rsid w:val="00B33B19"/>
    <w:rsid w:val="00B404E6"/>
    <w:rsid w:val="00B4360D"/>
    <w:rsid w:val="00B61EA9"/>
    <w:rsid w:val="00B670D1"/>
    <w:rsid w:val="00B74DCA"/>
    <w:rsid w:val="00B967EC"/>
    <w:rsid w:val="00BC02E0"/>
    <w:rsid w:val="00BC3903"/>
    <w:rsid w:val="00BE47E0"/>
    <w:rsid w:val="00BF75C8"/>
    <w:rsid w:val="00C1762E"/>
    <w:rsid w:val="00C22DF9"/>
    <w:rsid w:val="00C25123"/>
    <w:rsid w:val="00C30A48"/>
    <w:rsid w:val="00C375A7"/>
    <w:rsid w:val="00C62DF8"/>
    <w:rsid w:val="00C640FB"/>
    <w:rsid w:val="00CB054E"/>
    <w:rsid w:val="00CC52D7"/>
    <w:rsid w:val="00CD384A"/>
    <w:rsid w:val="00CF0291"/>
    <w:rsid w:val="00D07680"/>
    <w:rsid w:val="00D23AB6"/>
    <w:rsid w:val="00D42895"/>
    <w:rsid w:val="00D50309"/>
    <w:rsid w:val="00D51AA9"/>
    <w:rsid w:val="00D7264A"/>
    <w:rsid w:val="00D84E43"/>
    <w:rsid w:val="00D870DF"/>
    <w:rsid w:val="00DB0C2F"/>
    <w:rsid w:val="00DB3BF6"/>
    <w:rsid w:val="00DC31CC"/>
    <w:rsid w:val="00DC728A"/>
    <w:rsid w:val="00DD2F3C"/>
    <w:rsid w:val="00DF1AA7"/>
    <w:rsid w:val="00E1059D"/>
    <w:rsid w:val="00E155DF"/>
    <w:rsid w:val="00E246E1"/>
    <w:rsid w:val="00E560F1"/>
    <w:rsid w:val="00E944FA"/>
    <w:rsid w:val="00E9797A"/>
    <w:rsid w:val="00EA7ABC"/>
    <w:rsid w:val="00EB2746"/>
    <w:rsid w:val="00EE0436"/>
    <w:rsid w:val="00F1465C"/>
    <w:rsid w:val="00F15281"/>
    <w:rsid w:val="00F41324"/>
    <w:rsid w:val="00F56D29"/>
    <w:rsid w:val="00F57C12"/>
    <w:rsid w:val="00F609FD"/>
    <w:rsid w:val="00F859AB"/>
    <w:rsid w:val="00F950D0"/>
    <w:rsid w:val="00FA2C26"/>
    <w:rsid w:val="00FF1A1A"/>
    <w:rsid w:val="01FB78F0"/>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C790FB9"/>
    <w:rsid w:val="1E911FB2"/>
    <w:rsid w:val="1F274305"/>
    <w:rsid w:val="20F325AF"/>
    <w:rsid w:val="216F6F5C"/>
    <w:rsid w:val="22E23E75"/>
    <w:rsid w:val="24914F4C"/>
    <w:rsid w:val="2555668E"/>
    <w:rsid w:val="25AF3A81"/>
    <w:rsid w:val="25B229C2"/>
    <w:rsid w:val="26FD4196"/>
    <w:rsid w:val="28CD1EA7"/>
    <w:rsid w:val="2945121F"/>
    <w:rsid w:val="2986009C"/>
    <w:rsid w:val="29F7636C"/>
    <w:rsid w:val="2BFD7394"/>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 w:val="7EF533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52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8D752C"/>
    <w:pPr>
      <w:jc w:val="left"/>
    </w:pPr>
  </w:style>
  <w:style w:type="paragraph" w:styleId="a4">
    <w:name w:val="Balloon Text"/>
    <w:basedOn w:val="a"/>
    <w:link w:val="Char0"/>
    <w:uiPriority w:val="99"/>
    <w:unhideWhenUsed/>
    <w:qFormat/>
    <w:rsid w:val="008D752C"/>
    <w:rPr>
      <w:sz w:val="18"/>
      <w:szCs w:val="18"/>
    </w:rPr>
  </w:style>
  <w:style w:type="paragraph" w:styleId="a5">
    <w:name w:val="footer"/>
    <w:basedOn w:val="a"/>
    <w:link w:val="Char1"/>
    <w:uiPriority w:val="99"/>
    <w:unhideWhenUsed/>
    <w:qFormat/>
    <w:rsid w:val="008D752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D752C"/>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8D752C"/>
    <w:pPr>
      <w:snapToGrid w:val="0"/>
      <w:jc w:val="left"/>
    </w:pPr>
    <w:rPr>
      <w:sz w:val="18"/>
    </w:rPr>
  </w:style>
  <w:style w:type="paragraph" w:styleId="a8">
    <w:name w:val="Normal (Web)"/>
    <w:basedOn w:val="a"/>
    <w:qFormat/>
    <w:rsid w:val="008D752C"/>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8D752C"/>
    <w:rPr>
      <w:b/>
      <w:bCs/>
    </w:rPr>
  </w:style>
  <w:style w:type="character" w:styleId="aa">
    <w:name w:val="page number"/>
    <w:basedOn w:val="a0"/>
    <w:uiPriority w:val="99"/>
    <w:unhideWhenUsed/>
    <w:qFormat/>
    <w:rsid w:val="008D752C"/>
  </w:style>
  <w:style w:type="character" w:styleId="ab">
    <w:name w:val="annotation reference"/>
    <w:uiPriority w:val="99"/>
    <w:unhideWhenUsed/>
    <w:qFormat/>
    <w:rsid w:val="008D752C"/>
    <w:rPr>
      <w:sz w:val="21"/>
      <w:szCs w:val="21"/>
    </w:rPr>
  </w:style>
  <w:style w:type="character" w:styleId="ac">
    <w:name w:val="footnote reference"/>
    <w:uiPriority w:val="99"/>
    <w:unhideWhenUsed/>
    <w:qFormat/>
    <w:rsid w:val="008D752C"/>
    <w:rPr>
      <w:vertAlign w:val="superscript"/>
    </w:rPr>
  </w:style>
  <w:style w:type="character" w:customStyle="1" w:styleId="Char0">
    <w:name w:val="批注框文本 Char"/>
    <w:link w:val="a4"/>
    <w:uiPriority w:val="99"/>
    <w:semiHidden/>
    <w:qFormat/>
    <w:rsid w:val="008D752C"/>
    <w:rPr>
      <w:kern w:val="2"/>
      <w:sz w:val="18"/>
      <w:szCs w:val="18"/>
    </w:rPr>
  </w:style>
  <w:style w:type="character" w:customStyle="1" w:styleId="Char2">
    <w:name w:val="页眉 Char"/>
    <w:link w:val="a6"/>
    <w:uiPriority w:val="99"/>
    <w:semiHidden/>
    <w:qFormat/>
    <w:locked/>
    <w:rsid w:val="008D752C"/>
    <w:rPr>
      <w:rFonts w:ascii="Times New Roman" w:hAnsi="Times New Roman" w:cs="Times New Roman" w:hint="default"/>
      <w:sz w:val="18"/>
      <w:szCs w:val="18"/>
    </w:rPr>
  </w:style>
  <w:style w:type="character" w:customStyle="1" w:styleId="Char3">
    <w:name w:val="批注主题 Char"/>
    <w:link w:val="a9"/>
    <w:uiPriority w:val="99"/>
    <w:semiHidden/>
    <w:qFormat/>
    <w:rsid w:val="008D752C"/>
    <w:rPr>
      <w:b/>
      <w:bCs/>
      <w:kern w:val="2"/>
      <w:sz w:val="21"/>
      <w:szCs w:val="22"/>
    </w:rPr>
  </w:style>
  <w:style w:type="character" w:customStyle="1" w:styleId="Char1">
    <w:name w:val="页脚 Char"/>
    <w:link w:val="a5"/>
    <w:uiPriority w:val="99"/>
    <w:semiHidden/>
    <w:qFormat/>
    <w:locked/>
    <w:rsid w:val="008D752C"/>
    <w:rPr>
      <w:rFonts w:ascii="Times New Roman" w:hAnsi="Times New Roman" w:cs="Times New Roman" w:hint="default"/>
      <w:sz w:val="18"/>
      <w:szCs w:val="18"/>
    </w:rPr>
  </w:style>
  <w:style w:type="character" w:customStyle="1" w:styleId="Char">
    <w:name w:val="批注文字 Char"/>
    <w:link w:val="a3"/>
    <w:uiPriority w:val="99"/>
    <w:qFormat/>
    <w:rsid w:val="008D752C"/>
    <w:rPr>
      <w:kern w:val="2"/>
      <w:sz w:val="21"/>
      <w:szCs w:val="22"/>
    </w:rPr>
  </w:style>
  <w:style w:type="paragraph" w:customStyle="1" w:styleId="zhongyaotishi">
    <w:name w:val="zhongyaotishi"/>
    <w:basedOn w:val="a"/>
    <w:qFormat/>
    <w:rsid w:val="008D752C"/>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D752C"/>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D752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D752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D752C"/>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D752C"/>
    <w:pPr>
      <w:widowControl w:val="0"/>
      <w:jc w:val="center"/>
    </w:pPr>
    <w:rPr>
      <w:kern w:val="2"/>
      <w:sz w:val="33"/>
      <w:szCs w:val="22"/>
    </w:rPr>
  </w:style>
  <w:style w:type="paragraph" w:customStyle="1" w:styleId="biaogeleft">
    <w:name w:val="biaoge_left"/>
    <w:basedOn w:val="a"/>
    <w:qFormat/>
    <w:rsid w:val="008D752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D752C"/>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D752C"/>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D752C"/>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D752C"/>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D752C"/>
    <w:pPr>
      <w:widowControl w:val="0"/>
    </w:pPr>
    <w:rPr>
      <w:kern w:val="2"/>
      <w:sz w:val="21"/>
      <w:szCs w:val="22"/>
    </w:rPr>
  </w:style>
  <w:style w:type="paragraph" w:customStyle="1" w:styleId="neirong">
    <w:name w:val="neirong"/>
    <w:basedOn w:val="a"/>
    <w:qFormat/>
    <w:rsid w:val="008D752C"/>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8D752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10</Pages>
  <Words>771</Words>
  <Characters>4401</Characters>
  <Application>Microsoft Office Word</Application>
  <DocSecurity>0</DocSecurity>
  <Lines>36</Lines>
  <Paragraphs>10</Paragraphs>
  <ScaleCrop>false</ScaleCrop>
  <Company>微软中国</Company>
  <LinksUpToDate>false</LinksUpToDate>
  <CharactersWithSpaces>5162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29</cp:revision>
  <cp:lastPrinted>2019-09-11T00:56:00Z</cp:lastPrinted>
  <dcterms:created xsi:type="dcterms:W3CDTF">2020-12-16T03:30:00Z</dcterms:created>
  <dcterms:modified xsi:type="dcterms:W3CDTF">2021-03-30T02:17:00Z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98ED8D16DABA4F439806FB4AA78A787C</vt:lpwstr>
  </property>
</Properties>
</file>