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35" w:rsidRDefault="00AF2735">
      <w:pPr>
        <w:pStyle w:val="dazhangjie"/>
        <w:rPr>
          <w:b/>
          <w:bCs/>
          <w:color w:val="000000"/>
        </w:rPr>
      </w:pPr>
    </w:p>
    <w:p w:rsidR="00AF2735" w:rsidRDefault="00AF2735">
      <w:pPr>
        <w:pStyle w:val="dazhangjie"/>
        <w:rPr>
          <w:b/>
          <w:bCs/>
          <w:color w:val="000000"/>
        </w:rPr>
      </w:pPr>
    </w:p>
    <w:p w:rsidR="00AF2735" w:rsidRDefault="00AF2735">
      <w:pPr>
        <w:pStyle w:val="dazhangjie"/>
        <w:rPr>
          <w:b/>
          <w:bCs/>
          <w:color w:val="000000"/>
        </w:rPr>
      </w:pPr>
    </w:p>
    <w:p w:rsidR="00AF2735" w:rsidRDefault="006221AE">
      <w:pPr>
        <w:pStyle w:val="dazhangjie"/>
        <w:spacing w:before="240" w:after="120"/>
        <w:rPr>
          <w:rFonts w:ascii="黑体" w:eastAsia="黑体" w:hAnsi="黑体"/>
          <w:b/>
          <w:bCs/>
          <w:sz w:val="36"/>
        </w:rPr>
      </w:pPr>
      <w:r>
        <w:rPr>
          <w:rFonts w:ascii="黑体" w:eastAsia="黑体" w:hAnsi="黑体" w:hint="eastAsia"/>
          <w:b/>
          <w:bCs/>
          <w:sz w:val="36"/>
        </w:rPr>
        <w:t>南京银行珠联璧合致远</w:t>
      </w:r>
      <w:r>
        <w:rPr>
          <w:rFonts w:ascii="黑体" w:eastAsia="黑体" w:hAnsi="黑体"/>
          <w:b/>
          <w:bCs/>
          <w:sz w:val="36"/>
        </w:rPr>
        <w:t>1912一年定开公募人民币理财产品</w:t>
      </w:r>
    </w:p>
    <w:p w:rsidR="00AF2735" w:rsidRDefault="006221AE">
      <w:pPr>
        <w:pStyle w:val="dazhangjie"/>
        <w:spacing w:before="240" w:after="120"/>
        <w:rPr>
          <w:rFonts w:ascii="黑体" w:eastAsia="黑体" w:hAnsi="黑体"/>
          <w:b/>
          <w:bCs/>
          <w:color w:val="000000"/>
          <w:sz w:val="36"/>
        </w:rPr>
      </w:pPr>
      <w:r>
        <w:rPr>
          <w:rFonts w:ascii="黑体" w:eastAsia="黑体" w:hint="eastAsia"/>
          <w:b/>
          <w:bCs/>
          <w:color w:val="000000"/>
          <w:sz w:val="36"/>
        </w:rPr>
        <w:t>2020</w:t>
      </w:r>
      <w:r>
        <w:rPr>
          <w:rFonts w:ascii="黑体" w:eastAsia="黑体" w:hAnsi="黑体"/>
          <w:b/>
          <w:bCs/>
          <w:color w:val="000000"/>
          <w:sz w:val="36"/>
        </w:rPr>
        <w:t>年</w:t>
      </w:r>
      <w:r>
        <w:rPr>
          <w:rFonts w:ascii="黑体" w:eastAsia="黑体" w:hAnsi="Calibri" w:hint="eastAsia"/>
          <w:b/>
          <w:color w:val="000000"/>
          <w:sz w:val="36"/>
        </w:rPr>
        <w:t>年度</w:t>
      </w:r>
      <w:r>
        <w:rPr>
          <w:rFonts w:ascii="黑体" w:eastAsia="黑体" w:hAnsi="黑体"/>
          <w:b/>
          <w:bCs/>
          <w:color w:val="000000"/>
          <w:sz w:val="36"/>
        </w:rPr>
        <w:t>报告</w:t>
      </w: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rPr>
          <w:rFonts w:ascii="黑体" w:eastAsia="黑体" w:hAnsi="黑体"/>
          <w:b/>
          <w:bCs/>
          <w:color w:val="000000"/>
          <w:sz w:val="36"/>
        </w:rPr>
      </w:pPr>
    </w:p>
    <w:p w:rsidR="00AF2735" w:rsidRDefault="00AF2735">
      <w:pPr>
        <w:pStyle w:val="dazhangjie"/>
        <w:spacing w:before="240" w:after="120"/>
        <w:ind w:left="0"/>
        <w:jc w:val="both"/>
        <w:rPr>
          <w:rFonts w:ascii="黑体" w:eastAsia="黑体" w:hAnsi="黑体"/>
          <w:b/>
          <w:bCs/>
          <w:color w:val="000000"/>
          <w:sz w:val="36"/>
        </w:rPr>
      </w:pPr>
    </w:p>
    <w:p w:rsidR="00AF2735" w:rsidRDefault="006221AE">
      <w:pPr>
        <w:pStyle w:val="dazhangjie"/>
        <w:spacing w:before="240" w:after="120"/>
        <w:ind w:firstLineChars="1100" w:firstLine="2640"/>
        <w:jc w:val="both"/>
        <w:rPr>
          <w:color w:val="000000"/>
        </w:rPr>
      </w:pPr>
      <w:r>
        <w:rPr>
          <w:rFonts w:hint="eastAsia"/>
          <w:color w:val="000000"/>
        </w:rPr>
        <w:t>产品</w:t>
      </w:r>
      <w:r>
        <w:rPr>
          <w:color w:val="000000"/>
        </w:rPr>
        <w:t>管理人:</w:t>
      </w:r>
      <w:r>
        <w:rPr>
          <w:rFonts w:hint="eastAsia"/>
        </w:rPr>
        <w:t>南京银行股份有限公司</w:t>
      </w:r>
    </w:p>
    <w:p w:rsidR="00AF2735" w:rsidRDefault="006221AE">
      <w:pPr>
        <w:pStyle w:val="dazhangjie"/>
        <w:spacing w:before="240" w:after="120"/>
        <w:ind w:firstLineChars="1100" w:firstLine="2640"/>
        <w:jc w:val="both"/>
        <w:rPr>
          <w:color w:val="000000"/>
        </w:rPr>
      </w:pPr>
      <w:r>
        <w:rPr>
          <w:rFonts w:hint="eastAsia"/>
          <w:color w:val="000000"/>
        </w:rPr>
        <w:t>产品</w:t>
      </w:r>
      <w:r>
        <w:rPr>
          <w:color w:val="000000"/>
        </w:rPr>
        <w:t xml:space="preserve">托管人: </w:t>
      </w:r>
      <w:r>
        <w:t>南京银行股份有限公司</w:t>
      </w:r>
    </w:p>
    <w:p w:rsidR="00AF2735" w:rsidRDefault="00AF2735">
      <w:pPr>
        <w:widowControl/>
        <w:jc w:val="left"/>
        <w:rPr>
          <w:rFonts w:ascii="宋体" w:hAnsi="宋体" w:cs="宋体"/>
          <w:color w:val="000000"/>
          <w:kern w:val="0"/>
          <w:sz w:val="24"/>
          <w:szCs w:val="24"/>
        </w:rPr>
        <w:sectPr w:rsidR="00AF2735">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pPr>
    </w:p>
    <w:p w:rsidR="00AF2735" w:rsidRDefault="00AF2735">
      <w:pPr>
        <w:widowControl/>
        <w:jc w:val="left"/>
        <w:rPr>
          <w:rFonts w:ascii="宋体" w:hAnsi="宋体" w:cs="宋体"/>
          <w:color w:val="000000"/>
          <w:kern w:val="0"/>
          <w:sz w:val="24"/>
          <w:szCs w:val="24"/>
        </w:rPr>
      </w:pPr>
    </w:p>
    <w:p w:rsidR="00AF2735" w:rsidRDefault="006221AE">
      <w:pPr>
        <w:pStyle w:val="dazhangjie"/>
        <w:rPr>
          <w:color w:val="000000"/>
        </w:rPr>
      </w:pPr>
      <w:r>
        <w:rPr>
          <w:rFonts w:hAnsi="Calibri" w:hint="eastAsia"/>
          <w:b/>
          <w:color w:val="000000"/>
        </w:rPr>
        <w:t>§1 产品概况</w:t>
      </w:r>
    </w:p>
    <w:p w:rsidR="00AF2735" w:rsidRDefault="00AF2735">
      <w:pPr>
        <w:widowControl/>
        <w:jc w:val="left"/>
        <w:rPr>
          <w:rFonts w:ascii="宋体" w:hAnsi="宋体" w:cs="宋体"/>
          <w:color w:val="000000"/>
          <w:kern w:val="0"/>
          <w:sz w:val="24"/>
          <w:szCs w:val="24"/>
        </w:rPr>
      </w:pPr>
    </w:p>
    <w:tbl>
      <w:tblPr>
        <w:tblW w:w="9198" w:type="dxa"/>
        <w:tblInd w:w="108" w:type="dxa"/>
        <w:tblLayout w:type="fixed"/>
        <w:tblLook w:val="04A0"/>
      </w:tblPr>
      <w:tblGrid>
        <w:gridCol w:w="2811"/>
        <w:gridCol w:w="6387"/>
      </w:tblGrid>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产品全称</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rPr>
              <w:t>南京银行珠联璧合致远1912一年定开公募人民币理财产品</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rPr>
              <w:t>产品登记编码</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pPr>
            <w:r>
              <w:t>C1086919000021</w:t>
            </w:r>
            <w:r>
              <w:rPr>
                <w:rFonts w:hint="eastAsia"/>
              </w:rPr>
              <w:t>（投资者可依据该编码在中国理财网www.chinawealth.com.cn查询理财产品相关信息）</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产品运作方式</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rPr>
              <w:t>开放式净值型</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85199C">
            <w:pPr>
              <w:pStyle w:val="biaogeleft"/>
              <w:wordWrap w:val="0"/>
              <w:rPr>
                <w:color w:val="000000"/>
              </w:rPr>
            </w:pPr>
            <w:r>
              <w:rPr>
                <w:rFonts w:hint="eastAsia"/>
                <w:color w:val="000000"/>
              </w:rPr>
              <w:t>产品成立日</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rPr>
              <w:t>2019年12月19日</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报告期末产品份额总额</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highlight w:val="yellow"/>
              </w:rPr>
            </w:pPr>
            <w:r>
              <w:rPr>
                <w:rFonts w:hint="eastAsia"/>
              </w:rPr>
              <w:t>1,932,325,872.00份</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报告期末产品杠杆水平</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104.44%</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合作机构</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景顺长城基金管理有限公司、中欧基金管理有限公司、富国基金管理有限公司、华夏基金管理有限公司、华宝基金管理有限公司、南方基金管理股份有限公司、汇添富基金管理股份有限公司、兴证全球基金管理有限公司、广发基金管理有限公司、华润深国投信托有限公司、万家基金管理有限公司、鹏华基金管理有限公司</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产品管理人</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rPr>
              <w:t>南京银行股份有限公司</w:t>
            </w:r>
          </w:p>
        </w:tc>
      </w:tr>
      <w:tr w:rsidR="00AF2735">
        <w:tc>
          <w:tcPr>
            <w:tcW w:w="281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color w:val="000000"/>
              </w:rPr>
              <w:t>产品托管人</w:t>
            </w:r>
          </w:p>
        </w:tc>
        <w:tc>
          <w:tcPr>
            <w:tcW w:w="638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left"/>
              <w:wordWrap w:val="0"/>
              <w:rPr>
                <w:color w:val="000000"/>
              </w:rPr>
            </w:pPr>
            <w:r>
              <w:rPr>
                <w:rFonts w:hint="eastAsia"/>
              </w:rPr>
              <w:t>南京银行股份有限公司</w:t>
            </w:r>
          </w:p>
        </w:tc>
      </w:tr>
    </w:tbl>
    <w:p w:rsidR="00AF2735" w:rsidRDefault="00AF2735">
      <w:pPr>
        <w:widowControl/>
        <w:jc w:val="left"/>
        <w:rPr>
          <w:rFonts w:ascii="宋体" w:hAnsi="宋体" w:cs="宋体"/>
          <w:color w:val="000000"/>
          <w:kern w:val="0"/>
          <w:sz w:val="24"/>
          <w:szCs w:val="24"/>
        </w:rPr>
      </w:pPr>
    </w:p>
    <w:p w:rsidR="00AF2735" w:rsidRDefault="00AF2735">
      <w:pPr>
        <w:pStyle w:val="dazhangjie"/>
        <w:rPr>
          <w:rFonts w:hAnsi="Calibri"/>
          <w:b/>
          <w:color w:val="000000"/>
        </w:rPr>
      </w:pPr>
    </w:p>
    <w:p w:rsidR="00AF2735" w:rsidRDefault="006221AE">
      <w:pPr>
        <w:pStyle w:val="dazhangjie"/>
        <w:rPr>
          <w:color w:val="000000"/>
        </w:rPr>
      </w:pPr>
      <w:r>
        <w:rPr>
          <w:rFonts w:hAnsi="Calibri" w:hint="eastAsia"/>
          <w:b/>
          <w:color w:val="000000"/>
        </w:rPr>
        <w:t>§2  主要财务指标</w:t>
      </w:r>
    </w:p>
    <w:p w:rsidR="00AF2735" w:rsidRDefault="00AF2735">
      <w:pPr>
        <w:widowControl/>
        <w:jc w:val="left"/>
        <w:rPr>
          <w:rFonts w:ascii="宋体" w:hAnsi="宋体" w:cs="宋体"/>
          <w:color w:val="000000"/>
          <w:kern w:val="0"/>
          <w:sz w:val="24"/>
          <w:szCs w:val="24"/>
        </w:rPr>
      </w:pPr>
    </w:p>
    <w:p w:rsidR="00AF2735" w:rsidRDefault="006221AE">
      <w:pPr>
        <w:pStyle w:val="zhangjiep"/>
        <w:rPr>
          <w:color w:val="000000"/>
        </w:rPr>
      </w:pPr>
      <w:r>
        <w:rPr>
          <w:rFonts w:hint="eastAsia"/>
          <w:b/>
          <w:bCs/>
          <w:color w:val="000000"/>
        </w:rPr>
        <w:t>2.1 主要财务指标</w:t>
      </w:r>
    </w:p>
    <w:p w:rsidR="00AF2735" w:rsidRDefault="006221AE">
      <w:pPr>
        <w:widowControl/>
        <w:autoSpaceDE w:val="0"/>
        <w:autoSpaceDN w:val="0"/>
        <w:adjustRightInd w:val="0"/>
        <w:spacing w:line="288" w:lineRule="auto"/>
        <w:jc w:val="right"/>
        <w:rPr>
          <w:rFonts w:ascii="宋体" w:hAnsi="宋体" w:cs="宋体"/>
          <w:color w:val="000000"/>
          <w:kern w:val="0"/>
          <w:sz w:val="24"/>
          <w:szCs w:val="24"/>
        </w:rPr>
      </w:pPr>
      <w:r>
        <w:rPr>
          <w:rFonts w:ascii="宋体" w:cs="宋体" w:hint="eastAsia"/>
          <w:color w:val="000000"/>
          <w:kern w:val="0"/>
          <w:sz w:val="24"/>
          <w:szCs w:val="24"/>
        </w:rPr>
        <w:t>单位：人民币元</w:t>
      </w:r>
    </w:p>
    <w:tbl>
      <w:tblPr>
        <w:tblW w:w="9045" w:type="dxa"/>
        <w:tblInd w:w="108" w:type="dxa"/>
        <w:tblLayout w:type="fixed"/>
        <w:tblLook w:val="04A0"/>
      </w:tblPr>
      <w:tblGrid>
        <w:gridCol w:w="5220"/>
        <w:gridCol w:w="3825"/>
      </w:tblGrid>
      <w:tr w:rsidR="00AF2735">
        <w:tc>
          <w:tcPr>
            <w:tcW w:w="5220"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a8"/>
              <w:wordWrap w:val="0"/>
              <w:jc w:val="center"/>
              <w:rPr>
                <w:color w:val="000000"/>
              </w:rPr>
            </w:pPr>
            <w:r>
              <w:rPr>
                <w:b/>
              </w:rPr>
              <w:t>主要财务指标</w:t>
            </w:r>
          </w:p>
        </w:tc>
        <w:tc>
          <w:tcPr>
            <w:tcW w:w="3825"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dazhangjie"/>
              <w:spacing w:before="240" w:after="120"/>
              <w:rPr>
                <w:color w:val="000000"/>
              </w:rPr>
            </w:pPr>
            <w:r>
              <w:t>报告期（2020年</w:t>
            </w:r>
            <w:r>
              <w:rPr>
                <w:rFonts w:hint="eastAsia"/>
              </w:rPr>
              <w:t>01</w:t>
            </w:r>
            <w:r>
              <w:t>月01日 - 2020年12月31日）</w:t>
            </w:r>
          </w:p>
        </w:tc>
      </w:tr>
      <w:tr w:rsidR="00AF2735">
        <w:tc>
          <w:tcPr>
            <w:tcW w:w="5220"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a8"/>
              <w:wordWrap w:val="0"/>
              <w:rPr>
                <w:color w:val="000000"/>
              </w:rPr>
            </w:pPr>
            <w:r>
              <w:rPr>
                <w:rFonts w:hint="eastAsia"/>
                <w:shd w:val="clear" w:color="auto" w:fill="FFFFFF"/>
              </w:rPr>
              <w:t>1</w:t>
            </w:r>
            <w:r>
              <w:rPr>
                <w:shd w:val="clear" w:color="auto" w:fill="FFFFFF"/>
              </w:rPr>
              <w:t>.期末</w:t>
            </w:r>
            <w:r>
              <w:rPr>
                <w:rFonts w:hint="eastAsia"/>
                <w:shd w:val="clear" w:color="auto" w:fill="FFFFFF"/>
              </w:rPr>
              <w:t>最后一个市场交易日产品</w:t>
            </w:r>
            <w:r>
              <w:rPr>
                <w:shd w:val="clear" w:color="auto" w:fill="FFFFFF"/>
              </w:rPr>
              <w:t>资产净值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right"/>
              <w:jc w:val="center"/>
              <w:rPr>
                <w:color w:val="000000"/>
                <w:highlight w:val="yellow"/>
              </w:rPr>
            </w:pPr>
            <w:r>
              <w:rPr>
                <w:rFonts w:hint="eastAsia"/>
              </w:rPr>
              <w:t>1,942,421,364.10</w:t>
            </w:r>
          </w:p>
        </w:tc>
      </w:tr>
      <w:tr w:rsidR="00AF2735">
        <w:tc>
          <w:tcPr>
            <w:tcW w:w="5220"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a8"/>
              <w:wordWrap w:val="0"/>
              <w:rPr>
                <w:color w:val="000000"/>
              </w:rPr>
            </w:pPr>
            <w:r>
              <w:rPr>
                <w:rFonts w:hint="eastAsia"/>
                <w:shd w:val="clear" w:color="auto" w:fill="FFFFFF"/>
              </w:rPr>
              <w:t>2</w:t>
            </w:r>
            <w:r>
              <w:rPr>
                <w:shd w:val="clear" w:color="auto" w:fill="FFFFFF"/>
              </w:rPr>
              <w:t>.期末</w:t>
            </w:r>
            <w:r>
              <w:rPr>
                <w:rFonts w:hint="eastAsia"/>
                <w:shd w:val="clear" w:color="auto" w:fill="FFFFFF"/>
              </w:rPr>
              <w:t>最后一个市场交易日产品</w:t>
            </w:r>
            <w:r>
              <w:rPr>
                <w:shd w:val="clear" w:color="auto" w:fill="FFFFFF"/>
              </w:rPr>
              <w:t>份额净值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right"/>
              <w:jc w:val="center"/>
              <w:rPr>
                <w:color w:val="000000"/>
                <w:highlight w:val="yellow"/>
              </w:rPr>
            </w:pPr>
            <w:r>
              <w:rPr>
                <w:rFonts w:hint="eastAsia"/>
              </w:rPr>
              <w:t>1.0052</w:t>
            </w:r>
          </w:p>
        </w:tc>
      </w:tr>
      <w:tr w:rsidR="00AF2735">
        <w:tc>
          <w:tcPr>
            <w:tcW w:w="5220"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a8"/>
              <w:wordWrap w:val="0"/>
              <w:rPr>
                <w:color w:val="000000"/>
              </w:rPr>
            </w:pPr>
            <w:r>
              <w:rPr>
                <w:rFonts w:hint="eastAsia"/>
                <w:shd w:val="clear" w:color="auto" w:fill="FFFFFF"/>
              </w:rPr>
              <w:t>3</w:t>
            </w:r>
            <w:r>
              <w:rPr>
                <w:shd w:val="clear" w:color="auto" w:fill="FFFFFF"/>
              </w:rPr>
              <w:t>.期末</w:t>
            </w:r>
            <w:r>
              <w:rPr>
                <w:rFonts w:hint="eastAsia"/>
                <w:shd w:val="clear" w:color="auto" w:fill="FFFFFF"/>
              </w:rPr>
              <w:t>最后一个市场交易日产品</w:t>
            </w:r>
            <w:r>
              <w:rPr>
                <w:shd w:val="clear" w:color="auto" w:fill="FFFFFF"/>
              </w:rPr>
              <w:t>份额</w:t>
            </w:r>
            <w:r>
              <w:rPr>
                <w:rFonts w:hint="eastAsia"/>
                <w:shd w:val="clear" w:color="auto" w:fill="FFFFFF"/>
              </w:rPr>
              <w:t>累计</w:t>
            </w:r>
            <w:r>
              <w:rPr>
                <w:shd w:val="clear" w:color="auto" w:fill="FFFFFF"/>
              </w:rPr>
              <w:t>净值</w:t>
            </w:r>
          </w:p>
        </w:tc>
        <w:tc>
          <w:tcPr>
            <w:tcW w:w="3825"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right"/>
              <w:jc w:val="center"/>
              <w:rPr>
                <w:color w:val="000000"/>
                <w:highlight w:val="yellow"/>
              </w:rPr>
            </w:pPr>
            <w:r>
              <w:rPr>
                <w:color w:val="000000"/>
              </w:rPr>
              <w:t>1.0626</w:t>
            </w:r>
          </w:p>
        </w:tc>
      </w:tr>
      <w:tr w:rsidR="00AF2735">
        <w:tc>
          <w:tcPr>
            <w:tcW w:w="5220" w:type="dxa"/>
            <w:vAlign w:val="center"/>
          </w:tcPr>
          <w:p w:rsidR="00AF2735" w:rsidRDefault="00AF2735">
            <w:pPr>
              <w:widowControl/>
              <w:jc w:val="left"/>
              <w:rPr>
                <w:rFonts w:ascii="宋体" w:hAnsi="宋体" w:cs="宋体"/>
                <w:color w:val="000000"/>
                <w:kern w:val="0"/>
                <w:sz w:val="24"/>
                <w:szCs w:val="24"/>
              </w:rPr>
            </w:pPr>
          </w:p>
        </w:tc>
        <w:tc>
          <w:tcPr>
            <w:tcW w:w="3825" w:type="dxa"/>
            <w:vAlign w:val="center"/>
          </w:tcPr>
          <w:p w:rsidR="00AF2735" w:rsidRDefault="00AF2735">
            <w:pPr>
              <w:widowControl/>
              <w:jc w:val="left"/>
              <w:rPr>
                <w:color w:val="000000"/>
                <w:kern w:val="0"/>
                <w:sz w:val="20"/>
                <w:szCs w:val="20"/>
              </w:rPr>
            </w:pPr>
          </w:p>
        </w:tc>
      </w:tr>
    </w:tbl>
    <w:p w:rsidR="00AF2735" w:rsidRDefault="00AF2735">
      <w:pPr>
        <w:pStyle w:val="biaogeleft"/>
        <w:ind w:left="0"/>
        <w:rPr>
          <w:color w:val="000000"/>
        </w:rPr>
      </w:pPr>
    </w:p>
    <w:p w:rsidR="00AF2735" w:rsidRDefault="00AF2735">
      <w:pPr>
        <w:widowControl/>
        <w:jc w:val="left"/>
        <w:rPr>
          <w:rFonts w:ascii="宋体" w:hAnsi="宋体" w:cs="宋体"/>
          <w:color w:val="000000"/>
          <w:kern w:val="0"/>
          <w:sz w:val="24"/>
          <w:szCs w:val="24"/>
        </w:rPr>
      </w:pPr>
    </w:p>
    <w:p w:rsidR="00AF2735" w:rsidRDefault="006221AE">
      <w:pPr>
        <w:pStyle w:val="dazhangjie"/>
        <w:rPr>
          <w:color w:val="000000"/>
        </w:rPr>
      </w:pPr>
      <w:r>
        <w:rPr>
          <w:rFonts w:hAnsi="Calibri" w:hint="eastAsia"/>
          <w:b/>
          <w:color w:val="000000"/>
        </w:rPr>
        <w:t>§3  管理人报告</w:t>
      </w:r>
    </w:p>
    <w:p w:rsidR="00AF2735" w:rsidRDefault="006221AE">
      <w:pPr>
        <w:pStyle w:val="a8"/>
        <w:rPr>
          <w:b/>
          <w:color w:val="000000"/>
        </w:rPr>
      </w:pPr>
      <w:r>
        <w:rPr>
          <w:rFonts w:hint="eastAsia"/>
          <w:b/>
          <w:color w:val="000000"/>
        </w:rPr>
        <w:t>3</w:t>
      </w:r>
      <w:r>
        <w:rPr>
          <w:b/>
          <w:color w:val="000000"/>
        </w:rPr>
        <w:t>.</w:t>
      </w:r>
      <w:r>
        <w:rPr>
          <w:rFonts w:hint="eastAsia"/>
          <w:b/>
          <w:color w:val="000000"/>
        </w:rPr>
        <w:t>1</w:t>
      </w:r>
      <w:r>
        <w:rPr>
          <w:b/>
          <w:color w:val="000000"/>
        </w:rPr>
        <w:t xml:space="preserve"> 报告期内</w:t>
      </w:r>
      <w:r>
        <w:rPr>
          <w:rFonts w:hint="eastAsia"/>
          <w:b/>
          <w:color w:val="000000"/>
        </w:rPr>
        <w:t>产品</w:t>
      </w:r>
      <w:r>
        <w:rPr>
          <w:b/>
          <w:color w:val="000000"/>
        </w:rPr>
        <w:t>的投资策略和运作分析</w:t>
      </w:r>
    </w:p>
    <w:p w:rsidR="00AF2735" w:rsidRDefault="006221AE" w:rsidP="004B073D">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0" w:name="_Hlk63865955"/>
      <w:r>
        <w:rPr>
          <w:rFonts w:asciiTheme="minorEastAsia" w:eastAsiaTheme="minorEastAsia" w:hAnsiTheme="minorEastAsia" w:hint="eastAsia"/>
          <w:kern w:val="0"/>
          <w:sz w:val="24"/>
          <w:szCs w:val="24"/>
        </w:rPr>
        <w:lastRenderedPageBreak/>
        <w:t>2020年，新冠疫情对宏观经济与金融市场的冲击贯穿全年。受疫情影响，我国一季度经济明显收缩，投资、消费、出口均出呈现了萎缩态势，一季度经济增速同比下滑6.8%。二季度以来，全国疫情防控和复工复产取得明显成效，在宏观政策不断加大力度的背景下，国内经济呈全面复苏态势，并在世界主要经济体中率先实现正增长。据初步核算，2020年国内生产总值101.6万亿元，同比增长2.3%。</w:t>
      </w:r>
    </w:p>
    <w:p w:rsidR="00AF2735" w:rsidRDefault="006221AE" w:rsidP="004B073D">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市场方面，债券市场全年大幅波动。前四个月，受疫情冲击、全球央行货币政策全面放松等因素影响，债券收益率大幅下行，10年期国债一度向下突破2.5%。5月，随着我国疫情防控逐步常态化，基本面预期企稳，央行货币政策边际收紧，叠加利率债供给放量等因素共振，债券收益率快速走高。进入11月后，国企债券违约等信用风险事件导致债券市场出现普遍性调整，信用利差持续走阔。12月，在中央表态政策“不急转弯”，央行呵护流动性的影响下，债市走强。全年来看，10年期国债收益率收于3.14%，较上年末无变化。A股市场表现抢眼，尽管经历了疫情扰动，但在国内疫情控制得力、流动性相对宽松、龙头企业优势进一步扩大和居民财富加速入场等背景下，全年沪深300指数上涨达27%。</w:t>
      </w:r>
    </w:p>
    <w:p w:rsidR="00AF2735" w:rsidRDefault="006221AE" w:rsidP="004B073D">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2020年，本系列产品信用债投资维持中性偏短久期，有效控制回撤；权益部分则通过哑铃型配置策略，以金融周期为盾，以高端制造等高景气板块为矛，取得了较好的收益和较低的波动。展望未来，国内经济内生动力增强，但境外疫情和世界经济形势依然复杂严峻，预计全年债券维持震荡行情。投资上将继续坚持中短久期的票息策略为主，精选优质主体，并关注品种利差投资机会。权益方面，我们认为国家竞争优势的增强、房住不炒下居民财富搬家是A股权益市场长期配置价值的坚实基础，但同时也关注到短期结构化高估带来的估值消化需求，2</w:t>
      </w:r>
      <w:r>
        <w:rPr>
          <w:rFonts w:asciiTheme="minorEastAsia" w:eastAsiaTheme="minorEastAsia" w:hAnsiTheme="minorEastAsia"/>
          <w:kern w:val="0"/>
          <w:sz w:val="24"/>
          <w:szCs w:val="24"/>
        </w:rPr>
        <w:t>021</w:t>
      </w:r>
      <w:r>
        <w:rPr>
          <w:rFonts w:asciiTheme="minorEastAsia" w:eastAsiaTheme="minorEastAsia" w:hAnsiTheme="minorEastAsia" w:hint="eastAsia"/>
          <w:kern w:val="0"/>
          <w:sz w:val="24"/>
          <w:szCs w:val="24"/>
        </w:rPr>
        <w:t>年选股难度将有所增加，我们将更加致力于攻守平衡，稳扎稳打。</w:t>
      </w:r>
      <w:bookmarkEnd w:id="0"/>
    </w:p>
    <w:p w:rsidR="00AF2735" w:rsidRDefault="006221AE">
      <w:pPr>
        <w:pStyle w:val="a8"/>
        <w:rPr>
          <w:b/>
          <w:color w:val="000000"/>
        </w:rPr>
      </w:pPr>
      <w:r>
        <w:rPr>
          <w:rFonts w:hint="eastAsia"/>
          <w:b/>
          <w:color w:val="000000"/>
        </w:rPr>
        <w:t>3.2</w:t>
      </w:r>
      <w:r>
        <w:rPr>
          <w:b/>
          <w:color w:val="000000"/>
        </w:rPr>
        <w:t>报告期内</w:t>
      </w:r>
      <w:r>
        <w:rPr>
          <w:rFonts w:hint="eastAsia"/>
          <w:b/>
          <w:color w:val="000000"/>
        </w:rPr>
        <w:t>产品</w:t>
      </w:r>
      <w:r>
        <w:rPr>
          <w:b/>
          <w:color w:val="000000"/>
        </w:rPr>
        <w:t>的</w:t>
      </w:r>
      <w:r>
        <w:rPr>
          <w:rFonts w:hint="eastAsia"/>
          <w:b/>
          <w:color w:val="000000"/>
        </w:rPr>
        <w:t>流动性风险</w:t>
      </w:r>
      <w:r>
        <w:rPr>
          <w:b/>
          <w:color w:val="000000"/>
        </w:rPr>
        <w:t>分析</w:t>
      </w:r>
    </w:p>
    <w:p w:rsidR="00AF2735" w:rsidRDefault="006221AE" w:rsidP="004B073D">
      <w:pPr>
        <w:widowControl/>
        <w:adjustRightInd w:val="0"/>
        <w:snapToGrid w:val="0"/>
        <w:spacing w:afterLines="50" w:line="360" w:lineRule="auto"/>
        <w:ind w:firstLineChars="200" w:firstLine="480"/>
        <w:jc w:val="left"/>
        <w:rPr>
          <w:rFonts w:asciiTheme="minorEastAsia" w:eastAsiaTheme="minorEastAsia" w:hAnsiTheme="minorEastAsia"/>
          <w:kern w:val="0"/>
          <w:sz w:val="24"/>
          <w:szCs w:val="24"/>
        </w:rPr>
      </w:pPr>
      <w:bookmarkStart w:id="1" w:name="_Hlk63865996"/>
      <w:r>
        <w:rPr>
          <w:rFonts w:asciiTheme="minorEastAsia" w:eastAsiaTheme="minorEastAsia" w:hAnsiTheme="minorEastAsia" w:hint="eastAsia"/>
          <w:kern w:val="0"/>
          <w:sz w:val="24"/>
          <w:szCs w:val="24"/>
        </w:rPr>
        <w:t>本系列持仓资产以债券为主，变现能力较强，同时合理控制个券集中度，持有的非标债权满足期限匹配要求，流动性风险较低。</w:t>
      </w:r>
      <w:bookmarkEnd w:id="1"/>
    </w:p>
    <w:p w:rsidR="00AF2735" w:rsidRDefault="006221AE">
      <w:pPr>
        <w:pStyle w:val="a8"/>
        <w:rPr>
          <w:color w:val="000000"/>
        </w:rPr>
      </w:pPr>
      <w:r>
        <w:rPr>
          <w:rFonts w:hint="eastAsia"/>
          <w:b/>
          <w:color w:val="000000"/>
        </w:rPr>
        <w:t>3</w:t>
      </w:r>
      <w:r>
        <w:rPr>
          <w:b/>
          <w:color w:val="000000"/>
        </w:rPr>
        <w:t>.</w:t>
      </w:r>
      <w:r>
        <w:rPr>
          <w:rFonts w:hint="eastAsia"/>
          <w:b/>
          <w:color w:val="000000"/>
        </w:rPr>
        <w:t>3</w:t>
      </w:r>
      <w:r>
        <w:rPr>
          <w:b/>
          <w:color w:val="000000"/>
        </w:rPr>
        <w:t xml:space="preserve"> 报告期内</w:t>
      </w:r>
      <w:r>
        <w:rPr>
          <w:rFonts w:hint="eastAsia"/>
          <w:b/>
          <w:color w:val="000000"/>
        </w:rPr>
        <w:t>产品</w:t>
      </w:r>
      <w:r>
        <w:rPr>
          <w:b/>
          <w:color w:val="000000"/>
        </w:rPr>
        <w:t>的业绩表现</w:t>
      </w:r>
    </w:p>
    <w:p w:rsidR="00AF2735" w:rsidRDefault="006221AE">
      <w:pPr>
        <w:pStyle w:val="biaogeleft"/>
        <w:spacing w:line="360" w:lineRule="auto"/>
        <w:ind w:firstLine="480"/>
        <w:rPr>
          <w:color w:val="000000"/>
          <w:highlight w:val="yellow"/>
        </w:rPr>
      </w:pPr>
      <w:r>
        <w:rPr>
          <w:rFonts w:hint="eastAsia"/>
          <w:color w:val="000000"/>
        </w:rPr>
        <w:t>截至报告期末,本产品份额净值为</w:t>
      </w:r>
      <w:r>
        <w:rPr>
          <w:rFonts w:hint="eastAsia"/>
        </w:rPr>
        <w:t>1.0052</w:t>
      </w:r>
      <w:r>
        <w:rPr>
          <w:rFonts w:hint="eastAsia"/>
          <w:color w:val="000000"/>
        </w:rPr>
        <w:t>元。</w:t>
      </w:r>
    </w:p>
    <w:p w:rsidR="00AF2735" w:rsidRDefault="00AF2735">
      <w:pPr>
        <w:widowControl/>
        <w:jc w:val="left"/>
        <w:rPr>
          <w:rFonts w:ascii="宋体" w:hAnsi="宋体" w:cs="宋体"/>
          <w:color w:val="000000"/>
          <w:kern w:val="0"/>
          <w:sz w:val="24"/>
          <w:szCs w:val="24"/>
        </w:rPr>
      </w:pPr>
    </w:p>
    <w:p w:rsidR="00AF2735" w:rsidRDefault="006221AE">
      <w:pPr>
        <w:pStyle w:val="dazhangjie"/>
        <w:rPr>
          <w:rFonts w:hAnsi="Calibri"/>
          <w:b/>
          <w:color w:val="000000"/>
        </w:rPr>
      </w:pPr>
      <w:r>
        <w:rPr>
          <w:rFonts w:hAnsi="Calibri" w:hint="eastAsia"/>
          <w:b/>
          <w:color w:val="000000"/>
        </w:rPr>
        <w:lastRenderedPageBreak/>
        <w:t>§4  托管人报告</w:t>
      </w:r>
    </w:p>
    <w:p w:rsidR="00AF2735" w:rsidRDefault="00AF2735">
      <w:pPr>
        <w:pStyle w:val="dazhangjie"/>
        <w:rPr>
          <w:rFonts w:hAnsi="Calibri"/>
          <w:b/>
          <w:color w:val="000000"/>
        </w:rPr>
      </w:pPr>
    </w:p>
    <w:p w:rsidR="00AF2735" w:rsidRDefault="006221AE">
      <w:pPr>
        <w:pStyle w:val="a8"/>
        <w:rPr>
          <w:b/>
          <w:color w:val="000000"/>
        </w:rPr>
      </w:pPr>
      <w:bookmarkStart w:id="2" w:name="_Hlk65779940"/>
      <w:r>
        <w:rPr>
          <w:rFonts w:hint="eastAsia"/>
          <w:b/>
          <w:color w:val="000000"/>
        </w:rPr>
        <w:t>4.1报告期内托管人遵规守信情况声明</w:t>
      </w:r>
    </w:p>
    <w:p w:rsidR="00AF2735" w:rsidRDefault="006221AE">
      <w:pPr>
        <w:pStyle w:val="biaogeleft"/>
        <w:spacing w:line="360" w:lineRule="auto"/>
        <w:ind w:firstLineChars="200" w:firstLine="480"/>
        <w:rPr>
          <w:rFonts w:cs="Times New Roman"/>
          <w:b/>
          <w:color w:val="000000"/>
        </w:rPr>
      </w:pPr>
      <w:r>
        <w:rPr>
          <w:rFonts w:hint="eastAsia"/>
        </w:rPr>
        <w:t>在托管本产品的过程中，本产品托管人南京银行股份有限公司严格遵守《商业银行理财业务监督管理办法》相关法律法规的规定以及产品说明书的约定，对本产品管理人—南京银行股份有限公司2020年01月01日至2020年12月31日产品的投资运作，进行了认真、独立的会计核算和必要的投资监督，认真履行了托管人的义务，没有从事任何损害产品份额持有人利益的行为。</w:t>
      </w:r>
    </w:p>
    <w:p w:rsidR="00AF2735" w:rsidRDefault="006221AE">
      <w:pPr>
        <w:pStyle w:val="biaogeleft"/>
        <w:spacing w:line="360" w:lineRule="auto"/>
        <w:rPr>
          <w:rFonts w:cs="Times New Roman"/>
          <w:b/>
          <w:color w:val="000000"/>
        </w:rPr>
      </w:pPr>
      <w:r>
        <w:rPr>
          <w:rFonts w:cs="Times New Roman" w:hint="eastAsia"/>
          <w:b/>
          <w:color w:val="000000"/>
        </w:rPr>
        <w:t>4.2 托管人对报告期内投资运作遵规守信、净值计算、利润分配等情况的说明</w:t>
      </w:r>
    </w:p>
    <w:p w:rsidR="00AF2735" w:rsidRDefault="006221AE">
      <w:pPr>
        <w:pStyle w:val="biaogeleft"/>
        <w:spacing w:line="360" w:lineRule="auto"/>
        <w:ind w:firstLine="480"/>
        <w:rPr>
          <w:color w:val="000000"/>
        </w:rPr>
      </w:pPr>
      <w:r>
        <w:rPr>
          <w:rFonts w:hint="eastAsia"/>
        </w:rPr>
        <w:t>本托管人认为，南京银行股份有限公司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AF2735" w:rsidRDefault="006221AE">
      <w:pPr>
        <w:pStyle w:val="biaogeleft"/>
        <w:spacing w:line="360" w:lineRule="auto"/>
        <w:rPr>
          <w:rFonts w:cs="Times New Roman"/>
          <w:b/>
          <w:color w:val="000000"/>
        </w:rPr>
      </w:pPr>
      <w:r>
        <w:rPr>
          <w:rFonts w:cs="Times New Roman" w:hint="eastAsia"/>
          <w:b/>
          <w:color w:val="000000"/>
        </w:rPr>
        <w:t>4.3 托管人对本</w:t>
      </w:r>
      <w:bookmarkStart w:id="3" w:name="_GoBack"/>
      <w:bookmarkEnd w:id="3"/>
      <w:r>
        <w:rPr>
          <w:rFonts w:cs="Times New Roman" w:hint="eastAsia"/>
          <w:b/>
          <w:color w:val="000000"/>
        </w:rPr>
        <w:t>年度报告中财务信息等内容的真实、准确和完整发表意见</w:t>
      </w:r>
    </w:p>
    <w:p w:rsidR="00AF2735" w:rsidRDefault="006221AE">
      <w:pPr>
        <w:pStyle w:val="biaogeleft"/>
        <w:spacing w:line="360" w:lineRule="auto"/>
        <w:ind w:firstLine="480"/>
      </w:pPr>
      <w:r>
        <w:rPr>
          <w:rFonts w:hint="eastAsia"/>
        </w:rPr>
        <w:t>本托管人认为，南京银行股份有限公司的信息披露事务符合《商业银行理财业务监督管理办法》及其他相关法律法规的规定，产品管理人所编制和披露的本产品年度报告中的财务指标、净值表现、财务会计报告、投资组合报告等信息真实、准确、完整，未发现有损害产品持有人利益的行为。</w:t>
      </w:r>
      <w:bookmarkEnd w:id="2"/>
    </w:p>
    <w:p w:rsidR="00AF2735" w:rsidRDefault="00AF2735">
      <w:pPr>
        <w:pStyle w:val="biaogeleft"/>
        <w:spacing w:line="360" w:lineRule="auto"/>
        <w:ind w:firstLine="480"/>
        <w:rPr>
          <w:color w:val="000000"/>
        </w:rPr>
      </w:pPr>
    </w:p>
    <w:p w:rsidR="00AF2735" w:rsidRDefault="006221AE">
      <w:pPr>
        <w:pStyle w:val="dazhangjie"/>
      </w:pPr>
      <w:bookmarkStart w:id="4" w:name="_Toc15977845"/>
      <w:r>
        <w:rPr>
          <w:rFonts w:hAnsi="Calibri" w:hint="eastAsia"/>
          <w:b/>
          <w:color w:val="000000"/>
        </w:rPr>
        <w:t>§5 年度财务会计报告(未经审计)</w:t>
      </w:r>
      <w:bookmarkEnd w:id="4"/>
    </w:p>
    <w:p w:rsidR="00AF2735" w:rsidRDefault="00AF2735">
      <w:pPr>
        <w:widowControl/>
        <w:jc w:val="left"/>
        <w:rPr>
          <w:rFonts w:ascii="宋体" w:hAnsi="宋体" w:cs="宋体"/>
          <w:kern w:val="0"/>
          <w:sz w:val="24"/>
          <w:szCs w:val="24"/>
        </w:rPr>
      </w:pPr>
    </w:p>
    <w:p w:rsidR="00AF2735" w:rsidRDefault="006221AE">
      <w:pPr>
        <w:pStyle w:val="zhangjiep"/>
      </w:pPr>
      <w:bookmarkStart w:id="5" w:name="_Toc61271615"/>
      <w:r>
        <w:rPr>
          <w:rFonts w:hint="eastAsia"/>
          <w:b/>
          <w:bCs/>
        </w:rPr>
        <w:t>5.1 资产负债表</w:t>
      </w:r>
      <w:bookmarkEnd w:id="5"/>
    </w:p>
    <w:p w:rsidR="00AF2735" w:rsidRDefault="006221AE">
      <w:pPr>
        <w:pStyle w:val="biaogeleft"/>
      </w:pPr>
      <w:r>
        <w:rPr>
          <w:rFonts w:hint="eastAsia"/>
        </w:rPr>
        <w:t>会计主体：南京银行珠联璧合致远1912一年定开公募人民币理财产品</w:t>
      </w:r>
    </w:p>
    <w:p w:rsidR="00AF2735" w:rsidRDefault="006221AE">
      <w:pPr>
        <w:pStyle w:val="biaogeleft"/>
      </w:pPr>
      <w:r>
        <w:rPr>
          <w:rFonts w:hint="eastAsia"/>
        </w:rPr>
        <w:t>报告截止日：2020年12月31日</w:t>
      </w:r>
    </w:p>
    <w:p w:rsidR="00AF2735" w:rsidRDefault="006221A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7757" w:type="dxa"/>
        <w:tblInd w:w="108" w:type="dxa"/>
        <w:tblLayout w:type="fixed"/>
        <w:tblLook w:val="04A0"/>
      </w:tblPr>
      <w:tblGrid>
        <w:gridCol w:w="2608"/>
        <w:gridCol w:w="2529"/>
        <w:gridCol w:w="2620"/>
      </w:tblGrid>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b/>
                <w:bCs/>
              </w:rPr>
              <w:t>资 产 </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Ansi="Calibri" w:hint="eastAsia"/>
                <w:color w:val="000000"/>
              </w:rPr>
              <w:t>本期末</w:t>
            </w:r>
            <w:r>
              <w:rPr>
                <w:rFonts w:hAnsi="Calibri" w:hint="eastAsia"/>
                <w:color w:val="000000"/>
              </w:rPr>
              <w:t> </w:t>
            </w:r>
          </w:p>
          <w:p w:rsidR="00AF2735" w:rsidRDefault="006221AE">
            <w:pPr>
              <w:pStyle w:val="biaogecenter"/>
              <w:wordWrap w:val="0"/>
            </w:pPr>
            <w:r>
              <w:rPr>
                <w:rFonts w:hAnsi="Calibri" w:hint="eastAsia"/>
                <w:color w:val="000000"/>
              </w:rPr>
              <w:t>2020年12月31日</w:t>
            </w:r>
            <w:r>
              <w:rPr>
                <w:rFonts w:hAnsi="Calibri" w:hint="eastAsia"/>
                <w:color w:val="000000"/>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Ansi="Calibri" w:hint="eastAsia"/>
                <w:color w:val="000000"/>
              </w:rPr>
              <w:t>上年度末</w:t>
            </w:r>
            <w:r>
              <w:rPr>
                <w:rFonts w:hAnsi="Calibri" w:hint="eastAsia"/>
                <w:color w:val="000000"/>
              </w:rPr>
              <w:t> </w:t>
            </w:r>
          </w:p>
          <w:p w:rsidR="00AF2735" w:rsidRDefault="006221AE">
            <w:pPr>
              <w:pStyle w:val="biaogecenter"/>
              <w:wordWrap w:val="0"/>
            </w:pPr>
            <w:r>
              <w:rPr>
                <w:rFonts w:hAnsi="Calibri" w:hint="eastAsia"/>
                <w:color w:val="000000"/>
              </w:rPr>
              <w:t>2019年12月31日</w:t>
            </w:r>
            <w:r>
              <w:rPr>
                <w:rFonts w:hAnsi="Calibri" w:hint="eastAsia"/>
                <w:color w:val="000000"/>
              </w:rPr>
              <w:t> </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b/>
                <w:bCs/>
              </w:rPr>
              <w:t>资 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AF2735">
            <w:pPr>
              <w:rPr>
                <w:rFonts w:ascii="宋体" w:hAnsi="宋体" w:cs="宋体"/>
                <w:kern w:val="0"/>
                <w:sz w:val="24"/>
                <w:szCs w:val="24"/>
              </w:rPr>
            </w:pP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银行存款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1,253,719.46</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327,130,250.00</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结算备付金</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存出保证金</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lastRenderedPageBreak/>
              <w:t>交易性金融资产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1,314,881,958.37</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1,053,370,620.00</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其中：股票投资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pPr>
            <w:r>
              <w:rPr>
                <w:rFonts w:hint="eastAsia"/>
              </w:rPr>
              <w:t>基金投资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115,693,218.37</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190,000,000.00</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pPr>
            <w:r>
              <w:rPr>
                <w:rFonts w:hint="eastAsia"/>
              </w:rPr>
              <w:t>债券投资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1,199,188,740.00</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763,172,720.00</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pPr>
            <w:r>
              <w:rPr>
                <w:rFonts w:hint="eastAsia"/>
              </w:rPr>
              <w:t>资产支持证券投资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100,197,900.00</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pPr>
            <w:r>
              <w:rPr>
                <w:rFonts w:hint="eastAsia"/>
              </w:rPr>
              <w:t>贵金属投资</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衍生金融资产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买入返售金融资产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应收证券清算款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应收利息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30,478,633.60</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22,727,951.54</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应收股利</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2,094,575.34</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16,286.80 </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应收申购款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递延所得税资产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4B073D" w:rsidTr="00C127E2">
        <w:tc>
          <w:tcPr>
            <w:tcW w:w="2608" w:type="dxa"/>
            <w:tcBorders>
              <w:top w:val="single" w:sz="8" w:space="0" w:color="000000"/>
              <w:left w:val="single" w:sz="8" w:space="0" w:color="000000"/>
              <w:bottom w:val="single" w:sz="8" w:space="0" w:color="000000"/>
              <w:right w:val="single" w:sz="8" w:space="0" w:color="000000"/>
            </w:tcBorders>
            <w:vAlign w:val="center"/>
          </w:tcPr>
          <w:p w:rsidR="004B073D" w:rsidRDefault="004B073D">
            <w:pPr>
              <w:pStyle w:val="biaogeleft"/>
              <w:wordWrap w:val="0"/>
            </w:pPr>
            <w:r>
              <w:rPr>
                <w:rFonts w:hint="eastAsia"/>
              </w:rPr>
              <w:t>其他资产</w:t>
            </w:r>
          </w:p>
        </w:tc>
        <w:tc>
          <w:tcPr>
            <w:tcW w:w="2529" w:type="dxa"/>
            <w:tcBorders>
              <w:top w:val="single" w:sz="8" w:space="0" w:color="000000"/>
              <w:left w:val="single" w:sz="8" w:space="0" w:color="000000"/>
              <w:bottom w:val="single" w:sz="8" w:space="0" w:color="000000"/>
              <w:right w:val="single" w:sz="8" w:space="0" w:color="000000"/>
            </w:tcBorders>
            <w:vAlign w:val="center"/>
          </w:tcPr>
          <w:p w:rsidR="004B073D" w:rsidRDefault="004B073D">
            <w:pPr>
              <w:pStyle w:val="biaogeright"/>
              <w:wordWrap w:val="0"/>
            </w:pPr>
            <w:r>
              <w:rPr>
                <w:rFonts w:hint="eastAsia"/>
              </w:rPr>
              <w:t>680,053,576.07</w:t>
            </w:r>
          </w:p>
        </w:tc>
        <w:tc>
          <w:tcPr>
            <w:tcW w:w="2620" w:type="dxa"/>
            <w:tcBorders>
              <w:top w:val="single" w:sz="8" w:space="0" w:color="000000"/>
              <w:left w:val="single" w:sz="8" w:space="0" w:color="000000"/>
              <w:bottom w:val="single" w:sz="8" w:space="0" w:color="000000"/>
              <w:right w:val="single" w:sz="8" w:space="0" w:color="000000"/>
            </w:tcBorders>
            <w:vAlign w:val="center"/>
          </w:tcPr>
          <w:p w:rsidR="004B073D" w:rsidRDefault="004B073D" w:rsidP="000650AD">
            <w:pPr>
              <w:pStyle w:val="biaogeright"/>
              <w:wordWrap w:val="0"/>
            </w:pPr>
            <w:r>
              <w:rPr>
                <w:rFonts w:hint="eastAsia"/>
              </w:rPr>
              <w:t>600,000,000.00</w:t>
            </w:r>
          </w:p>
        </w:tc>
      </w:tr>
      <w:tr w:rsidR="004B073D" w:rsidTr="00C127E2">
        <w:tc>
          <w:tcPr>
            <w:tcW w:w="2608" w:type="dxa"/>
            <w:tcBorders>
              <w:top w:val="single" w:sz="8" w:space="0" w:color="000000"/>
              <w:left w:val="single" w:sz="8" w:space="0" w:color="000000"/>
              <w:bottom w:val="single" w:sz="8" w:space="0" w:color="000000"/>
              <w:right w:val="single" w:sz="8" w:space="0" w:color="000000"/>
            </w:tcBorders>
            <w:vAlign w:val="center"/>
          </w:tcPr>
          <w:p w:rsidR="004B073D" w:rsidRDefault="004B073D">
            <w:pPr>
              <w:pStyle w:val="biaogeleft"/>
              <w:wordWrap w:val="0"/>
            </w:pPr>
            <w:r>
              <w:rPr>
                <w:rFonts w:hint="eastAsia"/>
              </w:rPr>
              <w:t>资产总计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4B073D" w:rsidRDefault="004B073D">
            <w:pPr>
              <w:pStyle w:val="biaogeright"/>
              <w:wordWrap w:val="0"/>
            </w:pPr>
            <w:r>
              <w:rPr>
                <w:rFonts w:hint="eastAsia"/>
              </w:rPr>
              <w:t>2,028,762,462.84</w:t>
            </w:r>
          </w:p>
        </w:tc>
        <w:tc>
          <w:tcPr>
            <w:tcW w:w="2620" w:type="dxa"/>
            <w:tcBorders>
              <w:top w:val="single" w:sz="8" w:space="0" w:color="000000"/>
              <w:left w:val="single" w:sz="8" w:space="0" w:color="000000"/>
              <w:bottom w:val="single" w:sz="8" w:space="0" w:color="000000"/>
              <w:right w:val="single" w:sz="8" w:space="0" w:color="000000"/>
            </w:tcBorders>
            <w:vAlign w:val="center"/>
          </w:tcPr>
          <w:p w:rsidR="004B073D" w:rsidRDefault="004B073D" w:rsidP="000650AD">
            <w:pPr>
              <w:pStyle w:val="biaogeright"/>
              <w:wordWrap w:val="0"/>
            </w:pPr>
            <w:r>
              <w:rPr>
                <w:rFonts w:hint="eastAsia"/>
              </w:rPr>
              <w:t>2,003,245,108.34</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b/>
                <w:bCs/>
              </w:rPr>
              <w:t>负债和所有者权益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本期末 </w:t>
            </w:r>
          </w:p>
          <w:p w:rsidR="00AF2735" w:rsidRDefault="006221AE">
            <w:pPr>
              <w:pStyle w:val="biaogecenter"/>
              <w:wordWrap w:val="0"/>
            </w:pPr>
            <w:r>
              <w:rPr>
                <w:rFonts w:hint="eastAsia"/>
              </w:rPr>
              <w:t>2020年12月31日</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上年度末 </w:t>
            </w:r>
          </w:p>
          <w:p w:rsidR="00AF2735" w:rsidRDefault="006221AE">
            <w:pPr>
              <w:pStyle w:val="biaogecenter"/>
              <w:wordWrap w:val="0"/>
            </w:pPr>
            <w:r>
              <w:rPr>
                <w:rFonts w:hint="eastAsia"/>
              </w:rPr>
              <w:t>2019年12月31日</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b/>
                <w:bCs/>
              </w:rPr>
              <w:t>负 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 </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短期借款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交易性金融负债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衍生金融负债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卖出回购金融资产款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59,916,670.12</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应付证券清算款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应付赎回款</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应付管理人报酬</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17,828,144.19</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213,693.22</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应付托管费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413,682.35</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14,246.18</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应付销售服务费</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6,205,224.34</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213,693.22</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应付交易费用</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7,529.49</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应交税费</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1,895,373.43</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92,848.79</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应付利息</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74,474.82</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应付利润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递延所得税负债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lastRenderedPageBreak/>
              <w:t>其他负债</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负债合计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86,341,098.74</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534,481.41</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b/>
                <w:bCs/>
              </w:rPr>
              <w:t>所有者权益：</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 </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AF2735">
            <w:pPr>
              <w:rPr>
                <w:rFonts w:ascii="宋体" w:hAnsi="宋体" w:cs="宋体"/>
                <w:kern w:val="0"/>
                <w:sz w:val="24"/>
                <w:szCs w:val="24"/>
              </w:rPr>
            </w:pP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实收基金</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1,932,325,872.00</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1,999,949,000.00</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未分配利润</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10,095,492.10</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2,761,626.93</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所有者权益合计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1,942,421,364.10</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2,002,710,626.93</w:t>
            </w:r>
          </w:p>
        </w:tc>
      </w:tr>
      <w:tr w:rsidR="00AF2735">
        <w:tc>
          <w:tcPr>
            <w:tcW w:w="260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负债和所有者权益总计</w:t>
            </w:r>
          </w:p>
        </w:tc>
        <w:tc>
          <w:tcPr>
            <w:tcW w:w="252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2,028,762,462.84</w:t>
            </w:r>
          </w:p>
        </w:tc>
        <w:tc>
          <w:tcPr>
            <w:tcW w:w="2620"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2,003,245,108.34</w:t>
            </w:r>
          </w:p>
        </w:tc>
      </w:tr>
    </w:tbl>
    <w:p w:rsidR="00AF2735" w:rsidRDefault="00AF2735">
      <w:pPr>
        <w:widowControl/>
        <w:jc w:val="left"/>
        <w:rPr>
          <w:rFonts w:ascii="宋体" w:hAnsi="宋体" w:cs="宋体"/>
          <w:kern w:val="0"/>
          <w:sz w:val="24"/>
          <w:szCs w:val="24"/>
        </w:rPr>
      </w:pPr>
    </w:p>
    <w:p w:rsidR="00AF2735" w:rsidRDefault="006221AE">
      <w:pPr>
        <w:pStyle w:val="zhangjiep"/>
      </w:pPr>
      <w:bookmarkStart w:id="6" w:name="_Toc61427376"/>
      <w:r>
        <w:rPr>
          <w:rFonts w:hint="eastAsia"/>
          <w:b/>
          <w:bCs/>
        </w:rPr>
        <w:t>5.2 利润表</w:t>
      </w:r>
      <w:bookmarkEnd w:id="6"/>
    </w:p>
    <w:p w:rsidR="00AF2735" w:rsidRDefault="006221AE">
      <w:pPr>
        <w:pStyle w:val="biaogeleft"/>
      </w:pPr>
      <w:r>
        <w:rPr>
          <w:rFonts w:hint="eastAsia"/>
        </w:rPr>
        <w:t>会计主体：南京银行珠联璧合致远1912一年定开公募人民币理财产品</w:t>
      </w:r>
    </w:p>
    <w:p w:rsidR="00AF2735" w:rsidRDefault="006221AE">
      <w:pPr>
        <w:pStyle w:val="biaogeleft"/>
      </w:pPr>
      <w:r>
        <w:rPr>
          <w:rFonts w:hint="eastAsia"/>
        </w:rPr>
        <w:t>本报告期：2020年01月01日至2020年12月31日</w:t>
      </w:r>
    </w:p>
    <w:p w:rsidR="00AF2735" w:rsidRDefault="006221A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5137" w:type="dxa"/>
        <w:tblInd w:w="108" w:type="dxa"/>
        <w:tblLayout w:type="fixed"/>
        <w:tblLook w:val="04A0"/>
      </w:tblPr>
      <w:tblGrid>
        <w:gridCol w:w="2969"/>
        <w:gridCol w:w="2168"/>
      </w:tblGrid>
      <w:tr w:rsidR="00AF2735">
        <w:trPr>
          <w:trHeight w:val="374"/>
        </w:trPr>
        <w:tc>
          <w:tcPr>
            <w:tcW w:w="2969" w:type="dxa"/>
            <w:vMerge w:val="restart"/>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rFonts w:asciiTheme="minorEastAsia" w:eastAsiaTheme="minorEastAsia" w:hAnsiTheme="minorEastAsia"/>
              </w:rPr>
            </w:pPr>
            <w:r>
              <w:rPr>
                <w:rFonts w:asciiTheme="minorEastAsia" w:eastAsiaTheme="minorEastAsia" w:hAnsiTheme="minorEastAsia" w:hint="eastAsia"/>
                <w:b/>
                <w:bCs/>
              </w:rPr>
              <w:t>项 目</w:t>
            </w:r>
          </w:p>
        </w:tc>
        <w:tc>
          <w:tcPr>
            <w:tcW w:w="2168" w:type="dxa"/>
            <w:vMerge w:val="restart"/>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rFonts w:asciiTheme="minorEastAsia" w:eastAsiaTheme="minorEastAsia" w:hAnsiTheme="minorEastAsia"/>
              </w:rPr>
            </w:pPr>
            <w:r>
              <w:rPr>
                <w:rFonts w:asciiTheme="minorEastAsia" w:eastAsiaTheme="minorEastAsia" w:hAnsiTheme="minorEastAsia" w:hint="eastAsia"/>
              </w:rPr>
              <w:t>本期2020年01月01日 至2020年12月31日 </w:t>
            </w:r>
          </w:p>
        </w:tc>
      </w:tr>
      <w:tr w:rsidR="00AF2735">
        <w:trPr>
          <w:trHeight w:val="311"/>
        </w:trPr>
        <w:tc>
          <w:tcPr>
            <w:tcW w:w="2969" w:type="dxa"/>
            <w:vMerge/>
            <w:tcBorders>
              <w:top w:val="single" w:sz="8" w:space="0" w:color="000000"/>
              <w:left w:val="single" w:sz="8" w:space="0" w:color="000000"/>
              <w:bottom w:val="single" w:sz="8" w:space="0" w:color="000000"/>
              <w:right w:val="single" w:sz="8" w:space="0" w:color="000000"/>
            </w:tcBorders>
            <w:vAlign w:val="center"/>
          </w:tcPr>
          <w:p w:rsidR="00AF2735" w:rsidRDefault="00AF2735">
            <w:pPr>
              <w:widowControl/>
              <w:jc w:val="left"/>
              <w:rPr>
                <w:rFonts w:asciiTheme="minorEastAsia" w:eastAsiaTheme="minorEastAsia" w:hAnsiTheme="minorEastAsia" w:cs="宋体"/>
                <w:kern w:val="0"/>
                <w:sz w:val="24"/>
                <w:szCs w:val="24"/>
              </w:rPr>
            </w:pPr>
          </w:p>
        </w:tc>
        <w:tc>
          <w:tcPr>
            <w:tcW w:w="2168" w:type="dxa"/>
            <w:vMerge/>
            <w:tcBorders>
              <w:top w:val="single" w:sz="8" w:space="0" w:color="000000"/>
              <w:left w:val="single" w:sz="8" w:space="0" w:color="000000"/>
              <w:bottom w:val="single" w:sz="8" w:space="0" w:color="000000"/>
              <w:right w:val="single" w:sz="8" w:space="0" w:color="000000"/>
            </w:tcBorders>
            <w:vAlign w:val="center"/>
          </w:tcPr>
          <w:p w:rsidR="00AF2735" w:rsidRDefault="00AF2735">
            <w:pPr>
              <w:widowControl/>
              <w:jc w:val="left"/>
              <w:rPr>
                <w:rFonts w:asciiTheme="minorEastAsia" w:eastAsiaTheme="minorEastAsia" w:hAnsiTheme="minorEastAsia" w:cs="宋体"/>
                <w:kern w:val="0"/>
                <w:sz w:val="24"/>
                <w:szCs w:val="24"/>
              </w:rPr>
            </w:pP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一、收入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b/>
                <w:bCs/>
                <w:color w:val="000000"/>
              </w:rPr>
              <w:t>149,039,101.33</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73,287,742.38</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其中：存款利息收入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201,771.38</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71,460,465.23</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1,197,233.20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买入返售证券收入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428,272.57</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其他利息收入</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ascii="Arial" w:hAnsi="Arial" w:cs="Arial"/>
                <w:color w:val="000000"/>
              </w:rPr>
              <w:t xml:space="preserve">　</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2、投资收益（损失以“-”填列）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49,769,034.40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其中：股票投资收益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0.00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基金投资收益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18,626,029.22</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债券投资收益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-1,652,044.25</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资产支持证券投资收益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-230,000.00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持有至到期投资收益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34,403,825.13</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贵金属投资收益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 xml:space="preserve">　</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lastRenderedPageBreak/>
              <w:t>衍生工具收益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0.00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rPr>
                <w:rFonts w:asciiTheme="minorEastAsia" w:eastAsiaTheme="minorEastAsia" w:hAnsiTheme="minorEastAsia"/>
              </w:rPr>
            </w:pPr>
            <w:r>
              <w:rPr>
                <w:rFonts w:asciiTheme="minorEastAsia" w:eastAsiaTheme="minorEastAsia" w:hAnsiTheme="minorEastAsia" w:cs="Arial" w:hint="eastAsia"/>
                <w:color w:val="000000"/>
              </w:rPr>
              <w:t>股利收益</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125,964.43</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 xml:space="preserve">      投资收益增值税抵减</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-1,504,740.13</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3、公允价值变动收益（损失以“-”号填列）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24,963,465.58</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4、汇总收益（损失以“-”号填列）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 xml:space="preserve">　</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5、其他收入（损失以“-”号填列）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1,018,858.97</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减：二、费用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b/>
                <w:bCs/>
                <w:color w:val="000000"/>
              </w:rPr>
              <w:t>15,205,503.75</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1、管理人报酬</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5,991,531.12</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2、托管费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399,436.17</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3、销售服务费</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5,991,531.12</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4、交易费用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298,057.32</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5、利息支出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2,003,792.10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其中：卖出回购金融资产支出</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2,003,792.10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color w:val="000000"/>
              </w:rPr>
              <w:t>6、税金及附加</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494,855.92</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color w:val="000000"/>
              </w:rPr>
              <w:t>7、其他费用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color w:val="000000"/>
              </w:rPr>
              <w:t>26,300.00</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hint="eastAsia"/>
                <w:b/>
                <w:bCs/>
                <w:color w:val="000000"/>
              </w:rPr>
              <w:t>三、利润总和（损失以“-”号填列）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b/>
                <w:bCs/>
                <w:color w:val="000000"/>
              </w:rPr>
              <w:t>133,833,597.58</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rPr>
                <w:rFonts w:asciiTheme="minorEastAsia" w:eastAsiaTheme="minorEastAsia" w:hAnsiTheme="minorEastAsia"/>
              </w:rPr>
            </w:pPr>
            <w:r>
              <w:rPr>
                <w:rFonts w:asciiTheme="minorEastAsia" w:eastAsiaTheme="minorEastAsia" w:hAnsiTheme="minorEastAsia" w:cs="Arial"/>
                <w:color w:val="000000"/>
              </w:rPr>
              <w:t>减：所得税费用</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ascii="Arial" w:hAnsi="Arial" w:cs="Arial"/>
                <w:color w:val="000000"/>
              </w:rPr>
              <w:t xml:space="preserve">　</w:t>
            </w:r>
          </w:p>
        </w:tc>
      </w:tr>
      <w:tr w:rsidR="00AF2735">
        <w:tc>
          <w:tcPr>
            <w:tcW w:w="2969"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left"/>
              <w:rPr>
                <w:rFonts w:asciiTheme="minorEastAsia" w:eastAsiaTheme="minorEastAsia" w:hAnsiTheme="minorEastAsia" w:cs="Arial"/>
                <w:b/>
                <w:bCs/>
                <w:color w:val="000000"/>
                <w:kern w:val="0"/>
                <w:sz w:val="24"/>
                <w:szCs w:val="24"/>
              </w:rPr>
            </w:pPr>
            <w:r>
              <w:rPr>
                <w:rFonts w:asciiTheme="minorEastAsia" w:eastAsiaTheme="minorEastAsia" w:hAnsiTheme="minorEastAsia" w:cs="Arial" w:hint="eastAsia"/>
                <w:b/>
                <w:bCs/>
                <w:color w:val="000000"/>
                <w:sz w:val="24"/>
                <w:szCs w:val="24"/>
              </w:rPr>
              <w:t>四、净利润（损失以“-”号填列）</w:t>
            </w:r>
          </w:p>
        </w:tc>
        <w:tc>
          <w:tcPr>
            <w:tcW w:w="2168"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rPr>
                <w:rFonts w:asciiTheme="minorEastAsia" w:eastAsiaTheme="minorEastAsia" w:hAnsiTheme="minorEastAsia"/>
              </w:rPr>
            </w:pPr>
            <w:r>
              <w:rPr>
                <w:rFonts w:cs="Arial" w:hint="eastAsia"/>
                <w:b/>
                <w:bCs/>
                <w:color w:val="000000"/>
              </w:rPr>
              <w:t>133,833,597.58</w:t>
            </w:r>
          </w:p>
        </w:tc>
      </w:tr>
    </w:tbl>
    <w:p w:rsidR="00AF2735" w:rsidRDefault="00AF2735">
      <w:pPr>
        <w:widowControl/>
        <w:jc w:val="left"/>
        <w:rPr>
          <w:rFonts w:ascii="宋体" w:hAnsi="宋体" w:cs="宋体"/>
          <w:kern w:val="0"/>
          <w:sz w:val="24"/>
          <w:szCs w:val="24"/>
        </w:rPr>
      </w:pPr>
    </w:p>
    <w:p w:rsidR="00AF2735" w:rsidRDefault="006221AE">
      <w:pPr>
        <w:pStyle w:val="zhangjiep"/>
      </w:pPr>
      <w:bookmarkStart w:id="7" w:name="_Toc61427377"/>
      <w:r>
        <w:rPr>
          <w:rFonts w:hint="eastAsia"/>
          <w:b/>
          <w:bCs/>
        </w:rPr>
        <w:t>5.3 所有者权益（基金净值）变动表</w:t>
      </w:r>
      <w:bookmarkEnd w:id="7"/>
    </w:p>
    <w:p w:rsidR="00AF2735" w:rsidRDefault="006221AE">
      <w:pPr>
        <w:pStyle w:val="biaogeleft"/>
      </w:pPr>
      <w:r>
        <w:rPr>
          <w:rFonts w:hint="eastAsia"/>
        </w:rPr>
        <w:t>会计主体：南京银行珠联璧合致远1912一年定开公募人民币理财产品</w:t>
      </w:r>
    </w:p>
    <w:p w:rsidR="00AF2735" w:rsidRDefault="006221AE">
      <w:pPr>
        <w:pStyle w:val="biaogeleft"/>
      </w:pPr>
      <w:r>
        <w:rPr>
          <w:rFonts w:hint="eastAsia"/>
        </w:rPr>
        <w:t>本报告期：2020年01月01日至2020年12月31日</w:t>
      </w:r>
    </w:p>
    <w:p w:rsidR="00AF2735" w:rsidRDefault="006221AE">
      <w:pPr>
        <w:widowControl/>
        <w:autoSpaceDE w:val="0"/>
        <w:autoSpaceDN w:val="0"/>
        <w:adjustRightInd w:val="0"/>
        <w:spacing w:line="288" w:lineRule="auto"/>
        <w:jc w:val="right"/>
        <w:rPr>
          <w:rFonts w:ascii="宋体" w:hAnsi="宋体" w:cs="宋体"/>
          <w:kern w:val="0"/>
          <w:sz w:val="24"/>
          <w:szCs w:val="24"/>
        </w:rPr>
      </w:pPr>
      <w:r>
        <w:rPr>
          <w:rFonts w:ascii="宋体" w:cs="宋体" w:hint="eastAsia"/>
          <w:color w:val="000000"/>
          <w:kern w:val="0"/>
          <w:sz w:val="24"/>
          <w:szCs w:val="24"/>
        </w:rPr>
        <w:t>单位：人民币元</w:t>
      </w:r>
    </w:p>
    <w:tbl>
      <w:tblPr>
        <w:tblW w:w="9198" w:type="dxa"/>
        <w:tblInd w:w="108" w:type="dxa"/>
        <w:tblLayout w:type="fixed"/>
        <w:tblLook w:val="04A0"/>
      </w:tblPr>
      <w:tblGrid>
        <w:gridCol w:w="2116"/>
        <w:gridCol w:w="2299"/>
        <w:gridCol w:w="2299"/>
        <w:gridCol w:w="2484"/>
      </w:tblGrid>
      <w:tr w:rsidR="00AF273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b/>
                <w:bCs/>
              </w:rPr>
              <w:t>项 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本期 </w:t>
            </w:r>
          </w:p>
          <w:p w:rsidR="00AF2735" w:rsidRDefault="006221AE">
            <w:pPr>
              <w:pStyle w:val="biaogecenter"/>
              <w:wordWrap w:val="0"/>
            </w:pPr>
            <w:r>
              <w:rPr>
                <w:rFonts w:hint="eastAsia"/>
              </w:rPr>
              <w:t>2020年01月01日至2020年12月31日</w:t>
            </w:r>
          </w:p>
        </w:tc>
      </w:tr>
      <w:tr w:rsidR="00AF2735">
        <w:tc>
          <w:tcPr>
            <w:tcW w:w="2116" w:type="dxa"/>
            <w:vMerge/>
            <w:tcBorders>
              <w:top w:val="single" w:sz="8" w:space="0" w:color="000000"/>
              <w:left w:val="single" w:sz="8" w:space="0" w:color="000000"/>
              <w:bottom w:val="single" w:sz="8" w:space="0" w:color="000000"/>
              <w:right w:val="single" w:sz="8" w:space="0" w:color="000000"/>
            </w:tcBorders>
            <w:vAlign w:val="center"/>
          </w:tcPr>
          <w:p w:rsidR="00AF2735" w:rsidRDefault="00AF273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所有者权益合计 </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1,999,949,000.00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2,761,626.93</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2,002,710,626.93</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lastRenderedPageBreak/>
              <w:t>二、本期经营活动产生的基金净值变动数(本期利润)</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133,833,597.58</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133,833,597.58</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三、本期基金份额交易产生的基金净值变动数（净值减少以“-”号填列）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-67,623,128.00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-67,623,128.00</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650,073,000.00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650,073,000.00</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pPr>
            <w:r>
              <w:rPr>
                <w:rFonts w:hint="eastAsia"/>
              </w:rPr>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-717,696,128.00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-717,696,128.00</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四、本期向基金份额持有人分配利润产生的基金净值变动（净值减少以“-”号填列）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-126,499,732.41</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-126,499,732.41</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1,932,325,872.00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10,095,492.10</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1,942,421,364.10</w:t>
            </w:r>
          </w:p>
        </w:tc>
      </w:tr>
      <w:tr w:rsidR="00AF2735">
        <w:tc>
          <w:tcPr>
            <w:tcW w:w="2116" w:type="dxa"/>
            <w:vMerge w:val="restart"/>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b/>
                <w:bCs/>
              </w:rPr>
              <w:t>项 目</w:t>
            </w:r>
          </w:p>
        </w:tc>
        <w:tc>
          <w:tcPr>
            <w:tcW w:w="7082" w:type="dxa"/>
            <w:gridSpan w:val="3"/>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上年度可比期间 </w:t>
            </w:r>
          </w:p>
          <w:p w:rsidR="00AF2735" w:rsidRDefault="006221AE">
            <w:pPr>
              <w:pStyle w:val="biaogecenter"/>
              <w:wordWrap w:val="0"/>
            </w:pPr>
            <w:r>
              <w:rPr>
                <w:rFonts w:hint="eastAsia"/>
              </w:rPr>
              <w:t>2019年12月19日（基金合同生效日）至2019年12月31日 </w:t>
            </w:r>
          </w:p>
        </w:tc>
      </w:tr>
      <w:tr w:rsidR="00AF2735">
        <w:tc>
          <w:tcPr>
            <w:tcW w:w="2116" w:type="dxa"/>
            <w:vMerge/>
            <w:tcBorders>
              <w:top w:val="single" w:sz="8" w:space="0" w:color="000000"/>
              <w:left w:val="single" w:sz="8" w:space="0" w:color="000000"/>
              <w:bottom w:val="single" w:sz="8" w:space="0" w:color="000000"/>
              <w:right w:val="single" w:sz="8" w:space="0" w:color="000000"/>
            </w:tcBorders>
            <w:vAlign w:val="center"/>
          </w:tcPr>
          <w:p w:rsidR="00AF2735" w:rsidRDefault="00AF2735">
            <w:pPr>
              <w:widowControl/>
              <w:jc w:val="left"/>
              <w:rPr>
                <w:rFonts w:ascii="宋体" w:hAnsi="宋体" w:cs="宋体"/>
                <w:kern w:val="0"/>
                <w:sz w:val="24"/>
                <w:szCs w:val="24"/>
              </w:rPr>
            </w:pP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实收基金 </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未分配利润 </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所有者权益合计 </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一、期初所有者权益(基金净值)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1,999,949,000.00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1,999,949,000.00</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二、本期经营活动产生的基金净值变动数(本期利润)</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2,761,626.93</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2,761,626.93</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三、本期基金份额交易产生的基金净值变动数（净值减少以“-”号填列）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其中：1.基金申购款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ind w:left="750"/>
            </w:pPr>
            <w:r>
              <w:rPr>
                <w:rFonts w:hint="eastAsia"/>
              </w:rPr>
              <w:lastRenderedPageBreak/>
              <w:t>2.基金赎回款</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四、本期向基金份额持有人分配利润产生的基金净值变动（净值减少以“-”号填列）</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w:t>
            </w:r>
          </w:p>
        </w:tc>
      </w:tr>
      <w:tr w:rsidR="00AF2735">
        <w:tc>
          <w:tcPr>
            <w:tcW w:w="211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left"/>
              <w:wordWrap w:val="0"/>
            </w:pPr>
            <w:r>
              <w:rPr>
                <w:rFonts w:hint="eastAsia"/>
              </w:rPr>
              <w:t>五、期末所有者权益（基金净值）</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1,999,949,000.00</w:t>
            </w:r>
          </w:p>
        </w:tc>
        <w:tc>
          <w:tcPr>
            <w:tcW w:w="229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2,761,626.93</w:t>
            </w:r>
          </w:p>
        </w:tc>
        <w:tc>
          <w:tcPr>
            <w:tcW w:w="2484"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right"/>
              <w:wordWrap w:val="0"/>
            </w:pPr>
            <w:r>
              <w:rPr>
                <w:rFonts w:hint="eastAsia"/>
              </w:rPr>
              <w:t>2,002,710,626.93</w:t>
            </w:r>
          </w:p>
        </w:tc>
      </w:tr>
    </w:tbl>
    <w:p w:rsidR="00AF2735" w:rsidRDefault="00AF2735">
      <w:pPr>
        <w:widowControl/>
        <w:autoSpaceDE w:val="0"/>
        <w:autoSpaceDN w:val="0"/>
        <w:adjustRightInd w:val="0"/>
        <w:spacing w:line="288" w:lineRule="auto"/>
        <w:jc w:val="right"/>
        <w:rPr>
          <w:rFonts w:ascii="宋体" w:hAnsi="宋体" w:cs="宋体"/>
          <w:kern w:val="0"/>
          <w:sz w:val="24"/>
          <w:szCs w:val="24"/>
        </w:rPr>
      </w:pPr>
    </w:p>
    <w:p w:rsidR="00AF2735" w:rsidRDefault="00AF2735">
      <w:pPr>
        <w:pStyle w:val="biaogeleft"/>
        <w:spacing w:line="360" w:lineRule="auto"/>
        <w:ind w:firstLine="480"/>
        <w:rPr>
          <w:color w:val="000000"/>
        </w:rPr>
      </w:pPr>
    </w:p>
    <w:p w:rsidR="00AF2735" w:rsidRDefault="006221AE">
      <w:pPr>
        <w:pStyle w:val="dazhangjie"/>
        <w:rPr>
          <w:color w:val="000000"/>
        </w:rPr>
      </w:pPr>
      <w:r>
        <w:rPr>
          <w:rFonts w:hAnsi="Calibri" w:hint="eastAsia"/>
          <w:b/>
          <w:color w:val="000000"/>
        </w:rPr>
        <w:t>§6  投资组合报告</w:t>
      </w:r>
    </w:p>
    <w:p w:rsidR="00AF2735" w:rsidRDefault="00AF2735">
      <w:pPr>
        <w:widowControl/>
        <w:jc w:val="left"/>
        <w:rPr>
          <w:rFonts w:ascii="宋体" w:hAnsi="宋体" w:cs="宋体"/>
          <w:color w:val="000000"/>
          <w:kern w:val="0"/>
          <w:sz w:val="24"/>
          <w:szCs w:val="24"/>
        </w:rPr>
      </w:pPr>
    </w:p>
    <w:p w:rsidR="00AF2735" w:rsidRDefault="006221AE">
      <w:pPr>
        <w:pStyle w:val="zhangjiep"/>
        <w:rPr>
          <w:color w:val="000000"/>
        </w:rPr>
      </w:pPr>
      <w:r>
        <w:rPr>
          <w:rFonts w:hint="eastAsia"/>
          <w:b/>
          <w:bCs/>
          <w:color w:val="000000"/>
        </w:rPr>
        <w:t>6.1 报告期末产品资产组合情况</w:t>
      </w:r>
    </w:p>
    <w:tbl>
      <w:tblPr>
        <w:tblW w:w="8931" w:type="dxa"/>
        <w:tblInd w:w="108" w:type="dxa"/>
        <w:tblLayout w:type="fixed"/>
        <w:tblLook w:val="04A0"/>
      </w:tblPr>
      <w:tblGrid>
        <w:gridCol w:w="891"/>
        <w:gridCol w:w="3314"/>
        <w:gridCol w:w="2331"/>
        <w:gridCol w:w="2395"/>
      </w:tblGrid>
      <w:tr w:rsidR="00AF2735">
        <w:tc>
          <w:tcPr>
            <w:tcW w:w="891" w:type="dxa"/>
            <w:tcBorders>
              <w:top w:val="single" w:sz="8" w:space="0" w:color="000000"/>
              <w:left w:val="single" w:sz="8" w:space="0" w:color="000000"/>
              <w:bottom w:val="single" w:sz="6" w:space="0" w:color="000000"/>
              <w:right w:val="single" w:sz="8" w:space="0" w:color="000000"/>
            </w:tcBorders>
            <w:vAlign w:val="bottom"/>
          </w:tcPr>
          <w:p w:rsidR="00AF2735" w:rsidRDefault="006221AE">
            <w:pPr>
              <w:widowControl/>
              <w:jc w:val="center"/>
              <w:textAlignment w:val="bottom"/>
              <w:rPr>
                <w:color w:val="000000"/>
              </w:rPr>
            </w:pPr>
            <w:r>
              <w:rPr>
                <w:rFonts w:ascii="宋体" w:hAnsi="宋体" w:cs="宋体" w:hint="eastAsia"/>
                <w:color w:val="000000"/>
                <w:kern w:val="0"/>
                <w:sz w:val="24"/>
                <w:szCs w:val="24"/>
              </w:rPr>
              <w:t>序号</w:t>
            </w:r>
          </w:p>
        </w:tc>
        <w:tc>
          <w:tcPr>
            <w:tcW w:w="3314" w:type="dxa"/>
            <w:tcBorders>
              <w:top w:val="single" w:sz="8" w:space="0" w:color="000000"/>
              <w:left w:val="single" w:sz="8" w:space="0" w:color="000000"/>
              <w:bottom w:val="single" w:sz="6" w:space="0" w:color="000000"/>
              <w:right w:val="single" w:sz="8" w:space="0" w:color="000000"/>
            </w:tcBorders>
            <w:vAlign w:val="bottom"/>
          </w:tcPr>
          <w:p w:rsidR="00AF2735" w:rsidRDefault="006221AE">
            <w:pPr>
              <w:widowControl/>
              <w:jc w:val="center"/>
              <w:textAlignment w:val="bottom"/>
              <w:rPr>
                <w:color w:val="000000"/>
              </w:rPr>
            </w:pPr>
            <w:r>
              <w:rPr>
                <w:rFonts w:ascii="宋体" w:hAnsi="宋体" w:cs="宋体" w:hint="eastAsia"/>
                <w:color w:val="000000"/>
                <w:kern w:val="0"/>
                <w:sz w:val="24"/>
                <w:szCs w:val="24"/>
              </w:rPr>
              <w:t>项目</w:t>
            </w:r>
          </w:p>
        </w:tc>
        <w:tc>
          <w:tcPr>
            <w:tcW w:w="2331" w:type="dxa"/>
            <w:tcBorders>
              <w:top w:val="single" w:sz="8" w:space="0" w:color="000000"/>
              <w:left w:val="single" w:sz="8" w:space="0" w:color="000000"/>
              <w:bottom w:val="single" w:sz="6" w:space="0" w:color="000000"/>
              <w:right w:val="single" w:sz="8" w:space="0" w:color="000000"/>
            </w:tcBorders>
            <w:vAlign w:val="bottom"/>
          </w:tcPr>
          <w:p w:rsidR="00AF2735" w:rsidRDefault="006221AE">
            <w:pPr>
              <w:widowControl/>
              <w:jc w:val="center"/>
              <w:textAlignment w:val="bottom"/>
              <w:rPr>
                <w:color w:val="000000"/>
              </w:rPr>
            </w:pPr>
            <w:r>
              <w:rPr>
                <w:rFonts w:ascii="宋体" w:hAnsi="宋体" w:cs="宋体" w:hint="eastAsia"/>
                <w:color w:val="000000"/>
                <w:kern w:val="0"/>
                <w:sz w:val="24"/>
                <w:szCs w:val="24"/>
              </w:rPr>
              <w:t>金额(元)</w:t>
            </w:r>
          </w:p>
        </w:tc>
        <w:tc>
          <w:tcPr>
            <w:tcW w:w="2395" w:type="dxa"/>
            <w:tcBorders>
              <w:top w:val="single" w:sz="8" w:space="0" w:color="000000"/>
              <w:left w:val="single" w:sz="8" w:space="0" w:color="000000"/>
              <w:bottom w:val="single" w:sz="6" w:space="0" w:color="000000"/>
              <w:right w:val="single" w:sz="8" w:space="0" w:color="000000"/>
            </w:tcBorders>
            <w:vAlign w:val="bottom"/>
          </w:tcPr>
          <w:p w:rsidR="00AF2735" w:rsidRDefault="006221AE">
            <w:pPr>
              <w:widowControl/>
              <w:jc w:val="center"/>
              <w:textAlignment w:val="bottom"/>
              <w:rPr>
                <w:color w:val="000000"/>
              </w:rPr>
            </w:pPr>
            <w:r>
              <w:rPr>
                <w:rFonts w:ascii="宋体" w:hAnsi="宋体" w:cs="宋体" w:hint="eastAsia"/>
                <w:color w:val="000000"/>
                <w:kern w:val="0"/>
                <w:sz w:val="24"/>
                <w:szCs w:val="24"/>
              </w:rPr>
              <w:t>占产品总资产的比例（%）</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股票</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2</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基金投资</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115,693,218.37</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5.70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3</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债券</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1,199,188,740.00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59.11</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4</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资产支持证券</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5</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非标准化债权类资产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600,000,000.00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29.57</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6</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color w:val="000000"/>
                <w:kern w:val="0"/>
                <w:sz w:val="24"/>
                <w:szCs w:val="24"/>
              </w:rPr>
              <w:t>资产管理计划</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80,053,576.07</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3.95</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7</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8</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其中：买断式回购的买入返售金融资产</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9</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银行存款和结算备付金合计</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1,253,719.46</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0.06</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10</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存出保证金</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11</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应收利息</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30,478,633.60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1.50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12</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应收股利</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2,094,575.34</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0.11</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13</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应收申购款</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14</w:t>
            </w:r>
          </w:p>
        </w:tc>
        <w:tc>
          <w:tcPr>
            <w:tcW w:w="3314"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应收证券清算款</w:t>
            </w:r>
          </w:p>
        </w:tc>
        <w:tc>
          <w:tcPr>
            <w:tcW w:w="2331"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6"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15</w:t>
            </w:r>
          </w:p>
        </w:tc>
        <w:tc>
          <w:tcPr>
            <w:tcW w:w="3314"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其他</w:t>
            </w:r>
          </w:p>
        </w:tc>
        <w:tc>
          <w:tcPr>
            <w:tcW w:w="2331"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c>
          <w:tcPr>
            <w:tcW w:w="2395"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0.00</w:t>
            </w:r>
          </w:p>
        </w:tc>
      </w:tr>
      <w:tr w:rsidR="00AF2735">
        <w:tc>
          <w:tcPr>
            <w:tcW w:w="891"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center"/>
              <w:textAlignment w:val="bottom"/>
              <w:rPr>
                <w:rFonts w:ascii="宋体" w:hAnsi="宋体" w:cs="宋体"/>
                <w:color w:val="000000"/>
                <w:kern w:val="0"/>
                <w:sz w:val="24"/>
                <w:szCs w:val="24"/>
              </w:rPr>
            </w:pPr>
            <w:r>
              <w:rPr>
                <w:rFonts w:ascii="宋体" w:hAnsi="宋体" w:cs="宋体"/>
                <w:color w:val="000000"/>
                <w:kern w:val="0"/>
                <w:sz w:val="24"/>
                <w:szCs w:val="24"/>
              </w:rPr>
              <w:t>16</w:t>
            </w:r>
          </w:p>
        </w:tc>
        <w:tc>
          <w:tcPr>
            <w:tcW w:w="3314"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left"/>
              <w:textAlignment w:val="bottom"/>
              <w:rPr>
                <w:rFonts w:ascii="宋体" w:hAnsi="宋体" w:cs="宋体"/>
                <w:color w:val="000000"/>
                <w:kern w:val="0"/>
                <w:sz w:val="24"/>
                <w:szCs w:val="24"/>
              </w:rPr>
            </w:pPr>
            <w:r>
              <w:rPr>
                <w:rFonts w:ascii="宋体" w:hAnsi="宋体" w:cs="宋体" w:hint="eastAsia"/>
                <w:color w:val="000000"/>
                <w:kern w:val="0"/>
                <w:sz w:val="24"/>
                <w:szCs w:val="24"/>
              </w:rPr>
              <w:t>合计</w:t>
            </w:r>
          </w:p>
        </w:tc>
        <w:tc>
          <w:tcPr>
            <w:tcW w:w="2331"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2,028,762,462.84</w:t>
            </w:r>
          </w:p>
        </w:tc>
        <w:tc>
          <w:tcPr>
            <w:tcW w:w="2395" w:type="dxa"/>
            <w:tcBorders>
              <w:top w:val="single" w:sz="8" w:space="0" w:color="000000"/>
              <w:left w:val="single" w:sz="8" w:space="0" w:color="000000"/>
              <w:bottom w:val="single" w:sz="8" w:space="0" w:color="000000"/>
              <w:right w:val="single" w:sz="8" w:space="0" w:color="000000"/>
            </w:tcBorders>
            <w:vAlign w:val="center"/>
          </w:tcPr>
          <w:p w:rsidR="00AF2735" w:rsidRDefault="006221AE">
            <w:pPr>
              <w:widowControl/>
              <w:jc w:val="right"/>
              <w:textAlignment w:val="bottom"/>
              <w:rPr>
                <w:rFonts w:ascii="宋体" w:hAnsi="宋体" w:cs="宋体"/>
                <w:color w:val="000000"/>
                <w:kern w:val="0"/>
                <w:sz w:val="24"/>
                <w:szCs w:val="24"/>
              </w:rPr>
            </w:pPr>
            <w:r>
              <w:rPr>
                <w:rFonts w:ascii="宋体" w:hAnsi="宋体" w:cs="宋体" w:hint="eastAsia"/>
                <w:color w:val="000000"/>
                <w:kern w:val="0"/>
                <w:sz w:val="24"/>
                <w:szCs w:val="24"/>
              </w:rPr>
              <w:t>100.00</w:t>
            </w:r>
          </w:p>
        </w:tc>
      </w:tr>
    </w:tbl>
    <w:p w:rsidR="00AF2735" w:rsidRDefault="00AF2735">
      <w:pPr>
        <w:widowControl/>
        <w:jc w:val="left"/>
        <w:rPr>
          <w:rFonts w:ascii="宋体" w:hAnsi="宋体" w:cs="宋体"/>
          <w:color w:val="000000"/>
          <w:kern w:val="0"/>
          <w:sz w:val="24"/>
          <w:szCs w:val="24"/>
        </w:rPr>
      </w:pPr>
    </w:p>
    <w:p w:rsidR="00AF2735" w:rsidRDefault="006221AE">
      <w:pPr>
        <w:pStyle w:val="zhangjiep"/>
        <w:rPr>
          <w:b/>
          <w:bCs/>
          <w:color w:val="000000"/>
        </w:rPr>
      </w:pPr>
      <w:r>
        <w:rPr>
          <w:rFonts w:hint="eastAsia"/>
          <w:b/>
          <w:bCs/>
          <w:color w:val="000000"/>
        </w:rPr>
        <w:t>6.2 报告期末按公允价值资产净值比例大小排序的前十名资产投资明细</w:t>
      </w:r>
    </w:p>
    <w:tbl>
      <w:tblPr>
        <w:tblW w:w="8800" w:type="dxa"/>
        <w:tblInd w:w="93" w:type="dxa"/>
        <w:tblLayout w:type="fixed"/>
        <w:tblLook w:val="04A0"/>
      </w:tblPr>
      <w:tblGrid>
        <w:gridCol w:w="582"/>
        <w:gridCol w:w="1728"/>
        <w:gridCol w:w="2690"/>
        <w:gridCol w:w="2035"/>
        <w:gridCol w:w="1765"/>
      </w:tblGrid>
      <w:tr w:rsidR="00AF2735">
        <w:trPr>
          <w:trHeight w:val="870"/>
        </w:trPr>
        <w:tc>
          <w:tcPr>
            <w:tcW w:w="582"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rPr>
                <w:color w:val="000000"/>
              </w:rPr>
            </w:pPr>
            <w:r>
              <w:rPr>
                <w:rFonts w:hint="eastAsia"/>
                <w:color w:val="000000"/>
              </w:rPr>
              <w:t>序号</w:t>
            </w:r>
          </w:p>
        </w:tc>
        <w:tc>
          <w:tcPr>
            <w:tcW w:w="1728" w:type="dxa"/>
            <w:tcBorders>
              <w:top w:val="single" w:sz="8" w:space="0" w:color="000000"/>
              <w:left w:val="nil"/>
              <w:bottom w:val="single" w:sz="8" w:space="0" w:color="000000"/>
              <w:right w:val="single" w:sz="8" w:space="0" w:color="000000"/>
            </w:tcBorders>
            <w:vAlign w:val="center"/>
          </w:tcPr>
          <w:p w:rsidR="00AF2735" w:rsidRDefault="006221AE">
            <w:pPr>
              <w:pStyle w:val="biaogecenter"/>
              <w:wordWrap w:val="0"/>
              <w:rPr>
                <w:color w:val="000000"/>
              </w:rPr>
            </w:pPr>
            <w:r>
              <w:rPr>
                <w:rFonts w:hint="eastAsia"/>
                <w:color w:val="000000"/>
              </w:rPr>
              <w:t>代码</w:t>
            </w:r>
          </w:p>
        </w:tc>
        <w:tc>
          <w:tcPr>
            <w:tcW w:w="2690" w:type="dxa"/>
            <w:tcBorders>
              <w:top w:val="single" w:sz="8" w:space="0" w:color="000000"/>
              <w:left w:val="nil"/>
              <w:bottom w:val="single" w:sz="8" w:space="0" w:color="000000"/>
              <w:right w:val="single" w:sz="8" w:space="0" w:color="000000"/>
            </w:tcBorders>
            <w:vAlign w:val="center"/>
          </w:tcPr>
          <w:p w:rsidR="00AF2735" w:rsidRDefault="006221AE">
            <w:pPr>
              <w:pStyle w:val="biaogecenter"/>
              <w:wordWrap w:val="0"/>
              <w:rPr>
                <w:color w:val="000000"/>
              </w:rPr>
            </w:pPr>
            <w:r>
              <w:rPr>
                <w:rFonts w:hint="eastAsia"/>
                <w:color w:val="000000"/>
              </w:rPr>
              <w:t>名称</w:t>
            </w:r>
          </w:p>
        </w:tc>
        <w:tc>
          <w:tcPr>
            <w:tcW w:w="2035" w:type="dxa"/>
            <w:tcBorders>
              <w:top w:val="single" w:sz="8" w:space="0" w:color="000000"/>
              <w:left w:val="nil"/>
              <w:bottom w:val="single" w:sz="8" w:space="0" w:color="000000"/>
              <w:right w:val="single" w:sz="8" w:space="0" w:color="000000"/>
            </w:tcBorders>
            <w:vAlign w:val="center"/>
          </w:tcPr>
          <w:p w:rsidR="00AF2735" w:rsidRDefault="006221AE">
            <w:pPr>
              <w:pStyle w:val="biaogecenter"/>
              <w:wordWrap w:val="0"/>
              <w:rPr>
                <w:color w:val="000000"/>
              </w:rPr>
            </w:pPr>
            <w:r>
              <w:rPr>
                <w:rFonts w:hint="eastAsia"/>
                <w:color w:val="000000"/>
              </w:rPr>
              <w:t>公允价值(元)</w:t>
            </w:r>
          </w:p>
        </w:tc>
        <w:tc>
          <w:tcPr>
            <w:tcW w:w="1765" w:type="dxa"/>
            <w:tcBorders>
              <w:top w:val="single" w:sz="8" w:space="0" w:color="000000"/>
              <w:left w:val="nil"/>
              <w:bottom w:val="single" w:sz="8" w:space="0" w:color="000000"/>
              <w:right w:val="single" w:sz="8" w:space="0" w:color="000000"/>
            </w:tcBorders>
            <w:vAlign w:val="center"/>
          </w:tcPr>
          <w:p w:rsidR="00AF2735" w:rsidRDefault="006221AE">
            <w:pPr>
              <w:pStyle w:val="biaogecenter"/>
              <w:wordWrap w:val="0"/>
              <w:rPr>
                <w:color w:val="000000"/>
              </w:rPr>
            </w:pPr>
            <w:r>
              <w:rPr>
                <w:rFonts w:hint="eastAsia"/>
                <w:color w:val="000000"/>
              </w:rPr>
              <w:t>占产品资产净值比例（％）</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pPr>
            <w:r>
              <w:rPr>
                <w:rFonts w:hint="eastAsia"/>
                <w:color w:val="000000"/>
              </w:rPr>
              <w:t>1</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20088216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20徐州高新01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220,000,000.00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11.33%</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pPr>
            <w:r>
              <w:rPr>
                <w:rFonts w:hint="eastAsia"/>
                <w:color w:val="000000"/>
              </w:rPr>
              <w:t>2</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20088241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20新沂城投01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200,000,000.00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10.30%</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pPr>
            <w:r>
              <w:rPr>
                <w:rFonts w:hint="eastAsia"/>
                <w:color w:val="000000"/>
              </w:rPr>
              <w:lastRenderedPageBreak/>
              <w:t>3</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20088239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20盐都国投01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180,000,000.00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9.27%</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pPr>
            <w:r>
              <w:rPr>
                <w:rFonts w:hint="eastAsia"/>
                <w:color w:val="000000"/>
              </w:rPr>
              <w:t>4</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101800310</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18桐乡城投MTN001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80,491,200.00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4.14%</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pPr>
            <w:r>
              <w:rPr>
                <w:rFonts w:hint="eastAsia"/>
                <w:color w:val="000000"/>
              </w:rPr>
              <w:t>5</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150876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18科投02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52,266,600.00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2.69%</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rPr>
                <w:color w:val="000000"/>
              </w:rPr>
            </w:pPr>
            <w:r>
              <w:rPr>
                <w:rFonts w:hint="eastAsia"/>
                <w:color w:val="000000"/>
              </w:rPr>
              <w:t>6</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162491</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19运和02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50,643,500.00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2.61%</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rPr>
                <w:color w:val="000000"/>
              </w:rPr>
            </w:pPr>
            <w:r>
              <w:rPr>
                <w:rFonts w:hint="eastAsia"/>
                <w:color w:val="000000"/>
              </w:rPr>
              <w:t>7</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162809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19新沂债</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50,610,800.00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2.61%</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rPr>
                <w:color w:val="000000"/>
              </w:rPr>
            </w:pPr>
            <w:r>
              <w:rPr>
                <w:rFonts w:hint="eastAsia"/>
                <w:color w:val="000000"/>
              </w:rPr>
              <w:t>8</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162456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19天宁02</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50,333,350.00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2.59%</w:t>
            </w:r>
          </w:p>
        </w:tc>
      </w:tr>
      <w:tr w:rsidR="00AF2735">
        <w:trPr>
          <w:trHeight w:val="355"/>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rPr>
                <w:color w:val="000000"/>
              </w:rPr>
            </w:pPr>
            <w:r>
              <w:rPr>
                <w:rFonts w:hint="eastAsia"/>
                <w:color w:val="000000"/>
              </w:rPr>
              <w:t>9</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114586</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19扬化01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50,275,350.00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2.59%</w:t>
            </w:r>
          </w:p>
        </w:tc>
      </w:tr>
      <w:tr w:rsidR="00AF2735">
        <w:trPr>
          <w:trHeight w:val="300"/>
        </w:trPr>
        <w:tc>
          <w:tcPr>
            <w:tcW w:w="582" w:type="dxa"/>
            <w:tcBorders>
              <w:top w:val="single" w:sz="8" w:space="0" w:color="000000"/>
              <w:left w:val="single" w:sz="8" w:space="0" w:color="000000"/>
              <w:bottom w:val="single" w:sz="8" w:space="0" w:color="000000"/>
              <w:right w:val="single" w:sz="8" w:space="0" w:color="000000"/>
            </w:tcBorders>
            <w:shd w:val="clear" w:color="auto" w:fill="auto"/>
            <w:vAlign w:val="center"/>
          </w:tcPr>
          <w:p w:rsidR="00AF2735" w:rsidRDefault="006221AE">
            <w:pPr>
              <w:pStyle w:val="biaogecenter"/>
              <w:wordWrap w:val="0"/>
              <w:rPr>
                <w:color w:val="000000"/>
              </w:rPr>
            </w:pPr>
            <w:r>
              <w:rPr>
                <w:rFonts w:hint="eastAsia"/>
                <w:color w:val="000000"/>
              </w:rPr>
              <w:t>10</w:t>
            </w:r>
          </w:p>
        </w:tc>
        <w:tc>
          <w:tcPr>
            <w:tcW w:w="1728" w:type="dxa"/>
            <w:tcBorders>
              <w:top w:val="single" w:sz="8" w:space="0" w:color="000000"/>
              <w:left w:val="nil"/>
              <w:bottom w:val="single" w:sz="8" w:space="0" w:color="000000"/>
              <w:right w:val="single" w:sz="8" w:space="0" w:color="000000"/>
            </w:tcBorders>
            <w:shd w:val="clear" w:color="auto" w:fill="auto"/>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032000009</w:t>
            </w:r>
          </w:p>
        </w:tc>
        <w:tc>
          <w:tcPr>
            <w:tcW w:w="2690"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rPr>
                <w:rFonts w:ascii="宋体" w:hAnsi="宋体" w:cs="宋体"/>
                <w:color w:val="000000"/>
                <w:kern w:val="0"/>
                <w:sz w:val="24"/>
                <w:szCs w:val="24"/>
              </w:rPr>
            </w:pPr>
            <w:r>
              <w:rPr>
                <w:rFonts w:ascii="宋体" w:hAnsi="宋体" w:cs="宋体" w:hint="eastAsia"/>
                <w:color w:val="000000"/>
                <w:kern w:val="0"/>
                <w:sz w:val="24"/>
                <w:szCs w:val="24"/>
              </w:rPr>
              <w:t>20徐州经开PPN001</w:t>
            </w:r>
          </w:p>
        </w:tc>
        <w:tc>
          <w:tcPr>
            <w:tcW w:w="203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50,210,450.00</w:t>
            </w:r>
          </w:p>
        </w:tc>
        <w:tc>
          <w:tcPr>
            <w:tcW w:w="1765" w:type="dxa"/>
            <w:tcBorders>
              <w:top w:val="single" w:sz="8" w:space="0" w:color="000000"/>
              <w:left w:val="nil"/>
              <w:bottom w:val="single" w:sz="8" w:space="0" w:color="000000"/>
              <w:right w:val="single" w:sz="8" w:space="0" w:color="000000"/>
            </w:tcBorders>
            <w:shd w:val="clear" w:color="000000" w:fill="FFFFFF"/>
            <w:vAlign w:val="center"/>
          </w:tcPr>
          <w:p w:rsidR="00AF2735" w:rsidRDefault="006221AE">
            <w:pPr>
              <w:jc w:val="right"/>
              <w:rPr>
                <w:rFonts w:ascii="宋体" w:hAnsi="宋体" w:cs="宋体"/>
                <w:color w:val="000000"/>
                <w:kern w:val="0"/>
                <w:sz w:val="24"/>
                <w:szCs w:val="24"/>
              </w:rPr>
            </w:pPr>
            <w:r>
              <w:rPr>
                <w:rFonts w:ascii="宋体" w:hAnsi="宋体" w:cs="宋体" w:hint="eastAsia"/>
                <w:color w:val="000000"/>
                <w:kern w:val="0"/>
                <w:sz w:val="24"/>
                <w:szCs w:val="24"/>
              </w:rPr>
              <w:t>2.58%</w:t>
            </w:r>
          </w:p>
        </w:tc>
      </w:tr>
    </w:tbl>
    <w:p w:rsidR="00AF2735" w:rsidRDefault="00AF2735">
      <w:pPr>
        <w:widowControl/>
        <w:jc w:val="left"/>
        <w:rPr>
          <w:rFonts w:ascii="宋体" w:hAnsi="宋体" w:cs="宋体"/>
          <w:b/>
          <w:sz w:val="24"/>
          <w:szCs w:val="24"/>
          <w:shd w:val="clear" w:color="auto" w:fill="FFFFFF"/>
        </w:rPr>
      </w:pPr>
    </w:p>
    <w:p w:rsidR="00AF2735" w:rsidRDefault="006221AE">
      <w:pPr>
        <w:widowControl/>
        <w:jc w:val="left"/>
        <w:rPr>
          <w:rFonts w:ascii="宋体" w:hAnsi="宋体" w:cs="宋体"/>
          <w:b/>
          <w:sz w:val="24"/>
          <w:szCs w:val="24"/>
          <w:shd w:val="clear" w:color="auto" w:fill="FFFFFF"/>
        </w:rPr>
      </w:pPr>
      <w:r>
        <w:rPr>
          <w:rFonts w:ascii="宋体" w:hAnsi="宋体" w:cs="宋体" w:hint="eastAsia"/>
          <w:b/>
          <w:sz w:val="24"/>
          <w:szCs w:val="24"/>
          <w:shd w:val="clear" w:color="auto" w:fill="FFFFFF"/>
        </w:rPr>
        <w:t>6.3报告期末非标准化债权类资产明细</w:t>
      </w:r>
    </w:p>
    <w:p w:rsidR="00AF2735" w:rsidRDefault="00AF2735">
      <w:pPr>
        <w:widowControl/>
        <w:jc w:val="left"/>
        <w:rPr>
          <w:b/>
          <w:shd w:val="clear" w:color="auto" w:fill="FFFFFF"/>
        </w:rPr>
      </w:pPr>
    </w:p>
    <w:tbl>
      <w:tblPr>
        <w:tblW w:w="8931" w:type="dxa"/>
        <w:tblInd w:w="108" w:type="dxa"/>
        <w:tblLayout w:type="fixed"/>
        <w:tblLook w:val="04A0"/>
      </w:tblPr>
      <w:tblGrid>
        <w:gridCol w:w="709"/>
        <w:gridCol w:w="1276"/>
        <w:gridCol w:w="1701"/>
        <w:gridCol w:w="1417"/>
        <w:gridCol w:w="1701"/>
        <w:gridCol w:w="1276"/>
        <w:gridCol w:w="851"/>
      </w:tblGrid>
      <w:tr w:rsidR="00AF2735">
        <w:tc>
          <w:tcPr>
            <w:tcW w:w="709"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Ansi="Calibri" w:hint="eastAsia"/>
                <w:shd w:val="clear" w:color="auto" w:fill="FFFFFF"/>
              </w:rPr>
              <w:t>序号</w:t>
            </w:r>
          </w:p>
        </w:tc>
        <w:tc>
          <w:tcPr>
            <w:tcW w:w="1276"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融资客户</w:t>
            </w:r>
          </w:p>
        </w:tc>
        <w:tc>
          <w:tcPr>
            <w:tcW w:w="170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Ansi="Calibri" w:hint="eastAsia"/>
                <w:shd w:val="clear" w:color="auto" w:fill="FFFFFF"/>
              </w:rPr>
              <w:t>项目名称</w:t>
            </w:r>
          </w:p>
        </w:tc>
        <w:tc>
          <w:tcPr>
            <w:tcW w:w="1417"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剩余融资期限</w:t>
            </w:r>
          </w:p>
        </w:tc>
        <w:tc>
          <w:tcPr>
            <w:tcW w:w="170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到期收益分配</w:t>
            </w:r>
          </w:p>
        </w:tc>
        <w:tc>
          <w:tcPr>
            <w:tcW w:w="1276"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交易结构</w:t>
            </w:r>
          </w:p>
        </w:tc>
        <w:tc>
          <w:tcPr>
            <w:tcW w:w="851" w:type="dxa"/>
            <w:tcBorders>
              <w:top w:val="single" w:sz="8" w:space="0" w:color="000000"/>
              <w:left w:val="single" w:sz="8" w:space="0" w:color="000000"/>
              <w:bottom w:val="single" w:sz="6"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风险状况</w:t>
            </w:r>
          </w:p>
        </w:tc>
      </w:tr>
      <w:tr w:rsidR="00AF2735">
        <w:tc>
          <w:tcPr>
            <w:tcW w:w="70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rPr>
              <w:t>1</w:t>
            </w:r>
          </w:p>
        </w:tc>
        <w:tc>
          <w:tcPr>
            <w:tcW w:w="127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新沂市城市投资发展有限公司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20新沂城投01</w:t>
            </w:r>
          </w:p>
        </w:tc>
        <w:tc>
          <w:tcPr>
            <w:tcW w:w="1417"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355天</w:t>
            </w:r>
          </w:p>
        </w:tc>
        <w:tc>
          <w:tcPr>
            <w:tcW w:w="170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w:t>
            </w:r>
          </w:p>
        </w:tc>
      </w:tr>
      <w:tr w:rsidR="00AF2735">
        <w:tc>
          <w:tcPr>
            <w:tcW w:w="70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2</w:t>
            </w:r>
          </w:p>
        </w:tc>
        <w:tc>
          <w:tcPr>
            <w:tcW w:w="127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徐州高新技术产业开发区国有资产经营有限公司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20徐州高新01</w:t>
            </w:r>
          </w:p>
        </w:tc>
        <w:tc>
          <w:tcPr>
            <w:tcW w:w="1417"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324天</w:t>
            </w:r>
          </w:p>
        </w:tc>
        <w:tc>
          <w:tcPr>
            <w:tcW w:w="170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w:t>
            </w:r>
          </w:p>
        </w:tc>
      </w:tr>
      <w:tr w:rsidR="00AF2735">
        <w:tc>
          <w:tcPr>
            <w:tcW w:w="709"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pPr>
            <w:r>
              <w:rPr>
                <w:rFonts w:hint="eastAsia"/>
              </w:rPr>
              <w:t>3</w:t>
            </w:r>
          </w:p>
        </w:tc>
        <w:tc>
          <w:tcPr>
            <w:tcW w:w="127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盐城市盐都区国有资产投资经营有限公司</w:t>
            </w:r>
          </w:p>
        </w:tc>
        <w:tc>
          <w:tcPr>
            <w:tcW w:w="170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20盐都国投01</w:t>
            </w:r>
          </w:p>
        </w:tc>
        <w:tc>
          <w:tcPr>
            <w:tcW w:w="1417"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352天</w:t>
            </w:r>
          </w:p>
        </w:tc>
        <w:tc>
          <w:tcPr>
            <w:tcW w:w="170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按年付息，到期还本</w:t>
            </w:r>
          </w:p>
        </w:tc>
        <w:tc>
          <w:tcPr>
            <w:tcW w:w="1276"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直接融资工具(发行)-直接投资</w:t>
            </w:r>
          </w:p>
        </w:tc>
        <w:tc>
          <w:tcPr>
            <w:tcW w:w="851" w:type="dxa"/>
            <w:tcBorders>
              <w:top w:val="single" w:sz="8" w:space="0" w:color="000000"/>
              <w:left w:val="single" w:sz="8" w:space="0" w:color="000000"/>
              <w:bottom w:val="single" w:sz="8" w:space="0" w:color="000000"/>
              <w:right w:val="single" w:sz="8" w:space="0" w:color="000000"/>
            </w:tcBorders>
            <w:vAlign w:val="center"/>
          </w:tcPr>
          <w:p w:rsidR="00AF2735" w:rsidRDefault="006221AE">
            <w:pPr>
              <w:pStyle w:val="biaogecenter"/>
              <w:wordWrap w:val="0"/>
              <w:rPr>
                <w:shd w:val="clear" w:color="auto" w:fill="FFFFFF"/>
              </w:rPr>
            </w:pPr>
            <w:r>
              <w:rPr>
                <w:rFonts w:hint="eastAsia"/>
                <w:shd w:val="clear" w:color="auto" w:fill="FFFFFF"/>
              </w:rPr>
              <w:t>-</w:t>
            </w:r>
          </w:p>
        </w:tc>
      </w:tr>
    </w:tbl>
    <w:p w:rsidR="00AF2735" w:rsidRDefault="00AF2735">
      <w:pPr>
        <w:widowControl/>
        <w:jc w:val="left"/>
        <w:rPr>
          <w:rFonts w:ascii="宋体" w:hAnsi="宋体" w:cs="宋体"/>
          <w:color w:val="000000"/>
          <w:kern w:val="0"/>
          <w:sz w:val="24"/>
          <w:szCs w:val="24"/>
        </w:rPr>
      </w:pPr>
    </w:p>
    <w:p w:rsidR="00AF2735" w:rsidRDefault="00AF2735">
      <w:pPr>
        <w:widowControl/>
        <w:jc w:val="left"/>
        <w:rPr>
          <w:rFonts w:ascii="宋体" w:hAnsi="宋体" w:cs="宋体"/>
          <w:color w:val="000000"/>
          <w:kern w:val="0"/>
          <w:sz w:val="24"/>
          <w:szCs w:val="24"/>
        </w:rPr>
      </w:pPr>
    </w:p>
    <w:p w:rsidR="00AF2735" w:rsidRDefault="006221AE">
      <w:pPr>
        <w:pStyle w:val="dazhangjie"/>
        <w:rPr>
          <w:color w:val="000000"/>
        </w:rPr>
      </w:pPr>
      <w:r>
        <w:rPr>
          <w:rFonts w:hint="eastAsia"/>
          <w:b/>
          <w:bCs/>
          <w:color w:val="000000"/>
        </w:rPr>
        <w:t>§7 关联交易情况</w:t>
      </w:r>
    </w:p>
    <w:p w:rsidR="00AF2735" w:rsidRDefault="006221A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t>报告期末，产品投资于本行或托管机构，主要股东、控股股东、实际控制人、一致行动人、最终受益人，其控股的机构或者与其有重大利害关系的公司发行的证券0.00元。</w:t>
      </w:r>
    </w:p>
    <w:p w:rsidR="00AF2735" w:rsidRDefault="006221AE">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r>
        <w:rPr>
          <w:rFonts w:ascii="宋体" w:hAnsi="宋体" w:cs="宋体" w:hint="eastAsia"/>
          <w:color w:val="000000"/>
          <w:kern w:val="0"/>
          <w:sz w:val="24"/>
          <w:szCs w:val="24"/>
        </w:rPr>
        <w:lastRenderedPageBreak/>
        <w:t>产品投资于本行或托管机构，主要股东、控股股东、实际控制人、一致行动人、最终受益人，其控股的机构或者与其有重大利害关系的公司承销的证券</w:t>
      </w:r>
      <w:r>
        <w:rPr>
          <w:rFonts w:ascii="宋体" w:hAnsi="宋体" w:cs="宋体"/>
          <w:color w:val="000000"/>
          <w:kern w:val="0"/>
          <w:sz w:val="24"/>
          <w:szCs w:val="24"/>
        </w:rPr>
        <w:t>119573040.00</w:t>
      </w:r>
      <w:r>
        <w:rPr>
          <w:rFonts w:ascii="宋体" w:hAnsi="宋体" w:cs="宋体" w:hint="eastAsia"/>
          <w:color w:val="000000"/>
          <w:kern w:val="0"/>
          <w:sz w:val="24"/>
          <w:szCs w:val="24"/>
        </w:rPr>
        <w:t>元。</w:t>
      </w:r>
    </w:p>
    <w:p w:rsidR="00AF2735" w:rsidRDefault="00AF273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AF2735" w:rsidRDefault="00AF2735">
      <w:pPr>
        <w:widowControl/>
        <w:shd w:val="clear" w:color="auto" w:fill="FFFFFF"/>
        <w:spacing w:before="100" w:beforeAutospacing="1" w:after="100" w:afterAutospacing="1" w:line="390" w:lineRule="atLeast"/>
        <w:ind w:firstLineChars="200" w:firstLine="480"/>
        <w:jc w:val="left"/>
        <w:rPr>
          <w:rFonts w:ascii="宋体" w:hAnsi="宋体" w:cs="宋体"/>
          <w:color w:val="000000"/>
          <w:kern w:val="0"/>
          <w:sz w:val="24"/>
          <w:szCs w:val="24"/>
        </w:rPr>
      </w:pPr>
    </w:p>
    <w:p w:rsidR="00AF2735" w:rsidRDefault="00AF2735">
      <w:pPr>
        <w:widowControl/>
        <w:jc w:val="left"/>
        <w:rPr>
          <w:rFonts w:ascii="宋体" w:hAnsi="宋体" w:cs="宋体"/>
          <w:color w:val="000000"/>
          <w:kern w:val="0"/>
          <w:sz w:val="24"/>
          <w:szCs w:val="24"/>
        </w:rPr>
      </w:pPr>
    </w:p>
    <w:p w:rsidR="00AF2735" w:rsidRDefault="00AF2735">
      <w:pPr>
        <w:widowControl/>
        <w:jc w:val="left"/>
        <w:rPr>
          <w:rFonts w:ascii="宋体" w:hAnsi="宋体" w:cs="宋体"/>
          <w:color w:val="000000"/>
          <w:kern w:val="0"/>
          <w:sz w:val="24"/>
          <w:szCs w:val="24"/>
        </w:rPr>
      </w:pPr>
    </w:p>
    <w:p w:rsidR="00AF2735" w:rsidRDefault="00AF2735">
      <w:pPr>
        <w:widowControl/>
        <w:jc w:val="left"/>
        <w:rPr>
          <w:rFonts w:ascii="宋体" w:hAnsi="宋体" w:cs="宋体"/>
          <w:color w:val="000000"/>
          <w:kern w:val="0"/>
          <w:sz w:val="24"/>
          <w:szCs w:val="24"/>
        </w:rPr>
      </w:pPr>
    </w:p>
    <w:p w:rsidR="00AF2735" w:rsidRDefault="00AF2735">
      <w:pPr>
        <w:widowControl/>
        <w:jc w:val="left"/>
        <w:rPr>
          <w:color w:val="000000"/>
        </w:rPr>
      </w:pPr>
    </w:p>
    <w:p w:rsidR="00AF2735" w:rsidRDefault="006221AE">
      <w:pPr>
        <w:pStyle w:val="biaogeright"/>
        <w:rPr>
          <w:b/>
        </w:rPr>
      </w:pPr>
      <w:r>
        <w:rPr>
          <w:rFonts w:hint="eastAsia"/>
          <w:b/>
        </w:rPr>
        <w:t>南京银行股份有限公司</w:t>
      </w:r>
    </w:p>
    <w:p w:rsidR="00AF2735" w:rsidRDefault="006221AE">
      <w:pPr>
        <w:pStyle w:val="biaogeright"/>
      </w:pPr>
      <w:r>
        <w:rPr>
          <w:rFonts w:hAnsi="Calibri" w:hint="eastAsia"/>
          <w:b/>
          <w:color w:val="000000"/>
        </w:rPr>
        <w:t>2020年12月31日</w:t>
      </w:r>
    </w:p>
    <w:p w:rsidR="00AF2735" w:rsidRDefault="00AF2735">
      <w:pPr>
        <w:pStyle w:val="biaogeright"/>
        <w:rPr>
          <w:color w:val="000000"/>
        </w:rPr>
      </w:pPr>
    </w:p>
    <w:sectPr w:rsidR="00AF2735" w:rsidSect="00AF2735">
      <w:footerReference w:type="default" r:id="rId13"/>
      <w:footerReference w:type="first" r:id="rId14"/>
      <w:pgSz w:w="11926" w:h="16867"/>
      <w:pgMar w:top="1418" w:right="1418" w:bottom="853" w:left="1418" w:header="851" w:footer="992" w:gutter="0"/>
      <w:pgNumType w:start="2"/>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5991" w:rsidRDefault="00A25991" w:rsidP="00AF2735">
      <w:r>
        <w:separator/>
      </w:r>
    </w:p>
  </w:endnote>
  <w:endnote w:type="continuationSeparator" w:id="1">
    <w:p w:rsidR="00A25991" w:rsidRDefault="00A25991" w:rsidP="00AF273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735" w:rsidRDefault="00904BC9">
    <w:pPr>
      <w:pStyle w:val="a5"/>
      <w:framePr w:wrap="around" w:vAnchor="text" w:hAnchor="margin" w:xAlign="center" w:y="1"/>
      <w:rPr>
        <w:rStyle w:val="aa"/>
      </w:rPr>
    </w:pPr>
    <w:r>
      <w:fldChar w:fldCharType="begin"/>
    </w:r>
    <w:r w:rsidR="006221AE">
      <w:rPr>
        <w:rStyle w:val="aa"/>
      </w:rPr>
      <w:instrText xml:space="preserve">PAGE  </w:instrText>
    </w:r>
    <w:r>
      <w:fldChar w:fldCharType="end"/>
    </w:r>
  </w:p>
  <w:p w:rsidR="00AF2735" w:rsidRDefault="00AF2735">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735" w:rsidRDefault="00AF2735">
    <w:pPr>
      <w:pStyle w:val="a5"/>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99C" w:rsidRDefault="0085199C">
    <w:pPr>
      <w:pStyle w:val="a5"/>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735" w:rsidRDefault="00AF2735">
    <w:pPr>
      <w:pStyle w:val="a5"/>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735" w:rsidRDefault="00AF273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5991" w:rsidRDefault="00A25991" w:rsidP="00AF2735">
      <w:r>
        <w:separator/>
      </w:r>
    </w:p>
  </w:footnote>
  <w:footnote w:type="continuationSeparator" w:id="1">
    <w:p w:rsidR="00A25991" w:rsidRDefault="00A25991" w:rsidP="00AF273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99C" w:rsidRDefault="0085199C">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99C" w:rsidRDefault="0085199C">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199C" w:rsidRDefault="0085199C">
    <w:pPr>
      <w:pStyle w:val="a6"/>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5"/>
  <w:bordersDoNotSurroundHeader/>
  <w:bordersDoNotSurroundFooter/>
  <w:defaultTabStop w:val="720"/>
  <w:noPunctuationKerning/>
  <w:characterSpacingControl w:val="compressPunctuation"/>
  <w:hdrShapeDefaults>
    <o:shapedefaults v:ext="edit" spidmax="7170"/>
  </w:hdrShapeDefaults>
  <w:footnotePr>
    <w:footnote w:id="0"/>
    <w:footnote w:id="1"/>
  </w:footnotePr>
  <w:endnotePr>
    <w:endnote w:id="0"/>
    <w:endnote w:id="1"/>
  </w:endnotePr>
  <w:compat>
    <w:doNotExpandShiftReturn/>
    <w:useFELayout/>
  </w:compat>
  <w:rsids>
    <w:rsidRoot w:val="00172A27"/>
    <w:rsid w:val="000060E5"/>
    <w:rsid w:val="00017037"/>
    <w:rsid w:val="000234FF"/>
    <w:rsid w:val="00034FF6"/>
    <w:rsid w:val="00044BFF"/>
    <w:rsid w:val="0005474A"/>
    <w:rsid w:val="00061725"/>
    <w:rsid w:val="00072777"/>
    <w:rsid w:val="00092F2C"/>
    <w:rsid w:val="000A3711"/>
    <w:rsid w:val="000D2168"/>
    <w:rsid w:val="000D5066"/>
    <w:rsid w:val="000F6191"/>
    <w:rsid w:val="00125E6F"/>
    <w:rsid w:val="00130CE8"/>
    <w:rsid w:val="00131250"/>
    <w:rsid w:val="00152201"/>
    <w:rsid w:val="00172A27"/>
    <w:rsid w:val="00176636"/>
    <w:rsid w:val="00183C84"/>
    <w:rsid w:val="001C05F9"/>
    <w:rsid w:val="001C5395"/>
    <w:rsid w:val="00202F9E"/>
    <w:rsid w:val="00211468"/>
    <w:rsid w:val="00211F26"/>
    <w:rsid w:val="002263FC"/>
    <w:rsid w:val="002646C7"/>
    <w:rsid w:val="002A3AE9"/>
    <w:rsid w:val="002C196E"/>
    <w:rsid w:val="002C26A6"/>
    <w:rsid w:val="002D296F"/>
    <w:rsid w:val="002D75D0"/>
    <w:rsid w:val="002E795C"/>
    <w:rsid w:val="00305714"/>
    <w:rsid w:val="00305E89"/>
    <w:rsid w:val="00313E71"/>
    <w:rsid w:val="00321CB7"/>
    <w:rsid w:val="003379A9"/>
    <w:rsid w:val="00350ADF"/>
    <w:rsid w:val="00355623"/>
    <w:rsid w:val="003857D1"/>
    <w:rsid w:val="003A0419"/>
    <w:rsid w:val="003C4D3B"/>
    <w:rsid w:val="003E09EA"/>
    <w:rsid w:val="003F0AC3"/>
    <w:rsid w:val="00456251"/>
    <w:rsid w:val="004B073D"/>
    <w:rsid w:val="004C1607"/>
    <w:rsid w:val="004C1BE1"/>
    <w:rsid w:val="005069D8"/>
    <w:rsid w:val="00560C77"/>
    <w:rsid w:val="0056162E"/>
    <w:rsid w:val="00563B93"/>
    <w:rsid w:val="00567DB3"/>
    <w:rsid w:val="00575BEA"/>
    <w:rsid w:val="005B3434"/>
    <w:rsid w:val="005E2884"/>
    <w:rsid w:val="005E5050"/>
    <w:rsid w:val="005F2C7B"/>
    <w:rsid w:val="005F4D04"/>
    <w:rsid w:val="005F7DA9"/>
    <w:rsid w:val="006054F8"/>
    <w:rsid w:val="006221AE"/>
    <w:rsid w:val="0065419A"/>
    <w:rsid w:val="00654220"/>
    <w:rsid w:val="00663B94"/>
    <w:rsid w:val="00671194"/>
    <w:rsid w:val="00677F66"/>
    <w:rsid w:val="00680FCA"/>
    <w:rsid w:val="006A4BD7"/>
    <w:rsid w:val="006C7F31"/>
    <w:rsid w:val="006E4E94"/>
    <w:rsid w:val="00704106"/>
    <w:rsid w:val="00730BEE"/>
    <w:rsid w:val="0073101E"/>
    <w:rsid w:val="00735153"/>
    <w:rsid w:val="00745421"/>
    <w:rsid w:val="0075099F"/>
    <w:rsid w:val="00792AE2"/>
    <w:rsid w:val="007A4219"/>
    <w:rsid w:val="0080200C"/>
    <w:rsid w:val="00814110"/>
    <w:rsid w:val="0082561A"/>
    <w:rsid w:val="00846B2E"/>
    <w:rsid w:val="0085199C"/>
    <w:rsid w:val="00853290"/>
    <w:rsid w:val="0085663C"/>
    <w:rsid w:val="008625F2"/>
    <w:rsid w:val="008768AB"/>
    <w:rsid w:val="008926F7"/>
    <w:rsid w:val="008A7510"/>
    <w:rsid w:val="008C78BD"/>
    <w:rsid w:val="008F0FA3"/>
    <w:rsid w:val="00900D90"/>
    <w:rsid w:val="00904BC9"/>
    <w:rsid w:val="00910DED"/>
    <w:rsid w:val="0092177C"/>
    <w:rsid w:val="00922E9C"/>
    <w:rsid w:val="009354D6"/>
    <w:rsid w:val="00935796"/>
    <w:rsid w:val="009477D0"/>
    <w:rsid w:val="00970A98"/>
    <w:rsid w:val="009B5059"/>
    <w:rsid w:val="009C781F"/>
    <w:rsid w:val="009D023F"/>
    <w:rsid w:val="009D5296"/>
    <w:rsid w:val="009E1497"/>
    <w:rsid w:val="009E6170"/>
    <w:rsid w:val="00A25991"/>
    <w:rsid w:val="00A37451"/>
    <w:rsid w:val="00A4484F"/>
    <w:rsid w:val="00A7054B"/>
    <w:rsid w:val="00A76D4B"/>
    <w:rsid w:val="00A77C47"/>
    <w:rsid w:val="00A9119C"/>
    <w:rsid w:val="00AA4549"/>
    <w:rsid w:val="00AB4D08"/>
    <w:rsid w:val="00AB4E3C"/>
    <w:rsid w:val="00AC5144"/>
    <w:rsid w:val="00AD019F"/>
    <w:rsid w:val="00AF2735"/>
    <w:rsid w:val="00B13014"/>
    <w:rsid w:val="00B17559"/>
    <w:rsid w:val="00B33B19"/>
    <w:rsid w:val="00B404E6"/>
    <w:rsid w:val="00B4360D"/>
    <w:rsid w:val="00B61EA9"/>
    <w:rsid w:val="00B6509E"/>
    <w:rsid w:val="00B670D1"/>
    <w:rsid w:val="00B74DCA"/>
    <w:rsid w:val="00BA2CF4"/>
    <w:rsid w:val="00BC02E0"/>
    <w:rsid w:val="00BC3903"/>
    <w:rsid w:val="00BE47E0"/>
    <w:rsid w:val="00BF75C8"/>
    <w:rsid w:val="00C0393E"/>
    <w:rsid w:val="00C1762E"/>
    <w:rsid w:val="00C22DF9"/>
    <w:rsid w:val="00C25123"/>
    <w:rsid w:val="00C30A48"/>
    <w:rsid w:val="00C375A7"/>
    <w:rsid w:val="00C62DF8"/>
    <w:rsid w:val="00C640FB"/>
    <w:rsid w:val="00CB054E"/>
    <w:rsid w:val="00CC52D7"/>
    <w:rsid w:val="00CD5B7F"/>
    <w:rsid w:val="00CE6827"/>
    <w:rsid w:val="00CF6D01"/>
    <w:rsid w:val="00D23AB6"/>
    <w:rsid w:val="00D42895"/>
    <w:rsid w:val="00D50309"/>
    <w:rsid w:val="00D51AA9"/>
    <w:rsid w:val="00D7264A"/>
    <w:rsid w:val="00D84E43"/>
    <w:rsid w:val="00D870DF"/>
    <w:rsid w:val="00DB0C2F"/>
    <w:rsid w:val="00DB3BF6"/>
    <w:rsid w:val="00DC31CC"/>
    <w:rsid w:val="00DC728A"/>
    <w:rsid w:val="00DD2F3C"/>
    <w:rsid w:val="00DF4EC1"/>
    <w:rsid w:val="00E1059D"/>
    <w:rsid w:val="00E155DF"/>
    <w:rsid w:val="00E246E1"/>
    <w:rsid w:val="00E560F1"/>
    <w:rsid w:val="00E944FA"/>
    <w:rsid w:val="00E9797A"/>
    <w:rsid w:val="00EA0591"/>
    <w:rsid w:val="00EA7ABC"/>
    <w:rsid w:val="00EB2746"/>
    <w:rsid w:val="00EB7513"/>
    <w:rsid w:val="00EE0436"/>
    <w:rsid w:val="00F1465C"/>
    <w:rsid w:val="00F41324"/>
    <w:rsid w:val="00F57C12"/>
    <w:rsid w:val="00F609FD"/>
    <w:rsid w:val="00F859AB"/>
    <w:rsid w:val="00F950D0"/>
    <w:rsid w:val="00FA2C26"/>
    <w:rsid w:val="00FF1841"/>
    <w:rsid w:val="030F2BA7"/>
    <w:rsid w:val="04240CEE"/>
    <w:rsid w:val="065551D3"/>
    <w:rsid w:val="06C37561"/>
    <w:rsid w:val="0A236A5A"/>
    <w:rsid w:val="0BA075C8"/>
    <w:rsid w:val="0CAB045E"/>
    <w:rsid w:val="10C60AB9"/>
    <w:rsid w:val="111D4539"/>
    <w:rsid w:val="13297F9C"/>
    <w:rsid w:val="134727C6"/>
    <w:rsid w:val="13E41C4A"/>
    <w:rsid w:val="141A5102"/>
    <w:rsid w:val="15FE575C"/>
    <w:rsid w:val="177920C8"/>
    <w:rsid w:val="18EC47C1"/>
    <w:rsid w:val="1AB73E2C"/>
    <w:rsid w:val="1ADC05C7"/>
    <w:rsid w:val="1E911FB2"/>
    <w:rsid w:val="1F274305"/>
    <w:rsid w:val="20F325AF"/>
    <w:rsid w:val="216F6F5C"/>
    <w:rsid w:val="22E23E75"/>
    <w:rsid w:val="24914F4C"/>
    <w:rsid w:val="2555668E"/>
    <w:rsid w:val="25AF3A81"/>
    <w:rsid w:val="25B229C2"/>
    <w:rsid w:val="26FD4196"/>
    <w:rsid w:val="27BE1DAA"/>
    <w:rsid w:val="28CD1EA7"/>
    <w:rsid w:val="2945121F"/>
    <w:rsid w:val="2986009C"/>
    <w:rsid w:val="29F7636C"/>
    <w:rsid w:val="2F2E04D0"/>
    <w:rsid w:val="32955A2A"/>
    <w:rsid w:val="350229F7"/>
    <w:rsid w:val="36341C31"/>
    <w:rsid w:val="368076E6"/>
    <w:rsid w:val="378F5AE0"/>
    <w:rsid w:val="37F709A6"/>
    <w:rsid w:val="39E872E9"/>
    <w:rsid w:val="39FF2E40"/>
    <w:rsid w:val="3ABE1FB8"/>
    <w:rsid w:val="3C753CC7"/>
    <w:rsid w:val="3DC52ACB"/>
    <w:rsid w:val="3F2C3B54"/>
    <w:rsid w:val="40990310"/>
    <w:rsid w:val="44F30C78"/>
    <w:rsid w:val="459870AF"/>
    <w:rsid w:val="45ED49CE"/>
    <w:rsid w:val="46F0109E"/>
    <w:rsid w:val="47475A63"/>
    <w:rsid w:val="4BCA232B"/>
    <w:rsid w:val="4E276A76"/>
    <w:rsid w:val="506954C1"/>
    <w:rsid w:val="509017BA"/>
    <w:rsid w:val="51482FC3"/>
    <w:rsid w:val="52830253"/>
    <w:rsid w:val="541C469D"/>
    <w:rsid w:val="55F73C55"/>
    <w:rsid w:val="5617604A"/>
    <w:rsid w:val="5BE61B5E"/>
    <w:rsid w:val="5CA05A23"/>
    <w:rsid w:val="5EC71EB3"/>
    <w:rsid w:val="602D020F"/>
    <w:rsid w:val="60EA4BD2"/>
    <w:rsid w:val="62BD595C"/>
    <w:rsid w:val="66F47EBC"/>
    <w:rsid w:val="681903E9"/>
    <w:rsid w:val="68823415"/>
    <w:rsid w:val="6898111C"/>
    <w:rsid w:val="68A21F24"/>
    <w:rsid w:val="6A485270"/>
    <w:rsid w:val="6A970E7E"/>
    <w:rsid w:val="6D05415D"/>
    <w:rsid w:val="6F66394D"/>
    <w:rsid w:val="73193673"/>
    <w:rsid w:val="742938C1"/>
    <w:rsid w:val="74543F24"/>
    <w:rsid w:val="74BE328D"/>
    <w:rsid w:val="77B45190"/>
    <w:rsid w:val="7C4334B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73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AF2735"/>
    <w:pPr>
      <w:jc w:val="left"/>
    </w:pPr>
  </w:style>
  <w:style w:type="paragraph" w:styleId="a4">
    <w:name w:val="Balloon Text"/>
    <w:basedOn w:val="a"/>
    <w:link w:val="Char0"/>
    <w:uiPriority w:val="99"/>
    <w:unhideWhenUsed/>
    <w:qFormat/>
    <w:rsid w:val="00AF2735"/>
    <w:rPr>
      <w:sz w:val="18"/>
      <w:szCs w:val="18"/>
    </w:rPr>
  </w:style>
  <w:style w:type="paragraph" w:styleId="a5">
    <w:name w:val="footer"/>
    <w:basedOn w:val="a"/>
    <w:link w:val="Char1"/>
    <w:uiPriority w:val="99"/>
    <w:unhideWhenUsed/>
    <w:qFormat/>
    <w:rsid w:val="00AF2735"/>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AF2735"/>
    <w:pPr>
      <w:pBdr>
        <w:bottom w:val="single" w:sz="6" w:space="1" w:color="auto"/>
      </w:pBdr>
      <w:tabs>
        <w:tab w:val="center" w:pos="4153"/>
        <w:tab w:val="right" w:pos="8306"/>
      </w:tabs>
      <w:snapToGrid w:val="0"/>
      <w:jc w:val="center"/>
    </w:pPr>
    <w:rPr>
      <w:sz w:val="18"/>
      <w:szCs w:val="18"/>
    </w:rPr>
  </w:style>
  <w:style w:type="paragraph" w:styleId="a7">
    <w:name w:val="footnote text"/>
    <w:basedOn w:val="a"/>
    <w:uiPriority w:val="99"/>
    <w:unhideWhenUsed/>
    <w:qFormat/>
    <w:rsid w:val="00AF2735"/>
    <w:pPr>
      <w:snapToGrid w:val="0"/>
      <w:jc w:val="left"/>
    </w:pPr>
    <w:rPr>
      <w:sz w:val="18"/>
    </w:rPr>
  </w:style>
  <w:style w:type="paragraph" w:styleId="a8">
    <w:name w:val="Normal (Web)"/>
    <w:basedOn w:val="a"/>
    <w:qFormat/>
    <w:rsid w:val="00AF2735"/>
    <w:pPr>
      <w:widowControl/>
      <w:spacing w:before="100" w:beforeAutospacing="1" w:after="100" w:afterAutospacing="1"/>
      <w:jc w:val="left"/>
    </w:pPr>
    <w:rPr>
      <w:rFonts w:ascii="宋体" w:hAnsi="宋体"/>
      <w:kern w:val="0"/>
      <w:sz w:val="24"/>
      <w:szCs w:val="24"/>
    </w:rPr>
  </w:style>
  <w:style w:type="paragraph" w:styleId="a9">
    <w:name w:val="annotation subject"/>
    <w:basedOn w:val="a3"/>
    <w:next w:val="a3"/>
    <w:link w:val="Char3"/>
    <w:uiPriority w:val="99"/>
    <w:unhideWhenUsed/>
    <w:qFormat/>
    <w:rsid w:val="00AF2735"/>
    <w:rPr>
      <w:b/>
      <w:bCs/>
    </w:rPr>
  </w:style>
  <w:style w:type="character" w:styleId="aa">
    <w:name w:val="page number"/>
    <w:basedOn w:val="a0"/>
    <w:uiPriority w:val="99"/>
    <w:unhideWhenUsed/>
    <w:qFormat/>
    <w:rsid w:val="00AF2735"/>
  </w:style>
  <w:style w:type="character" w:styleId="ab">
    <w:name w:val="annotation reference"/>
    <w:uiPriority w:val="99"/>
    <w:unhideWhenUsed/>
    <w:qFormat/>
    <w:rsid w:val="00AF2735"/>
    <w:rPr>
      <w:sz w:val="21"/>
      <w:szCs w:val="21"/>
    </w:rPr>
  </w:style>
  <w:style w:type="character" w:styleId="ac">
    <w:name w:val="footnote reference"/>
    <w:uiPriority w:val="99"/>
    <w:unhideWhenUsed/>
    <w:qFormat/>
    <w:rsid w:val="00AF2735"/>
    <w:rPr>
      <w:vertAlign w:val="superscript"/>
    </w:rPr>
  </w:style>
  <w:style w:type="character" w:customStyle="1" w:styleId="Char0">
    <w:name w:val="批注框文本 Char"/>
    <w:link w:val="a4"/>
    <w:uiPriority w:val="99"/>
    <w:semiHidden/>
    <w:qFormat/>
    <w:rsid w:val="00AF2735"/>
    <w:rPr>
      <w:kern w:val="2"/>
      <w:sz w:val="18"/>
      <w:szCs w:val="18"/>
    </w:rPr>
  </w:style>
  <w:style w:type="character" w:customStyle="1" w:styleId="Char2">
    <w:name w:val="页眉 Char"/>
    <w:link w:val="a6"/>
    <w:uiPriority w:val="99"/>
    <w:semiHidden/>
    <w:qFormat/>
    <w:locked/>
    <w:rsid w:val="00AF2735"/>
    <w:rPr>
      <w:rFonts w:ascii="Times New Roman" w:hAnsi="Times New Roman" w:cs="Times New Roman" w:hint="default"/>
      <w:sz w:val="18"/>
      <w:szCs w:val="18"/>
    </w:rPr>
  </w:style>
  <w:style w:type="character" w:customStyle="1" w:styleId="Char3">
    <w:name w:val="批注主题 Char"/>
    <w:link w:val="a9"/>
    <w:uiPriority w:val="99"/>
    <w:semiHidden/>
    <w:qFormat/>
    <w:rsid w:val="00AF2735"/>
    <w:rPr>
      <w:b/>
      <w:bCs/>
      <w:kern w:val="2"/>
      <w:sz w:val="21"/>
      <w:szCs w:val="22"/>
    </w:rPr>
  </w:style>
  <w:style w:type="character" w:customStyle="1" w:styleId="Char1">
    <w:name w:val="页脚 Char"/>
    <w:link w:val="a5"/>
    <w:uiPriority w:val="99"/>
    <w:semiHidden/>
    <w:qFormat/>
    <w:locked/>
    <w:rsid w:val="00AF2735"/>
    <w:rPr>
      <w:rFonts w:ascii="Times New Roman" w:hAnsi="Times New Roman" w:cs="Times New Roman" w:hint="default"/>
      <w:sz w:val="18"/>
      <w:szCs w:val="18"/>
    </w:rPr>
  </w:style>
  <w:style w:type="character" w:customStyle="1" w:styleId="Char">
    <w:name w:val="批注文字 Char"/>
    <w:link w:val="a3"/>
    <w:uiPriority w:val="99"/>
    <w:qFormat/>
    <w:rsid w:val="00AF2735"/>
    <w:rPr>
      <w:kern w:val="2"/>
      <w:sz w:val="21"/>
      <w:szCs w:val="22"/>
    </w:rPr>
  </w:style>
  <w:style w:type="paragraph" w:customStyle="1" w:styleId="zhongyaotishi">
    <w:name w:val="zhongyaotishi"/>
    <w:basedOn w:val="a"/>
    <w:qFormat/>
    <w:rsid w:val="00AF2735"/>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AF2735"/>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AF273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AF2735"/>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AF2735"/>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AF2735"/>
    <w:pPr>
      <w:widowControl w:val="0"/>
      <w:jc w:val="center"/>
    </w:pPr>
    <w:rPr>
      <w:kern w:val="2"/>
      <w:sz w:val="33"/>
      <w:szCs w:val="22"/>
    </w:rPr>
  </w:style>
  <w:style w:type="paragraph" w:customStyle="1" w:styleId="biaogeleft">
    <w:name w:val="biaoge_left"/>
    <w:basedOn w:val="a"/>
    <w:qFormat/>
    <w:rsid w:val="00AF2735"/>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AF2735"/>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AF2735"/>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AF2735"/>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AF2735"/>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AF2735"/>
    <w:pPr>
      <w:widowControl w:val="0"/>
    </w:pPr>
    <w:rPr>
      <w:kern w:val="2"/>
      <w:sz w:val="21"/>
      <w:szCs w:val="22"/>
    </w:rPr>
  </w:style>
  <w:style w:type="paragraph" w:customStyle="1" w:styleId="neirong">
    <w:name w:val="neirong"/>
    <w:basedOn w:val="a"/>
    <w:qFormat/>
    <w:rsid w:val="00AF2735"/>
    <w:pPr>
      <w:widowControl/>
      <w:autoSpaceDE w:val="0"/>
      <w:autoSpaceDN w:val="0"/>
      <w:adjustRightInd w:val="0"/>
      <w:spacing w:before="29" w:line="288" w:lineRule="auto"/>
      <w:ind w:left="15"/>
      <w:jc w:val="left"/>
    </w:pPr>
    <w:rPr>
      <w:rFonts w:ascii="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11</Pages>
  <Words>950</Words>
  <Characters>5417</Characters>
  <Application>Microsoft Office Word</Application>
  <DocSecurity>0</DocSecurity>
  <Lines>45</Lines>
  <Paragraphs>12</Paragraphs>
  <ScaleCrop>false</ScaleCrop>
  <Company>微软中国</Company>
  <LinksUpToDate>false</LinksUpToDate>
  <CharactersWithSpaces>6355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总行金融市场部本币投资交易部梅浩超</dc:creator>
  <cp:lastModifiedBy>NJCB</cp:lastModifiedBy>
  <cp:revision>38</cp:revision>
  <cp:lastPrinted>2019-09-11T00:56:00Z</cp:lastPrinted>
  <dcterms:created xsi:type="dcterms:W3CDTF">2020-12-16T03:30:00Z</dcterms:created>
  <dcterms:modified xsi:type="dcterms:W3CDTF">2021-04-19T03:01:00Z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B1104860287C48AA8D947C79C5CA977F</vt:lpwstr>
  </property>
</Properties>
</file>