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5ED" w:rsidRDefault="003A75ED">
      <w:pPr>
        <w:pStyle w:val="dazhangjie"/>
        <w:rPr>
          <w:b/>
          <w:bCs/>
          <w:color w:val="000000"/>
        </w:rPr>
      </w:pPr>
    </w:p>
    <w:p w:rsidR="003A75ED" w:rsidRDefault="003A75ED">
      <w:pPr>
        <w:pStyle w:val="dazhangjie"/>
        <w:rPr>
          <w:b/>
          <w:bCs/>
          <w:color w:val="000000"/>
        </w:rPr>
      </w:pPr>
    </w:p>
    <w:p w:rsidR="003A75ED" w:rsidRDefault="003A75ED">
      <w:pPr>
        <w:pStyle w:val="dazhangjie"/>
        <w:rPr>
          <w:b/>
          <w:bCs/>
          <w:color w:val="000000"/>
        </w:rPr>
      </w:pPr>
    </w:p>
    <w:p w:rsidR="003A75ED" w:rsidRDefault="00724FF7">
      <w:pPr>
        <w:pStyle w:val="dazhangjie"/>
        <w:spacing w:before="240" w:after="120"/>
        <w:rPr>
          <w:rFonts w:ascii="黑体" w:eastAsia="黑体" w:hAnsi="黑体"/>
          <w:b/>
          <w:bCs/>
          <w:sz w:val="36"/>
        </w:rPr>
      </w:pPr>
      <w:r>
        <w:rPr>
          <w:rFonts w:ascii="黑体" w:eastAsia="黑体" w:hAnsi="黑体" w:hint="eastAsia"/>
          <w:b/>
          <w:bCs/>
          <w:sz w:val="36"/>
        </w:rPr>
        <w:t>南京银行珠联璧合行稳</w:t>
      </w:r>
      <w:r>
        <w:rPr>
          <w:rFonts w:ascii="黑体" w:eastAsia="黑体" w:hAnsi="黑体" w:hint="eastAsia"/>
          <w:b/>
          <w:bCs/>
          <w:sz w:val="36"/>
        </w:rPr>
        <w:t>2004</w:t>
      </w:r>
      <w:r>
        <w:rPr>
          <w:rFonts w:ascii="黑体" w:eastAsia="黑体" w:hAnsi="黑体" w:hint="eastAsia"/>
          <w:b/>
          <w:bCs/>
          <w:sz w:val="36"/>
        </w:rPr>
        <w:t>半年定开公募人民币理财产品</w:t>
      </w:r>
    </w:p>
    <w:p w:rsidR="003A75ED" w:rsidRDefault="00724FF7">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3A75ED" w:rsidRDefault="003A75ED">
      <w:pPr>
        <w:pStyle w:val="dazhangjie"/>
        <w:spacing w:before="240" w:after="120"/>
        <w:rPr>
          <w:rFonts w:ascii="黑体" w:eastAsia="黑体" w:hAnsi="黑体"/>
          <w:b/>
          <w:bCs/>
          <w:color w:val="000000"/>
          <w:sz w:val="36"/>
        </w:rPr>
      </w:pPr>
    </w:p>
    <w:p w:rsidR="003A75ED" w:rsidRDefault="003A75ED">
      <w:pPr>
        <w:pStyle w:val="dazhangjie"/>
        <w:spacing w:before="240" w:after="120"/>
        <w:rPr>
          <w:rFonts w:ascii="黑体" w:eastAsia="黑体" w:hAnsi="黑体"/>
          <w:b/>
          <w:bCs/>
          <w:color w:val="000000"/>
          <w:sz w:val="36"/>
        </w:rPr>
      </w:pPr>
    </w:p>
    <w:p w:rsidR="003A75ED" w:rsidRDefault="003A75ED">
      <w:pPr>
        <w:pStyle w:val="dazhangjie"/>
        <w:spacing w:before="240" w:after="120"/>
        <w:rPr>
          <w:rFonts w:ascii="黑体" w:eastAsia="黑体" w:hAnsi="黑体"/>
          <w:b/>
          <w:bCs/>
          <w:color w:val="000000"/>
          <w:sz w:val="36"/>
        </w:rPr>
      </w:pPr>
    </w:p>
    <w:p w:rsidR="003A75ED" w:rsidRDefault="003A75ED">
      <w:pPr>
        <w:pStyle w:val="dazhangjie"/>
        <w:spacing w:before="240" w:after="120"/>
        <w:rPr>
          <w:rFonts w:ascii="黑体" w:eastAsia="黑体" w:hAnsi="黑体"/>
          <w:b/>
          <w:bCs/>
          <w:color w:val="000000"/>
          <w:sz w:val="36"/>
        </w:rPr>
      </w:pPr>
    </w:p>
    <w:p w:rsidR="003A75ED" w:rsidRDefault="003A75ED">
      <w:pPr>
        <w:pStyle w:val="dazhangjie"/>
        <w:spacing w:before="240" w:after="120"/>
        <w:rPr>
          <w:rFonts w:ascii="黑体" w:eastAsia="黑体" w:hAnsi="黑体"/>
          <w:b/>
          <w:bCs/>
          <w:color w:val="000000"/>
          <w:sz w:val="36"/>
        </w:rPr>
      </w:pPr>
    </w:p>
    <w:p w:rsidR="003A75ED" w:rsidRDefault="003A75ED">
      <w:pPr>
        <w:pStyle w:val="dazhangjie"/>
        <w:spacing w:before="240" w:after="120"/>
        <w:rPr>
          <w:rFonts w:ascii="黑体" w:eastAsia="黑体" w:hAnsi="黑体"/>
          <w:b/>
          <w:bCs/>
          <w:color w:val="000000"/>
          <w:sz w:val="36"/>
        </w:rPr>
      </w:pPr>
    </w:p>
    <w:p w:rsidR="003A75ED" w:rsidRDefault="003A75ED">
      <w:pPr>
        <w:pStyle w:val="dazhangjie"/>
        <w:spacing w:before="240" w:after="120"/>
        <w:rPr>
          <w:rFonts w:ascii="黑体" w:eastAsia="黑体" w:hAnsi="黑体"/>
          <w:b/>
          <w:bCs/>
          <w:color w:val="000000"/>
          <w:sz w:val="36"/>
        </w:rPr>
      </w:pPr>
    </w:p>
    <w:p w:rsidR="003A75ED" w:rsidRDefault="003A75ED">
      <w:pPr>
        <w:pStyle w:val="dazhangjie"/>
        <w:spacing w:before="240" w:after="120"/>
        <w:rPr>
          <w:rFonts w:ascii="黑体" w:eastAsia="黑体" w:hAnsi="黑体"/>
          <w:b/>
          <w:bCs/>
          <w:color w:val="000000"/>
          <w:sz w:val="36"/>
        </w:rPr>
      </w:pPr>
    </w:p>
    <w:p w:rsidR="003A75ED" w:rsidRDefault="003A75ED">
      <w:pPr>
        <w:pStyle w:val="dazhangjie"/>
        <w:spacing w:before="240" w:after="120"/>
        <w:ind w:left="0"/>
        <w:jc w:val="both"/>
        <w:rPr>
          <w:rFonts w:ascii="黑体" w:eastAsia="黑体" w:hAnsi="黑体"/>
          <w:b/>
          <w:bCs/>
          <w:color w:val="000000"/>
          <w:sz w:val="36"/>
        </w:rPr>
      </w:pPr>
    </w:p>
    <w:p w:rsidR="003A75ED" w:rsidRDefault="00724FF7">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3A75ED" w:rsidRDefault="00724FF7">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3A75ED" w:rsidRDefault="003A75ED">
      <w:pPr>
        <w:widowControl/>
        <w:jc w:val="left"/>
        <w:rPr>
          <w:rFonts w:ascii="宋体" w:hAnsi="宋体" w:cs="宋体"/>
          <w:color w:val="000000"/>
          <w:kern w:val="0"/>
          <w:sz w:val="24"/>
          <w:szCs w:val="24"/>
        </w:rPr>
        <w:sectPr w:rsidR="003A75ED">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3A75ED" w:rsidRDefault="003A75ED">
      <w:pPr>
        <w:widowControl/>
        <w:jc w:val="left"/>
        <w:rPr>
          <w:rFonts w:ascii="宋体" w:hAnsi="宋体" w:cs="宋体"/>
          <w:color w:val="000000"/>
          <w:kern w:val="0"/>
          <w:sz w:val="24"/>
          <w:szCs w:val="24"/>
        </w:rPr>
      </w:pPr>
    </w:p>
    <w:p w:rsidR="003A75ED" w:rsidRDefault="00724FF7">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3A75ED" w:rsidRDefault="003A75ED">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3A75ED">
        <w:tc>
          <w:tcPr>
            <w:tcW w:w="2811" w:type="dxa"/>
            <w:tcBorders>
              <w:top w:val="single" w:sz="8" w:space="0" w:color="000000"/>
              <w:left w:val="single" w:sz="8" w:space="0" w:color="000000"/>
              <w:bottom w:val="single" w:sz="6" w:space="0" w:color="000000"/>
              <w:right w:val="single" w:sz="8" w:space="0" w:color="000000"/>
            </w:tcBorders>
            <w:vAlign w:val="center"/>
          </w:tcPr>
          <w:p w:rsidR="003A75ED" w:rsidRDefault="00724FF7">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3A75ED" w:rsidRDefault="00724FF7">
            <w:pPr>
              <w:pStyle w:val="biaogeleft"/>
              <w:wordWrap w:val="0"/>
              <w:rPr>
                <w:color w:val="000000"/>
              </w:rPr>
            </w:pPr>
            <w:r>
              <w:rPr>
                <w:rFonts w:hint="eastAsia"/>
              </w:rPr>
              <w:t>南京银行珠联璧合行稳</w:t>
            </w:r>
            <w:r>
              <w:rPr>
                <w:rFonts w:hint="eastAsia"/>
              </w:rPr>
              <w:t>2004</w:t>
            </w:r>
            <w:r>
              <w:rPr>
                <w:rFonts w:hint="eastAsia"/>
              </w:rPr>
              <w:t>半年定开公募人民币理财产品</w:t>
            </w:r>
          </w:p>
        </w:tc>
      </w:tr>
      <w:tr w:rsidR="003A75ED">
        <w:tc>
          <w:tcPr>
            <w:tcW w:w="2811" w:type="dxa"/>
            <w:tcBorders>
              <w:top w:val="single" w:sz="8" w:space="0" w:color="000000"/>
              <w:left w:val="single" w:sz="8" w:space="0" w:color="000000"/>
              <w:bottom w:val="single" w:sz="6" w:space="0" w:color="000000"/>
              <w:right w:val="single" w:sz="8" w:space="0" w:color="000000"/>
            </w:tcBorders>
            <w:vAlign w:val="center"/>
          </w:tcPr>
          <w:p w:rsidR="003A75ED" w:rsidRDefault="00724FF7">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3A75ED" w:rsidRDefault="00724FF7">
            <w:pPr>
              <w:pStyle w:val="biaogeleft"/>
              <w:wordWrap w:val="0"/>
            </w:pPr>
            <w:r>
              <w:t>C1086920000003</w:t>
            </w:r>
            <w:r>
              <w:rPr>
                <w:rFonts w:hint="eastAsia"/>
              </w:rPr>
              <w:t>（投资者可依据该编码在中国理财网</w:t>
            </w:r>
            <w:r>
              <w:rPr>
                <w:rFonts w:hint="eastAsia"/>
              </w:rPr>
              <w:t>www.chinawealth.com.cn</w:t>
            </w:r>
            <w:r>
              <w:rPr>
                <w:rFonts w:hint="eastAsia"/>
              </w:rPr>
              <w:t>查询理财产品相关信息）</w:t>
            </w:r>
          </w:p>
        </w:tc>
      </w:tr>
      <w:tr w:rsidR="003A75ED">
        <w:tc>
          <w:tcPr>
            <w:tcW w:w="2811" w:type="dxa"/>
            <w:tcBorders>
              <w:top w:val="single" w:sz="8" w:space="0" w:color="000000"/>
              <w:left w:val="single" w:sz="8" w:space="0" w:color="000000"/>
              <w:bottom w:val="single" w:sz="6" w:space="0" w:color="000000"/>
              <w:right w:val="single" w:sz="8" w:space="0" w:color="000000"/>
            </w:tcBorders>
            <w:vAlign w:val="center"/>
          </w:tcPr>
          <w:p w:rsidR="003A75ED" w:rsidRDefault="00724FF7">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3A75ED" w:rsidRDefault="00724FF7">
            <w:pPr>
              <w:pStyle w:val="biaogeleft"/>
              <w:wordWrap w:val="0"/>
              <w:rPr>
                <w:color w:val="000000"/>
              </w:rPr>
            </w:pPr>
            <w:r>
              <w:rPr>
                <w:rFonts w:hint="eastAsia"/>
              </w:rPr>
              <w:t>开放式</w:t>
            </w:r>
            <w:r>
              <w:rPr>
                <w:rFonts w:hint="eastAsia"/>
              </w:rPr>
              <w:t>净值型</w:t>
            </w:r>
          </w:p>
        </w:tc>
      </w:tr>
      <w:tr w:rsidR="003A75ED">
        <w:tc>
          <w:tcPr>
            <w:tcW w:w="2811" w:type="dxa"/>
            <w:tcBorders>
              <w:top w:val="single" w:sz="8" w:space="0" w:color="000000"/>
              <w:left w:val="single" w:sz="8" w:space="0" w:color="000000"/>
              <w:bottom w:val="single" w:sz="6" w:space="0" w:color="000000"/>
              <w:right w:val="single" w:sz="8" w:space="0" w:color="000000"/>
            </w:tcBorders>
            <w:vAlign w:val="center"/>
          </w:tcPr>
          <w:p w:rsidR="003A75ED" w:rsidRDefault="00D600C5">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3A75ED" w:rsidRDefault="00724FF7">
            <w:pPr>
              <w:pStyle w:val="biaogeleft"/>
              <w:wordWrap w:val="0"/>
              <w:rPr>
                <w:color w:val="000000"/>
              </w:rPr>
            </w:pPr>
            <w:r>
              <w:rPr>
                <w:rFonts w:hint="eastAsia"/>
              </w:rPr>
              <w:t>2020</w:t>
            </w:r>
            <w:r>
              <w:rPr>
                <w:rFonts w:hint="eastAsia"/>
              </w:rPr>
              <w:t>年</w:t>
            </w:r>
            <w:r>
              <w:rPr>
                <w:rFonts w:hint="eastAsia"/>
              </w:rPr>
              <w:t>04</w:t>
            </w:r>
            <w:r>
              <w:rPr>
                <w:rFonts w:hint="eastAsia"/>
              </w:rPr>
              <w:t>月</w:t>
            </w:r>
            <w:r>
              <w:rPr>
                <w:rFonts w:hint="eastAsia"/>
              </w:rPr>
              <w:t>08</w:t>
            </w:r>
            <w:r>
              <w:rPr>
                <w:rFonts w:hint="eastAsia"/>
              </w:rPr>
              <w:t>日</w:t>
            </w:r>
          </w:p>
        </w:tc>
      </w:tr>
      <w:tr w:rsidR="003A75ED">
        <w:tc>
          <w:tcPr>
            <w:tcW w:w="2811" w:type="dxa"/>
            <w:tcBorders>
              <w:top w:val="single" w:sz="8" w:space="0" w:color="000000"/>
              <w:left w:val="single" w:sz="8" w:space="0" w:color="000000"/>
              <w:bottom w:val="single" w:sz="6" w:space="0" w:color="000000"/>
              <w:right w:val="single" w:sz="8" w:space="0" w:color="000000"/>
            </w:tcBorders>
            <w:vAlign w:val="center"/>
          </w:tcPr>
          <w:p w:rsidR="003A75ED" w:rsidRDefault="00724FF7">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3A75ED" w:rsidRDefault="00724FF7">
            <w:pPr>
              <w:pStyle w:val="biaogeleft"/>
              <w:wordWrap w:val="0"/>
              <w:rPr>
                <w:color w:val="000000"/>
                <w:highlight w:val="yellow"/>
              </w:rPr>
            </w:pPr>
            <w:r>
              <w:rPr>
                <w:rFonts w:hint="eastAsia"/>
              </w:rPr>
              <w:t>1,414,772,307.37</w:t>
            </w:r>
            <w:r>
              <w:rPr>
                <w:rFonts w:hint="eastAsia"/>
              </w:rPr>
              <w:t>份</w:t>
            </w:r>
          </w:p>
        </w:tc>
      </w:tr>
      <w:tr w:rsidR="003A75ED">
        <w:tc>
          <w:tcPr>
            <w:tcW w:w="2811" w:type="dxa"/>
            <w:tcBorders>
              <w:top w:val="single" w:sz="8" w:space="0" w:color="000000"/>
              <w:left w:val="single" w:sz="8" w:space="0" w:color="000000"/>
              <w:bottom w:val="single" w:sz="6" w:space="0" w:color="000000"/>
              <w:right w:val="single" w:sz="8" w:space="0" w:color="000000"/>
            </w:tcBorders>
            <w:vAlign w:val="center"/>
          </w:tcPr>
          <w:p w:rsidR="003A75ED" w:rsidRDefault="00724FF7">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3A75ED" w:rsidRDefault="00724FF7">
            <w:pPr>
              <w:pStyle w:val="biaogeleft"/>
              <w:wordWrap w:val="0"/>
              <w:rPr>
                <w:color w:val="000000"/>
              </w:rPr>
            </w:pPr>
            <w:r>
              <w:rPr>
                <w:rFonts w:hint="eastAsia"/>
                <w:color w:val="000000"/>
              </w:rPr>
              <w:t>100.38%</w:t>
            </w:r>
          </w:p>
        </w:tc>
      </w:tr>
      <w:tr w:rsidR="003A75ED">
        <w:tc>
          <w:tcPr>
            <w:tcW w:w="2811" w:type="dxa"/>
            <w:tcBorders>
              <w:top w:val="single" w:sz="8" w:space="0" w:color="000000"/>
              <w:left w:val="single" w:sz="8" w:space="0" w:color="000000"/>
              <w:bottom w:val="single" w:sz="6" w:space="0" w:color="000000"/>
              <w:right w:val="single" w:sz="8" w:space="0" w:color="000000"/>
            </w:tcBorders>
            <w:vAlign w:val="center"/>
          </w:tcPr>
          <w:p w:rsidR="003A75ED" w:rsidRDefault="00724FF7">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3A75ED" w:rsidRDefault="00724FF7">
            <w:pPr>
              <w:pStyle w:val="biaogeleft"/>
              <w:wordWrap w:val="0"/>
              <w:rPr>
                <w:color w:val="000000"/>
              </w:rPr>
            </w:pPr>
            <w:r>
              <w:rPr>
                <w:rFonts w:hint="eastAsia"/>
                <w:color w:val="000000"/>
              </w:rPr>
              <w:t>-</w:t>
            </w:r>
          </w:p>
        </w:tc>
      </w:tr>
      <w:tr w:rsidR="003A75ED">
        <w:tc>
          <w:tcPr>
            <w:tcW w:w="2811" w:type="dxa"/>
            <w:tcBorders>
              <w:top w:val="single" w:sz="8" w:space="0" w:color="000000"/>
              <w:left w:val="single" w:sz="8" w:space="0" w:color="000000"/>
              <w:bottom w:val="single" w:sz="6" w:space="0" w:color="000000"/>
              <w:right w:val="single" w:sz="8" w:space="0" w:color="000000"/>
            </w:tcBorders>
            <w:vAlign w:val="center"/>
          </w:tcPr>
          <w:p w:rsidR="003A75ED" w:rsidRDefault="00724FF7">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3A75ED" w:rsidRDefault="00724FF7">
            <w:pPr>
              <w:pStyle w:val="biaogeleft"/>
              <w:wordWrap w:val="0"/>
              <w:rPr>
                <w:color w:val="000000"/>
              </w:rPr>
            </w:pPr>
            <w:r>
              <w:rPr>
                <w:rFonts w:hint="eastAsia"/>
              </w:rPr>
              <w:t>南京银行股份有限公司</w:t>
            </w:r>
          </w:p>
        </w:tc>
      </w:tr>
      <w:tr w:rsidR="003A75ED">
        <w:tc>
          <w:tcPr>
            <w:tcW w:w="2811" w:type="dxa"/>
            <w:tcBorders>
              <w:top w:val="single" w:sz="8" w:space="0" w:color="000000"/>
              <w:left w:val="single" w:sz="8" w:space="0" w:color="000000"/>
              <w:bottom w:val="single" w:sz="6" w:space="0" w:color="000000"/>
              <w:right w:val="single" w:sz="8" w:space="0" w:color="000000"/>
            </w:tcBorders>
            <w:vAlign w:val="center"/>
          </w:tcPr>
          <w:p w:rsidR="003A75ED" w:rsidRDefault="00724FF7">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3A75ED" w:rsidRDefault="00724FF7">
            <w:pPr>
              <w:pStyle w:val="biaogeleft"/>
              <w:wordWrap w:val="0"/>
              <w:rPr>
                <w:color w:val="000000"/>
              </w:rPr>
            </w:pPr>
            <w:r>
              <w:rPr>
                <w:rFonts w:hint="eastAsia"/>
              </w:rPr>
              <w:t>南京银行股份有限公司</w:t>
            </w:r>
          </w:p>
        </w:tc>
      </w:tr>
    </w:tbl>
    <w:p w:rsidR="003A75ED" w:rsidRDefault="003A75ED">
      <w:pPr>
        <w:widowControl/>
        <w:jc w:val="left"/>
        <w:rPr>
          <w:rFonts w:ascii="宋体" w:hAnsi="宋体" w:cs="宋体"/>
          <w:color w:val="000000"/>
          <w:kern w:val="0"/>
          <w:sz w:val="24"/>
          <w:szCs w:val="24"/>
        </w:rPr>
      </w:pPr>
    </w:p>
    <w:p w:rsidR="003A75ED" w:rsidRDefault="003A75ED">
      <w:pPr>
        <w:pStyle w:val="dazhangjie"/>
        <w:rPr>
          <w:rFonts w:hAnsi="Calibri"/>
          <w:b/>
          <w:color w:val="000000"/>
        </w:rPr>
      </w:pPr>
    </w:p>
    <w:p w:rsidR="003A75ED" w:rsidRDefault="00724FF7">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3A75ED" w:rsidRDefault="003A75ED">
      <w:pPr>
        <w:widowControl/>
        <w:jc w:val="left"/>
        <w:rPr>
          <w:rFonts w:ascii="宋体" w:hAnsi="宋体" w:cs="宋体"/>
          <w:color w:val="000000"/>
          <w:kern w:val="0"/>
          <w:sz w:val="24"/>
          <w:szCs w:val="24"/>
        </w:rPr>
      </w:pPr>
    </w:p>
    <w:p w:rsidR="003A75ED" w:rsidRDefault="00724FF7">
      <w:pPr>
        <w:pStyle w:val="zhangjiep"/>
        <w:rPr>
          <w:color w:val="000000"/>
        </w:rPr>
      </w:pPr>
      <w:r>
        <w:rPr>
          <w:rFonts w:hint="eastAsia"/>
          <w:b/>
          <w:bCs/>
          <w:color w:val="000000"/>
        </w:rPr>
        <w:t xml:space="preserve">2.1 </w:t>
      </w:r>
      <w:r>
        <w:rPr>
          <w:rFonts w:hint="eastAsia"/>
          <w:b/>
          <w:bCs/>
          <w:color w:val="000000"/>
        </w:rPr>
        <w:t>主要财务指标</w:t>
      </w:r>
    </w:p>
    <w:p w:rsidR="003A75ED" w:rsidRDefault="00724FF7">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3A75ED">
        <w:tc>
          <w:tcPr>
            <w:tcW w:w="5220" w:type="dxa"/>
            <w:tcBorders>
              <w:top w:val="single" w:sz="8" w:space="0" w:color="000000"/>
              <w:left w:val="single" w:sz="8" w:space="0" w:color="000000"/>
              <w:bottom w:val="single" w:sz="6" w:space="0" w:color="000000"/>
              <w:right w:val="single" w:sz="8" w:space="0" w:color="000000"/>
            </w:tcBorders>
            <w:vAlign w:val="center"/>
          </w:tcPr>
          <w:p w:rsidR="003A75ED" w:rsidRDefault="00724FF7">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3A75ED" w:rsidRDefault="00724FF7">
            <w:pPr>
              <w:pStyle w:val="dazhangjie"/>
              <w:spacing w:before="240" w:after="120"/>
              <w:rPr>
                <w:color w:val="000000"/>
              </w:rPr>
            </w:pPr>
            <w:r>
              <w:t>报告期（</w:t>
            </w:r>
            <w:r>
              <w:rPr>
                <w:rFonts w:hint="eastAsia"/>
              </w:rPr>
              <w:t>2020</w:t>
            </w:r>
            <w:r>
              <w:rPr>
                <w:rFonts w:hint="eastAsia"/>
              </w:rPr>
              <w:t>年</w:t>
            </w:r>
            <w:r>
              <w:rPr>
                <w:rFonts w:hint="eastAsia"/>
              </w:rPr>
              <w:t>04</w:t>
            </w:r>
            <w:r>
              <w:rPr>
                <w:rFonts w:hint="eastAsia"/>
              </w:rPr>
              <w:t>月</w:t>
            </w:r>
            <w:r>
              <w:rPr>
                <w:rFonts w:hint="eastAsia"/>
              </w:rPr>
              <w:t>08</w:t>
            </w:r>
            <w:r>
              <w:rPr>
                <w:rFonts w:hint="eastAsia"/>
              </w:rPr>
              <w:t>日</w:t>
            </w:r>
            <w:r>
              <w:t>- 2020</w:t>
            </w:r>
            <w:r>
              <w:t>年</w:t>
            </w:r>
            <w:r>
              <w:t>12</w:t>
            </w:r>
            <w:r>
              <w:t>月</w:t>
            </w:r>
            <w:r>
              <w:t>31</w:t>
            </w:r>
            <w:r>
              <w:t>日）</w:t>
            </w:r>
          </w:p>
        </w:tc>
      </w:tr>
      <w:tr w:rsidR="003A75ED">
        <w:tc>
          <w:tcPr>
            <w:tcW w:w="5220" w:type="dxa"/>
            <w:tcBorders>
              <w:top w:val="single" w:sz="8" w:space="0" w:color="000000"/>
              <w:left w:val="single" w:sz="8" w:space="0" w:color="000000"/>
              <w:bottom w:val="single" w:sz="6" w:space="0" w:color="000000"/>
              <w:right w:val="single" w:sz="8" w:space="0" w:color="000000"/>
            </w:tcBorders>
            <w:vAlign w:val="center"/>
          </w:tcPr>
          <w:p w:rsidR="003A75ED" w:rsidRDefault="00724FF7">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3A75ED" w:rsidRDefault="00724FF7">
            <w:pPr>
              <w:pStyle w:val="biaogeright"/>
              <w:jc w:val="center"/>
              <w:rPr>
                <w:color w:val="000000"/>
                <w:highlight w:val="yellow"/>
              </w:rPr>
            </w:pPr>
            <w:r>
              <w:rPr>
                <w:rFonts w:hint="eastAsia"/>
              </w:rPr>
              <w:t>1,425,433,525.69</w:t>
            </w:r>
          </w:p>
        </w:tc>
      </w:tr>
      <w:tr w:rsidR="003A75ED">
        <w:tc>
          <w:tcPr>
            <w:tcW w:w="5220" w:type="dxa"/>
            <w:tcBorders>
              <w:top w:val="single" w:sz="8" w:space="0" w:color="000000"/>
              <w:left w:val="single" w:sz="8" w:space="0" w:color="000000"/>
              <w:bottom w:val="single" w:sz="6" w:space="0" w:color="000000"/>
              <w:right w:val="single" w:sz="8" w:space="0" w:color="000000"/>
            </w:tcBorders>
            <w:vAlign w:val="center"/>
          </w:tcPr>
          <w:p w:rsidR="003A75ED" w:rsidRDefault="00724FF7">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3A75ED" w:rsidRDefault="00724FF7">
            <w:pPr>
              <w:pStyle w:val="biaogeright"/>
              <w:jc w:val="center"/>
              <w:rPr>
                <w:color w:val="000000"/>
                <w:highlight w:val="yellow"/>
              </w:rPr>
            </w:pPr>
            <w:r>
              <w:rPr>
                <w:rFonts w:hint="eastAsia"/>
              </w:rPr>
              <w:t>1.0075</w:t>
            </w:r>
          </w:p>
        </w:tc>
      </w:tr>
      <w:tr w:rsidR="003A75ED">
        <w:tc>
          <w:tcPr>
            <w:tcW w:w="5220" w:type="dxa"/>
            <w:tcBorders>
              <w:top w:val="single" w:sz="8" w:space="0" w:color="000000"/>
              <w:left w:val="single" w:sz="8" w:space="0" w:color="000000"/>
              <w:bottom w:val="single" w:sz="6" w:space="0" w:color="000000"/>
              <w:right w:val="single" w:sz="8" w:space="0" w:color="000000"/>
            </w:tcBorders>
            <w:vAlign w:val="center"/>
          </w:tcPr>
          <w:p w:rsidR="003A75ED" w:rsidRDefault="00724FF7">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3A75ED" w:rsidRDefault="00724FF7">
            <w:pPr>
              <w:pStyle w:val="biaogeright"/>
              <w:jc w:val="center"/>
              <w:rPr>
                <w:color w:val="000000"/>
                <w:highlight w:val="yellow"/>
              </w:rPr>
            </w:pPr>
            <w:r>
              <w:rPr>
                <w:color w:val="000000"/>
              </w:rPr>
              <w:t>1.0338</w:t>
            </w:r>
          </w:p>
        </w:tc>
      </w:tr>
      <w:tr w:rsidR="003A75ED">
        <w:tc>
          <w:tcPr>
            <w:tcW w:w="5220" w:type="dxa"/>
            <w:vAlign w:val="center"/>
          </w:tcPr>
          <w:p w:rsidR="003A75ED" w:rsidRDefault="003A75ED">
            <w:pPr>
              <w:widowControl/>
              <w:jc w:val="left"/>
              <w:rPr>
                <w:rFonts w:ascii="宋体" w:hAnsi="宋体" w:cs="宋体"/>
                <w:color w:val="000000"/>
                <w:kern w:val="0"/>
                <w:sz w:val="24"/>
                <w:szCs w:val="24"/>
              </w:rPr>
            </w:pPr>
          </w:p>
        </w:tc>
        <w:tc>
          <w:tcPr>
            <w:tcW w:w="3825" w:type="dxa"/>
            <w:vAlign w:val="center"/>
          </w:tcPr>
          <w:p w:rsidR="003A75ED" w:rsidRDefault="003A75ED">
            <w:pPr>
              <w:widowControl/>
              <w:jc w:val="left"/>
              <w:rPr>
                <w:color w:val="000000"/>
                <w:kern w:val="0"/>
                <w:sz w:val="20"/>
                <w:szCs w:val="20"/>
              </w:rPr>
            </w:pPr>
          </w:p>
        </w:tc>
      </w:tr>
    </w:tbl>
    <w:p w:rsidR="003A75ED" w:rsidRDefault="003A75ED">
      <w:pPr>
        <w:pStyle w:val="biaogeleft"/>
        <w:ind w:left="0"/>
        <w:rPr>
          <w:color w:val="000000"/>
        </w:rPr>
      </w:pPr>
    </w:p>
    <w:p w:rsidR="003A75ED" w:rsidRDefault="003A75ED">
      <w:pPr>
        <w:widowControl/>
        <w:jc w:val="left"/>
        <w:rPr>
          <w:rFonts w:ascii="宋体" w:hAnsi="宋体" w:cs="宋体"/>
          <w:color w:val="000000"/>
          <w:kern w:val="0"/>
          <w:sz w:val="24"/>
          <w:szCs w:val="24"/>
        </w:rPr>
      </w:pPr>
    </w:p>
    <w:p w:rsidR="003A75ED" w:rsidRDefault="00724FF7">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3A75ED" w:rsidRDefault="00724FF7">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3A75ED" w:rsidRDefault="00724FF7">
      <w:pPr>
        <w:spacing w:line="360" w:lineRule="auto"/>
        <w:ind w:firstLineChars="200" w:firstLine="480"/>
        <w:rPr>
          <w:rFonts w:asciiTheme="minorEastAsia" w:eastAsiaTheme="minorEastAsia" w:hAnsiTheme="minorEastAsia"/>
          <w:sz w:val="24"/>
          <w:szCs w:val="24"/>
        </w:rPr>
      </w:pPr>
      <w:bookmarkStart w:id="0" w:name="_Hlk62552692"/>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Theme="minorEastAsia" w:eastAsiaTheme="minorEastAsia" w:hAnsiTheme="minorEastAsia" w:hint="eastAsia"/>
          <w:sz w:val="24"/>
          <w:szCs w:val="24"/>
        </w:rPr>
        <w:t>6.8%</w:t>
      </w:r>
      <w:r>
        <w:rPr>
          <w:rFonts w:asciiTheme="minorEastAsia" w:eastAsiaTheme="minorEastAsia" w:hAnsiTheme="minorEastAsia" w:hint="eastAsia"/>
          <w:sz w:val="24"/>
          <w:szCs w:val="24"/>
        </w:rPr>
        <w:t>。二季度以来，全国疫情防控和复工复产取得明显成效，在宏观政策不断加大力度的背景下，国内经济呈全面复苏态势，并在世界主要经济体中</w:t>
      </w:r>
      <w:r>
        <w:rPr>
          <w:rFonts w:asciiTheme="minorEastAsia" w:eastAsiaTheme="minorEastAsia" w:hAnsiTheme="minorEastAsia" w:hint="eastAsia"/>
          <w:sz w:val="24"/>
          <w:szCs w:val="24"/>
        </w:rPr>
        <w:lastRenderedPageBreak/>
        <w:t>率先实现正增长。据初步核算，</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年国内生产总值</w:t>
      </w:r>
      <w:r>
        <w:rPr>
          <w:rFonts w:asciiTheme="minorEastAsia" w:eastAsiaTheme="minorEastAsia" w:hAnsiTheme="minorEastAsia" w:hint="eastAsia"/>
          <w:sz w:val="24"/>
          <w:szCs w:val="24"/>
        </w:rPr>
        <w:t>101.6</w:t>
      </w:r>
      <w:r>
        <w:rPr>
          <w:rFonts w:asciiTheme="minorEastAsia" w:eastAsiaTheme="minorEastAsia" w:hAnsiTheme="minorEastAsia" w:hint="eastAsia"/>
          <w:sz w:val="24"/>
          <w:szCs w:val="24"/>
        </w:rPr>
        <w:t>万亿元，同比增长</w:t>
      </w:r>
      <w:r>
        <w:rPr>
          <w:rFonts w:asciiTheme="minorEastAsia" w:eastAsiaTheme="minorEastAsia" w:hAnsiTheme="minorEastAsia" w:hint="eastAsia"/>
          <w:sz w:val="24"/>
          <w:szCs w:val="24"/>
        </w:rPr>
        <w:t>2.3%</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3.8%</w:t>
      </w:r>
      <w:r>
        <w:rPr>
          <w:rFonts w:asciiTheme="minorEastAsia" w:eastAsiaTheme="minorEastAsia" w:hAnsiTheme="minorEastAsia" w:hint="eastAsia"/>
          <w:sz w:val="24"/>
          <w:szCs w:val="24"/>
        </w:rPr>
        <w:t>；全国规模以上工业增加值累计同比增长</w:t>
      </w:r>
      <w:r>
        <w:rPr>
          <w:rFonts w:asciiTheme="minorEastAsia" w:eastAsiaTheme="minorEastAsia" w:hAnsiTheme="minorEastAsia" w:hint="eastAsia"/>
          <w:sz w:val="24"/>
          <w:szCs w:val="24"/>
        </w:rPr>
        <w:t>2.8%</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。全国固定资产投资累计同比</w:t>
      </w:r>
      <w:r>
        <w:rPr>
          <w:rFonts w:asciiTheme="minorEastAsia" w:eastAsiaTheme="minorEastAsia" w:hAnsiTheme="minorEastAsia" w:hint="eastAsia"/>
          <w:sz w:val="24"/>
          <w:szCs w:val="24"/>
        </w:rPr>
        <w:t>增长</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2.5%</w:t>
      </w:r>
      <w:r>
        <w:rPr>
          <w:rFonts w:asciiTheme="minorEastAsia" w:eastAsiaTheme="minorEastAsia" w:hAnsiTheme="minorEastAsia" w:hint="eastAsia"/>
          <w:sz w:val="24"/>
          <w:szCs w:val="24"/>
        </w:rPr>
        <w:t>；社会消费品零售总额</w:t>
      </w:r>
      <w:r>
        <w:rPr>
          <w:rFonts w:asciiTheme="minorEastAsia" w:eastAsiaTheme="minorEastAsia" w:hAnsiTheme="minorEastAsia" w:hint="eastAsia"/>
          <w:sz w:val="24"/>
          <w:szCs w:val="24"/>
        </w:rPr>
        <w:t>391,981</w:t>
      </w:r>
      <w:r>
        <w:rPr>
          <w:rFonts w:asciiTheme="minorEastAsia" w:eastAsiaTheme="minorEastAsia" w:hAnsiTheme="minorEastAsia" w:hint="eastAsia"/>
          <w:sz w:val="24"/>
          <w:szCs w:val="24"/>
        </w:rPr>
        <w:t>亿元，比上年下降</w:t>
      </w:r>
      <w:r>
        <w:rPr>
          <w:rFonts w:asciiTheme="minorEastAsia" w:eastAsiaTheme="minorEastAsia" w:hAnsiTheme="minorEastAsia" w:hint="eastAsia"/>
          <w:sz w:val="24"/>
          <w:szCs w:val="24"/>
        </w:rPr>
        <w:t>3.9%</w:t>
      </w:r>
      <w:r>
        <w:rPr>
          <w:rFonts w:asciiTheme="minorEastAsia" w:eastAsiaTheme="minorEastAsia" w:hAnsiTheme="minorEastAsia" w:hint="eastAsia"/>
          <w:sz w:val="24"/>
          <w:szCs w:val="24"/>
        </w:rPr>
        <w:t>。在外需恢复与供给替代驱动下，</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年我国对外贸易实现正增长，同比增长</w:t>
      </w:r>
      <w:r>
        <w:rPr>
          <w:rFonts w:asciiTheme="minorEastAsia" w:eastAsiaTheme="minorEastAsia" w:hAnsiTheme="minorEastAsia" w:hint="eastAsia"/>
          <w:sz w:val="24"/>
          <w:szCs w:val="24"/>
        </w:rPr>
        <w:t>1.9%</w:t>
      </w:r>
      <w:r>
        <w:rPr>
          <w:rFonts w:asciiTheme="minorEastAsia" w:eastAsiaTheme="minorEastAsia" w:hAnsiTheme="minorEastAsia" w:hint="eastAsia"/>
          <w:sz w:val="24"/>
          <w:szCs w:val="24"/>
        </w:rPr>
        <w:t>，其中出口增长</w:t>
      </w:r>
      <w:r>
        <w:rPr>
          <w:rFonts w:asciiTheme="minorEastAsia" w:eastAsiaTheme="minorEastAsia" w:hAnsiTheme="minorEastAsia" w:hint="eastAsia"/>
          <w:sz w:val="24"/>
          <w:szCs w:val="24"/>
        </w:rPr>
        <w:t>4.0%</w:t>
      </w:r>
      <w:r>
        <w:rPr>
          <w:rFonts w:asciiTheme="minorEastAsia" w:eastAsiaTheme="minorEastAsia" w:hAnsiTheme="minorEastAsia" w:hint="eastAsia"/>
          <w:sz w:val="24"/>
          <w:szCs w:val="24"/>
        </w:rPr>
        <w:t>，进口下降</w:t>
      </w:r>
      <w:r>
        <w:rPr>
          <w:rFonts w:asciiTheme="minorEastAsia" w:eastAsiaTheme="minorEastAsia" w:hAnsiTheme="minorEastAsia" w:hint="eastAsia"/>
          <w:sz w:val="24"/>
          <w:szCs w:val="24"/>
        </w:rPr>
        <w:t>0.7%</w:t>
      </w:r>
      <w:r>
        <w:rPr>
          <w:rFonts w:asciiTheme="minorEastAsia" w:eastAsiaTheme="minorEastAsia" w:hAnsiTheme="minorEastAsia" w:hint="eastAsia"/>
          <w:sz w:val="24"/>
          <w:szCs w:val="24"/>
        </w:rPr>
        <w:t>。</w:t>
      </w:r>
    </w:p>
    <w:p w:rsidR="003A75ED" w:rsidRDefault="00724FF7">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债券市场收益率先下后上，全年波动较大。年初受突发疫情冲击、全球央行货币政策全面放松、央行加大逆周期调节力度等因素影响，市场收益率大幅下行。</w:t>
      </w:r>
      <w:r>
        <w:rPr>
          <w:rFonts w:asciiTheme="minorEastAsia" w:eastAsiaTheme="minorEastAsia" w:hAnsiTheme="minorEastAsia" w:hint="eastAsia"/>
          <w:sz w:val="24"/>
          <w:szCs w:val="24"/>
        </w:rPr>
        <w:t>5</w:t>
      </w:r>
      <w:r>
        <w:rPr>
          <w:rFonts w:asciiTheme="minorEastAsia" w:eastAsiaTheme="minorEastAsia" w:hAnsiTheme="minorEastAsia" w:hint="eastAsia"/>
          <w:sz w:val="24"/>
          <w:szCs w:val="24"/>
        </w:rPr>
        <w:t>月起，我国疫情防控逐步常态化，基本面预期企稳，市场风险偏好回升，同时央行货币政策边际收紧，叠加利率债供给放量等因素共振，推升市场益率走高。进入</w:t>
      </w:r>
      <w:r>
        <w:rPr>
          <w:rFonts w:asciiTheme="minorEastAsia" w:eastAsiaTheme="minorEastAsia" w:hAnsiTheme="minorEastAsia" w:hint="eastAsia"/>
          <w:sz w:val="24"/>
          <w:szCs w:val="24"/>
        </w:rPr>
        <w:t>11</w:t>
      </w:r>
      <w:r>
        <w:rPr>
          <w:rFonts w:asciiTheme="minorEastAsia" w:eastAsiaTheme="minorEastAsia" w:hAnsiTheme="minorEastAsia" w:hint="eastAsia"/>
          <w:sz w:val="24"/>
          <w:szCs w:val="24"/>
        </w:rPr>
        <w:t>月，国企债券违约等信用风险事件导致债券市场出现普遍性调整，信用利差持续走阔。但</w:t>
      </w:r>
      <w:r>
        <w:rPr>
          <w:rFonts w:asciiTheme="minorEastAsia" w:eastAsiaTheme="minorEastAsia" w:hAnsiTheme="minorEastAsia" w:hint="eastAsia"/>
          <w:sz w:val="24"/>
          <w:szCs w:val="24"/>
        </w:rPr>
        <w:t>12</w:t>
      </w:r>
      <w:r>
        <w:rPr>
          <w:rFonts w:asciiTheme="minorEastAsia" w:eastAsiaTheme="minorEastAsia" w:hAnsiTheme="minorEastAsia" w:hint="eastAsia"/>
          <w:sz w:val="24"/>
          <w:szCs w:val="24"/>
        </w:rPr>
        <w:t>月中央关于政策“不急转弯”的基调，明显提振市场情绪，加之央行连续超预期续作</w:t>
      </w:r>
      <w:r>
        <w:rPr>
          <w:rFonts w:asciiTheme="minorEastAsia" w:eastAsiaTheme="minorEastAsia" w:hAnsiTheme="minorEastAsia" w:hint="eastAsia"/>
          <w:sz w:val="24"/>
          <w:szCs w:val="24"/>
        </w:rPr>
        <w:t>MLF</w:t>
      </w:r>
      <w:r>
        <w:rPr>
          <w:rFonts w:asciiTheme="minorEastAsia" w:eastAsiaTheme="minorEastAsia" w:hAnsiTheme="minorEastAsia" w:hint="eastAsia"/>
          <w:sz w:val="24"/>
          <w:szCs w:val="24"/>
        </w:rPr>
        <w:t>，市场流动性充裕，信用事件冲击逐渐缓和，债市走强。整体来看，全年</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年期国债收益率</w:t>
      </w:r>
      <w:r>
        <w:rPr>
          <w:rFonts w:asciiTheme="minorEastAsia" w:eastAsiaTheme="minorEastAsia" w:hAnsiTheme="minorEastAsia" w:hint="eastAsia"/>
          <w:sz w:val="24"/>
          <w:szCs w:val="24"/>
        </w:rPr>
        <w:t>3.14%</w:t>
      </w:r>
      <w:r>
        <w:rPr>
          <w:rFonts w:asciiTheme="minorEastAsia" w:eastAsiaTheme="minorEastAsia" w:hAnsiTheme="minorEastAsia" w:hint="eastAsia"/>
          <w:sz w:val="24"/>
          <w:szCs w:val="24"/>
        </w:rPr>
        <w:t>，较上年末无变化；</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年期国开债收益率下行</w:t>
      </w:r>
      <w:r>
        <w:rPr>
          <w:rFonts w:asciiTheme="minorEastAsia" w:eastAsiaTheme="minorEastAsia" w:hAnsiTheme="minorEastAsia" w:hint="eastAsia"/>
          <w:sz w:val="24"/>
          <w:szCs w:val="24"/>
        </w:rPr>
        <w:t>4bp</w:t>
      </w:r>
      <w:r>
        <w:rPr>
          <w:rFonts w:asciiTheme="minorEastAsia" w:eastAsiaTheme="minorEastAsia" w:hAnsiTheme="minorEastAsia" w:hint="eastAsia"/>
          <w:sz w:val="24"/>
          <w:szCs w:val="24"/>
        </w:rPr>
        <w:t>至</w:t>
      </w:r>
      <w:r>
        <w:rPr>
          <w:rFonts w:asciiTheme="minorEastAsia" w:eastAsiaTheme="minorEastAsia" w:hAnsiTheme="minorEastAsia" w:hint="eastAsia"/>
          <w:sz w:val="24"/>
          <w:szCs w:val="24"/>
        </w:rPr>
        <w:t>3.53%</w:t>
      </w:r>
      <w:r>
        <w:rPr>
          <w:rFonts w:asciiTheme="minorEastAsia" w:eastAsiaTheme="minorEastAsia" w:hAnsiTheme="minorEastAsia" w:hint="eastAsia"/>
          <w:sz w:val="24"/>
          <w:szCs w:val="24"/>
        </w:rPr>
        <w:t>。</w:t>
      </w:r>
    </w:p>
    <w:p w:rsidR="003A75ED" w:rsidRDefault="00724FF7">
      <w:pPr>
        <w:spacing w:line="360" w:lineRule="auto"/>
        <w:ind w:firstLineChars="200" w:firstLine="480"/>
        <w:rPr>
          <w:rFonts w:asciiTheme="minorEastAsia" w:eastAsiaTheme="minorEastAsia" w:hAnsiTheme="minorEastAsia"/>
          <w:sz w:val="24"/>
          <w:szCs w:val="24"/>
        </w:rPr>
      </w:pPr>
      <w:bookmarkStart w:id="1" w:name="_Hlk62552736"/>
      <w:r>
        <w:rPr>
          <w:rFonts w:asciiTheme="minorEastAsia" w:eastAsiaTheme="minorEastAsia" w:hAnsiTheme="minorEastAsia"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bookmarkEnd w:id="1"/>
    </w:p>
    <w:p w:rsidR="003A75ED" w:rsidRDefault="00724FF7">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行稳系列产品操作整体稳健，选择相对价值较优的城投信用债及非标资产作为主要底仓，充分利用杠杆与久期增厚收益；同时把握市场走势，在利率下行阶段实现资本利得收益。基于对后市的判断，目前市场流动性充裕，短期将合理运用杠杆套息策略；同时在严格控制风险的基</w:t>
      </w:r>
      <w:r>
        <w:rPr>
          <w:rFonts w:asciiTheme="minorEastAsia" w:eastAsiaTheme="minorEastAsia" w:hAnsiTheme="minorEastAsia" w:hint="eastAsia"/>
          <w:sz w:val="24"/>
          <w:szCs w:val="24"/>
        </w:rPr>
        <w:t>础上，精选绝对收益尚可的信用债增厚底仓收益。目前中长端利率品种相对价值较弱，产品久期将在稳健中性的基础上，在未来市场震荡调整中把握可能的波段交易机会。</w:t>
      </w:r>
      <w:bookmarkEnd w:id="0"/>
    </w:p>
    <w:p w:rsidR="003A75ED" w:rsidRDefault="00724FF7">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3A75ED" w:rsidRDefault="00724FF7">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020</w:t>
      </w:r>
      <w:r>
        <w:rPr>
          <w:rFonts w:asciiTheme="minorEastAsia" w:eastAsiaTheme="minorEastAsia" w:hAnsiTheme="minorEastAsia" w:hint="eastAsia"/>
          <w:sz w:val="24"/>
          <w:szCs w:val="24"/>
        </w:rPr>
        <w:t>年资金面整体宽松。在市场关键时点，本系列产品提前做好资金储备，保障流动性安全。短期央行或呵护资金面，流动性压力不大；未来需关注资金面边际收紧的风险，本产品将结合资产与负债情况，设置合理的杠杆与久期水平，适度拉长融资期限，控制流动性风险。</w:t>
      </w:r>
    </w:p>
    <w:p w:rsidR="003A75ED" w:rsidRDefault="00724FF7">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3A75ED" w:rsidRDefault="00724FF7">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1.0075</w:t>
      </w:r>
      <w:r>
        <w:rPr>
          <w:rFonts w:hint="eastAsia"/>
          <w:color w:val="000000"/>
        </w:rPr>
        <w:t>元。</w:t>
      </w:r>
    </w:p>
    <w:p w:rsidR="003A75ED" w:rsidRDefault="003A75ED">
      <w:pPr>
        <w:widowControl/>
        <w:jc w:val="left"/>
        <w:rPr>
          <w:rFonts w:ascii="宋体" w:hAnsi="宋体" w:cs="宋体"/>
          <w:color w:val="000000"/>
          <w:kern w:val="0"/>
          <w:sz w:val="24"/>
          <w:szCs w:val="24"/>
        </w:rPr>
      </w:pPr>
    </w:p>
    <w:p w:rsidR="003A75ED" w:rsidRDefault="00724FF7">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3A75ED" w:rsidRDefault="003A75ED">
      <w:pPr>
        <w:pStyle w:val="dazhangjie"/>
        <w:rPr>
          <w:rFonts w:hAnsi="Calibri"/>
          <w:b/>
          <w:color w:val="000000"/>
        </w:rPr>
      </w:pPr>
    </w:p>
    <w:p w:rsidR="003A75ED" w:rsidRDefault="00724FF7">
      <w:pPr>
        <w:pStyle w:val="a8"/>
        <w:rPr>
          <w:b/>
          <w:color w:val="000000"/>
        </w:rPr>
      </w:pPr>
      <w:bookmarkStart w:id="2" w:name="_Hlk65779940"/>
      <w:r>
        <w:rPr>
          <w:rFonts w:hint="eastAsia"/>
          <w:b/>
          <w:color w:val="000000"/>
        </w:rPr>
        <w:t>4.1</w:t>
      </w:r>
      <w:r>
        <w:rPr>
          <w:rFonts w:hint="eastAsia"/>
          <w:b/>
          <w:color w:val="000000"/>
        </w:rPr>
        <w:t>报告期内托管人遵规守信情况声明</w:t>
      </w:r>
    </w:p>
    <w:p w:rsidR="003A75ED" w:rsidRDefault="00724FF7">
      <w:pPr>
        <w:pStyle w:val="biaogeleft"/>
        <w:spacing w:line="360" w:lineRule="auto"/>
        <w:ind w:firstLineChars="200" w:firstLine="480"/>
        <w:rPr>
          <w:rFonts w:cs="Times New Roman"/>
          <w:b/>
          <w:color w:val="000000"/>
        </w:rPr>
      </w:pPr>
      <w:r>
        <w:rPr>
          <w:rFonts w:hint="eastAsia"/>
        </w:rPr>
        <w:t>在托管本产品的过程中，本产品托管人南京银行股份有限公司严格遵守《商业银行理财业务监督管理办法》相关法律法规的规定以及产品说明书的约定，对本产品管理人—南京银行股份有限公司</w:t>
      </w:r>
      <w:r>
        <w:rPr>
          <w:rFonts w:hint="eastAsia"/>
        </w:rPr>
        <w:t>2020</w:t>
      </w:r>
      <w:r>
        <w:rPr>
          <w:rFonts w:hint="eastAsia"/>
        </w:rPr>
        <w:t>年</w:t>
      </w:r>
      <w:r>
        <w:rPr>
          <w:rFonts w:hint="eastAsia"/>
        </w:rPr>
        <w:t>04</w:t>
      </w:r>
      <w:r>
        <w:rPr>
          <w:rFonts w:hint="eastAsia"/>
        </w:rPr>
        <w:t>月</w:t>
      </w:r>
      <w:r>
        <w:rPr>
          <w:rFonts w:hint="eastAsia"/>
        </w:rPr>
        <w:t>08</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日产品的投资运作，进行了认真、独立的会计核算和必要的投资监督，认真履行了托管人的义务，没有从事任何损害产品份额持有人利益的行为。</w:t>
      </w:r>
    </w:p>
    <w:p w:rsidR="003A75ED" w:rsidRDefault="00724FF7">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3A75ED" w:rsidRDefault="00724FF7">
      <w:pPr>
        <w:pStyle w:val="biaogeleft"/>
        <w:spacing w:line="360" w:lineRule="auto"/>
        <w:ind w:firstLine="480"/>
        <w:rPr>
          <w:color w:val="000000"/>
        </w:rPr>
      </w:pPr>
      <w:r>
        <w:rPr>
          <w:rFonts w:hint="eastAsia"/>
        </w:rPr>
        <w:t>本托管人认为，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3A75ED" w:rsidRDefault="00724FF7">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托管人对本年度报告中财务信息等内容的真实、准确和完整发表意见</w:t>
      </w:r>
    </w:p>
    <w:p w:rsidR="003A75ED" w:rsidRDefault="00724FF7">
      <w:pPr>
        <w:pStyle w:val="biaogeleft"/>
        <w:spacing w:line="360" w:lineRule="auto"/>
        <w:ind w:firstLine="480"/>
      </w:pPr>
      <w:r>
        <w:rPr>
          <w:rFonts w:hint="eastAsia"/>
        </w:rPr>
        <w:t>本托管人认为，南京银行股份有限公司的信息披露事务符合《商业银行理财业务监督管理办法》及其他相关法律法规的规定，产品管理人所编制和披露的本产品年度报告中的财务指标、净值表现、</w:t>
      </w:r>
      <w:r>
        <w:rPr>
          <w:rFonts w:hint="eastAsia"/>
        </w:rPr>
        <w:t>财务会计报告、投资组合报告等信息真实、准确、完整，未发现有损害产品持有人利益的行为。</w:t>
      </w:r>
      <w:bookmarkEnd w:id="2"/>
    </w:p>
    <w:p w:rsidR="003A75ED" w:rsidRDefault="003A75ED">
      <w:pPr>
        <w:pStyle w:val="biaogeleft"/>
        <w:spacing w:line="360" w:lineRule="auto"/>
        <w:ind w:firstLine="480"/>
        <w:rPr>
          <w:color w:val="000000"/>
        </w:rPr>
      </w:pPr>
    </w:p>
    <w:p w:rsidR="003A75ED" w:rsidRDefault="00724FF7">
      <w:pPr>
        <w:pStyle w:val="dazhangjie"/>
      </w:pPr>
      <w:bookmarkStart w:id="3"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3"/>
    </w:p>
    <w:p w:rsidR="003A75ED" w:rsidRDefault="003A75ED">
      <w:pPr>
        <w:widowControl/>
        <w:jc w:val="left"/>
        <w:rPr>
          <w:rFonts w:ascii="宋体" w:hAnsi="宋体" w:cs="宋体"/>
          <w:kern w:val="0"/>
          <w:sz w:val="24"/>
          <w:szCs w:val="24"/>
        </w:rPr>
      </w:pPr>
    </w:p>
    <w:p w:rsidR="003A75ED" w:rsidRDefault="00724FF7">
      <w:pPr>
        <w:pStyle w:val="zhangjiep"/>
      </w:pPr>
      <w:bookmarkStart w:id="4" w:name="_Toc61271615"/>
      <w:r>
        <w:rPr>
          <w:rFonts w:hint="eastAsia"/>
          <w:b/>
          <w:bCs/>
        </w:rPr>
        <w:t xml:space="preserve">5.1 </w:t>
      </w:r>
      <w:r>
        <w:rPr>
          <w:rFonts w:hint="eastAsia"/>
          <w:b/>
          <w:bCs/>
        </w:rPr>
        <w:t>资产负债表</w:t>
      </w:r>
      <w:bookmarkEnd w:id="4"/>
    </w:p>
    <w:p w:rsidR="003A75ED" w:rsidRDefault="00724FF7">
      <w:pPr>
        <w:pStyle w:val="biaogeleft"/>
      </w:pPr>
      <w:r>
        <w:rPr>
          <w:rFonts w:hint="eastAsia"/>
        </w:rPr>
        <w:t>会计主体：南京银行珠联璧合行稳</w:t>
      </w:r>
      <w:r>
        <w:rPr>
          <w:rFonts w:hint="eastAsia"/>
        </w:rPr>
        <w:t>2004</w:t>
      </w:r>
      <w:r>
        <w:rPr>
          <w:rFonts w:hint="eastAsia"/>
        </w:rPr>
        <w:t>半年定开公募人民币理财产品</w:t>
      </w:r>
    </w:p>
    <w:p w:rsidR="003A75ED" w:rsidRDefault="00724FF7">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3A75ED" w:rsidRDefault="00724FF7">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208" w:type="dxa"/>
        <w:tblInd w:w="108" w:type="dxa"/>
        <w:tblLayout w:type="fixed"/>
        <w:tblLook w:val="04A0"/>
      </w:tblPr>
      <w:tblGrid>
        <w:gridCol w:w="3660"/>
        <w:gridCol w:w="3548"/>
      </w:tblGrid>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center"/>
              <w:wordWrap w:val="0"/>
            </w:pPr>
            <w:r>
              <w:rPr>
                <w:rFonts w:hAnsi="Calibri" w:hint="eastAsia"/>
                <w:color w:val="000000"/>
              </w:rPr>
              <w:t>本期末</w:t>
            </w:r>
            <w:r>
              <w:rPr>
                <w:rFonts w:hAnsi="Calibri" w:hint="eastAsia"/>
                <w:color w:val="000000"/>
              </w:rPr>
              <w:t> </w:t>
            </w:r>
          </w:p>
          <w:p w:rsidR="003A75ED" w:rsidRDefault="00724FF7">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hint="eastAsia"/>
                <w:b/>
                <w:bCs/>
              </w:rPr>
              <w:t>资</w:t>
            </w:r>
            <w:r>
              <w:rPr>
                <w:rFonts w:hint="eastAsia"/>
                <w:b/>
                <w:bCs/>
              </w:rPr>
              <w:t xml:space="preserve"> </w:t>
            </w:r>
            <w:r>
              <w:rPr>
                <w:rFonts w:hint="eastAsia"/>
                <w:b/>
                <w:bCs/>
              </w:rPr>
              <w:t>产：</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center"/>
              <w:wordWrap w:val="0"/>
            </w:pPr>
            <w:r>
              <w:rPr>
                <w:rFonts w:hint="eastAsia"/>
              </w:rPr>
              <w:t> </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t xml:space="preserve">    </w:t>
            </w:r>
            <w:r>
              <w:rPr>
                <w:rFonts w:cs="Arial" w:hint="eastAsia"/>
                <w:color w:val="000000"/>
              </w:rPr>
              <w:t>银行存款</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7,239,055.93</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t xml:space="preserve">    </w:t>
            </w:r>
            <w:r>
              <w:rPr>
                <w:rFonts w:cs="Arial" w:hint="eastAsia"/>
                <w:color w:val="000000"/>
              </w:rPr>
              <w:t>结算备付金</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0.00</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lastRenderedPageBreak/>
              <w:t xml:space="preserve">    </w:t>
            </w:r>
            <w:r>
              <w:rPr>
                <w:rFonts w:cs="Arial" w:hint="eastAsia"/>
                <w:color w:val="000000"/>
              </w:rPr>
              <w:t>存出保证金</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12,360.83</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t xml:space="preserve">    </w:t>
            </w:r>
            <w:r>
              <w:rPr>
                <w:rFonts w:cs="Arial" w:hint="eastAsia"/>
                <w:color w:val="000000"/>
              </w:rPr>
              <w:t>交易性金融资产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1,047,736,674.74</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t xml:space="preserve">    </w:t>
            </w:r>
            <w:r>
              <w:rPr>
                <w:rFonts w:cs="Arial" w:hint="eastAsia"/>
                <w:color w:val="000000"/>
              </w:rPr>
              <w:t>其中：股票投资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0.00</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ind w:left="750"/>
            </w:pPr>
            <w:r>
              <w:rPr>
                <w:rFonts w:cs="Arial" w:hint="eastAsia"/>
                <w:color w:val="000000"/>
              </w:rPr>
              <w:t xml:space="preserve">    </w:t>
            </w:r>
            <w:r>
              <w:rPr>
                <w:rFonts w:cs="Arial" w:hint="eastAsia"/>
                <w:color w:val="000000"/>
              </w:rPr>
              <w:t>债券投资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1,047,736,674.74</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ind w:left="750"/>
            </w:pPr>
            <w:r>
              <w:rPr>
                <w:rFonts w:cs="Arial" w:hint="eastAsia"/>
                <w:color w:val="000000"/>
              </w:rPr>
              <w:t xml:space="preserve">    </w:t>
            </w:r>
            <w:r>
              <w:rPr>
                <w:rFonts w:cs="Arial" w:hint="eastAsia"/>
                <w:color w:val="000000"/>
              </w:rPr>
              <w:t>基金投资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0.00</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ind w:left="750"/>
            </w:pPr>
            <w:r>
              <w:rPr>
                <w:rFonts w:cs="Arial" w:hint="eastAsia"/>
                <w:color w:val="000000"/>
              </w:rPr>
              <w:t>权证投资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0.00</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ind w:left="750"/>
            </w:pPr>
            <w:r>
              <w:rPr>
                <w:rFonts w:cs="Arial" w:hint="eastAsia"/>
                <w:color w:val="000000"/>
              </w:rPr>
              <w:t xml:space="preserve">    </w:t>
            </w:r>
            <w:r>
              <w:rPr>
                <w:rFonts w:cs="Arial" w:hint="eastAsia"/>
                <w:color w:val="000000"/>
              </w:rPr>
              <w:t>资产支持证券投资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0.00</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t xml:space="preserve">    </w:t>
            </w:r>
            <w:r>
              <w:rPr>
                <w:rFonts w:cs="Arial" w:hint="eastAsia"/>
                <w:color w:val="000000"/>
              </w:rPr>
              <w:t>衍生金融工具</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0.00</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t xml:space="preserve">    </w:t>
            </w:r>
            <w:r>
              <w:rPr>
                <w:rFonts w:cs="Arial" w:hint="eastAsia"/>
                <w:color w:val="000000"/>
              </w:rPr>
              <w:t>买入返售金融资产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0.00</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t xml:space="preserve">    </w:t>
            </w:r>
            <w:r>
              <w:rPr>
                <w:rFonts w:cs="Arial" w:hint="eastAsia"/>
                <w:color w:val="000000"/>
              </w:rPr>
              <w:t>应收证券清算款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0.00</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t xml:space="preserve">    </w:t>
            </w:r>
            <w:r>
              <w:rPr>
                <w:rFonts w:cs="Arial" w:hint="eastAsia"/>
                <w:color w:val="000000"/>
              </w:rPr>
              <w:t>应收利息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54,948,590.21</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t xml:space="preserve">    </w:t>
            </w:r>
            <w:r>
              <w:rPr>
                <w:rFonts w:cs="Arial" w:hint="eastAsia"/>
                <w:color w:val="000000"/>
              </w:rPr>
              <w:t>应收股利</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990,136.99</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t xml:space="preserve">    </w:t>
            </w:r>
            <w:r>
              <w:rPr>
                <w:rFonts w:cs="Arial" w:hint="eastAsia"/>
                <w:color w:val="000000"/>
              </w:rPr>
              <w:t>应收申购款</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0.00</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t xml:space="preserve">    </w:t>
            </w:r>
            <w:r>
              <w:rPr>
                <w:rFonts w:cs="Arial" w:hint="eastAsia"/>
                <w:color w:val="000000"/>
              </w:rPr>
              <w:t>贷款</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0.00</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t xml:space="preserve">    </w:t>
            </w:r>
            <w:r>
              <w:rPr>
                <w:rFonts w:cs="Arial" w:hint="eastAsia"/>
                <w:color w:val="000000"/>
              </w:rPr>
              <w:t>代理业务资产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0.00</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t xml:space="preserve">    </w:t>
            </w:r>
            <w:r>
              <w:rPr>
                <w:rFonts w:cs="Arial" w:hint="eastAsia"/>
                <w:color w:val="000000"/>
              </w:rPr>
              <w:t>融资租赁资产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0.00</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t xml:space="preserve">    </w:t>
            </w:r>
            <w:r>
              <w:rPr>
                <w:rFonts w:cs="Arial" w:hint="eastAsia"/>
                <w:color w:val="000000"/>
              </w:rPr>
              <w:t>可供出售金融资产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0.00</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t xml:space="preserve">    </w:t>
            </w:r>
            <w:r>
              <w:rPr>
                <w:rFonts w:cs="Arial" w:hint="eastAsia"/>
                <w:color w:val="000000"/>
              </w:rPr>
              <w:t>持有至到期投资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300,000,000.00</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t xml:space="preserve">    </w:t>
            </w:r>
            <w:r>
              <w:rPr>
                <w:rFonts w:cs="Arial" w:hint="eastAsia"/>
                <w:color w:val="000000"/>
              </w:rPr>
              <w:t>长期股权投资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0.00</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t xml:space="preserve">    </w:t>
            </w:r>
            <w:r>
              <w:rPr>
                <w:rFonts w:cs="Arial" w:hint="eastAsia"/>
                <w:color w:val="000000"/>
              </w:rPr>
              <w:t>长期应收款</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0.00</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t xml:space="preserve">    </w:t>
            </w:r>
            <w:r>
              <w:rPr>
                <w:rFonts w:cs="Arial" w:hint="eastAsia"/>
                <w:color w:val="000000"/>
              </w:rPr>
              <w:t>其他资产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20,000,000.00</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b/>
                <w:bCs/>
                <w:color w:val="000000"/>
              </w:rPr>
              <w:t xml:space="preserve">   </w:t>
            </w:r>
            <w:r>
              <w:rPr>
                <w:rFonts w:cs="Arial" w:hint="eastAsia"/>
                <w:b/>
                <w:bCs/>
                <w:color w:val="000000"/>
              </w:rPr>
              <w:t>资产总计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1,430,926,818.70</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center"/>
              <w:wordWrap w:val="0"/>
            </w:pPr>
            <w:r>
              <w:rPr>
                <w:rFonts w:hint="eastAsia"/>
                <w:b/>
                <w:bCs/>
              </w:rPr>
              <w:t>负债和所有者权益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center"/>
              <w:wordWrap w:val="0"/>
            </w:pPr>
            <w:r>
              <w:rPr>
                <w:rFonts w:hint="eastAsia"/>
              </w:rPr>
              <w:t>本期末</w:t>
            </w:r>
            <w:r>
              <w:rPr>
                <w:rFonts w:hint="eastAsia"/>
              </w:rPr>
              <w:t> </w:t>
            </w:r>
          </w:p>
          <w:p w:rsidR="003A75ED" w:rsidRDefault="00724FF7">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hint="eastAsia"/>
                <w:b/>
                <w:bCs/>
              </w:rPr>
              <w:t>负</w:t>
            </w:r>
            <w:r>
              <w:rPr>
                <w:rFonts w:hint="eastAsia"/>
                <w:b/>
                <w:bCs/>
              </w:rPr>
              <w:t xml:space="preserve"> </w:t>
            </w:r>
            <w:r>
              <w:rPr>
                <w:rFonts w:hint="eastAsia"/>
                <w:b/>
                <w:bCs/>
              </w:rPr>
              <w:t>债：</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center"/>
              <w:wordWrap w:val="0"/>
            </w:pPr>
            <w:r>
              <w:rPr>
                <w:rFonts w:hint="eastAsia"/>
              </w:rPr>
              <w:t> </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t xml:space="preserve">    </w:t>
            </w:r>
            <w:r>
              <w:rPr>
                <w:rFonts w:cs="Arial" w:hint="eastAsia"/>
                <w:color w:val="000000"/>
              </w:rPr>
              <w:t>短期借款</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0.00</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t xml:space="preserve">    </w:t>
            </w:r>
            <w:r>
              <w:rPr>
                <w:rFonts w:cs="Arial" w:hint="eastAsia"/>
                <w:color w:val="000000"/>
              </w:rPr>
              <w:t>交易性金融负债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0.00</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t xml:space="preserve">    </w:t>
            </w:r>
            <w:r>
              <w:rPr>
                <w:rFonts w:cs="Arial" w:hint="eastAsia"/>
                <w:color w:val="000000"/>
              </w:rPr>
              <w:t>衍生金融负债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0.00</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t xml:space="preserve">    </w:t>
            </w:r>
            <w:r>
              <w:rPr>
                <w:rFonts w:cs="Arial" w:hint="eastAsia"/>
                <w:color w:val="000000"/>
              </w:rPr>
              <w:t>卖出回购金融资产款</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0.00</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t xml:space="preserve">    </w:t>
            </w:r>
            <w:r>
              <w:rPr>
                <w:rFonts w:cs="Arial" w:hint="eastAsia"/>
                <w:color w:val="000000"/>
              </w:rPr>
              <w:t>应付证券清算款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0.00</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t xml:space="preserve">    </w:t>
            </w:r>
            <w:r>
              <w:rPr>
                <w:rFonts w:cs="Arial" w:hint="eastAsia"/>
                <w:color w:val="000000"/>
              </w:rPr>
              <w:t>应付赎回款</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0.00</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t xml:space="preserve">    </w:t>
            </w:r>
            <w:r>
              <w:rPr>
                <w:rFonts w:cs="Arial" w:hint="eastAsia"/>
                <w:color w:val="000000"/>
              </w:rPr>
              <w:t>应付管理人报酬</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3,127,903.19</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t xml:space="preserve">    </w:t>
            </w:r>
            <w:r>
              <w:rPr>
                <w:rFonts w:cs="Arial" w:hint="eastAsia"/>
                <w:color w:val="000000"/>
              </w:rPr>
              <w:t>应付托管费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160,933.80</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lastRenderedPageBreak/>
              <w:t xml:space="preserve">    </w:t>
            </w:r>
            <w:r>
              <w:rPr>
                <w:rFonts w:cs="Arial" w:hint="eastAsia"/>
                <w:color w:val="000000"/>
              </w:rPr>
              <w:t>应付销售服务费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1,609,340.04</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t xml:space="preserve">    </w:t>
            </w:r>
            <w:r>
              <w:rPr>
                <w:rFonts w:cs="Arial" w:hint="eastAsia"/>
                <w:color w:val="000000"/>
              </w:rPr>
              <w:t>应付交易费用</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1,299.87</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t xml:space="preserve">    </w:t>
            </w:r>
            <w:r>
              <w:rPr>
                <w:rFonts w:cs="Arial" w:hint="eastAsia"/>
                <w:color w:val="000000"/>
              </w:rPr>
              <w:t>应交税费</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593,816.11</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t xml:space="preserve">    </w:t>
            </w:r>
            <w:r>
              <w:rPr>
                <w:rFonts w:cs="Arial" w:hint="eastAsia"/>
                <w:color w:val="000000"/>
              </w:rPr>
              <w:t>应付利息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0.00</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t xml:space="preserve">    </w:t>
            </w:r>
            <w:r>
              <w:rPr>
                <w:rFonts w:cs="Arial" w:hint="eastAsia"/>
                <w:color w:val="000000"/>
              </w:rPr>
              <w:t>应付利润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0.00</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t xml:space="preserve">    </w:t>
            </w:r>
            <w:r>
              <w:rPr>
                <w:rFonts w:cs="Arial" w:hint="eastAsia"/>
                <w:color w:val="000000"/>
              </w:rPr>
              <w:t>其他负债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0.00</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b/>
                <w:bCs/>
                <w:color w:val="000000"/>
              </w:rPr>
              <w:t xml:space="preserve">   </w:t>
            </w:r>
            <w:r>
              <w:rPr>
                <w:rFonts w:cs="Arial" w:hint="eastAsia"/>
                <w:b/>
                <w:bCs/>
                <w:color w:val="000000"/>
              </w:rPr>
              <w:t>负债合计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5,493,293.01</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hint="eastAsia"/>
                <w:b/>
                <w:bCs/>
              </w:rPr>
              <w:t>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center"/>
              <w:wordWrap w:val="0"/>
            </w:pPr>
            <w:r>
              <w:rPr>
                <w:rFonts w:hint="eastAsia"/>
              </w:rPr>
              <w:t> </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t xml:space="preserve">    </w:t>
            </w:r>
            <w:r>
              <w:rPr>
                <w:rFonts w:cs="Arial" w:hint="eastAsia"/>
                <w:color w:val="000000"/>
              </w:rPr>
              <w:t>实收基金</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1,414,772,307.37</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t xml:space="preserve">    </w:t>
            </w:r>
            <w:r>
              <w:rPr>
                <w:rFonts w:cs="Arial" w:hint="eastAsia"/>
                <w:color w:val="000000"/>
              </w:rPr>
              <w:t>资本公积</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0.00</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color w:val="000000"/>
              </w:rPr>
              <w:t xml:space="preserve">    </w:t>
            </w:r>
            <w:r>
              <w:rPr>
                <w:rFonts w:cs="Arial" w:hint="eastAsia"/>
                <w:color w:val="000000"/>
              </w:rPr>
              <w:t>未分配利润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10,661,218.32</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b/>
                <w:bCs/>
                <w:color w:val="000000"/>
              </w:rPr>
              <w:t xml:space="preserve">    </w:t>
            </w:r>
            <w:r>
              <w:rPr>
                <w:rFonts w:cs="Arial" w:hint="eastAsia"/>
                <w:b/>
                <w:bCs/>
                <w:color w:val="000000"/>
              </w:rPr>
              <w:t>所有者权益合计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1,425,433,525.69</w:t>
            </w:r>
          </w:p>
        </w:tc>
      </w:tr>
      <w:tr w:rsidR="003A75ED">
        <w:tc>
          <w:tcPr>
            <w:tcW w:w="3660"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cs="Arial" w:hint="eastAsia"/>
                <w:b/>
                <w:bCs/>
                <w:color w:val="000000"/>
              </w:rPr>
              <w:t xml:space="preserve">   </w:t>
            </w:r>
            <w:r>
              <w:rPr>
                <w:rFonts w:cs="Arial" w:hint="eastAsia"/>
                <w:b/>
                <w:bCs/>
                <w:color w:val="000000"/>
              </w:rPr>
              <w:t>负债和所有者权益总计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cs="Arial" w:hint="eastAsia"/>
                <w:color w:val="000000"/>
              </w:rPr>
              <w:t>1,430,926,818.70</w:t>
            </w:r>
          </w:p>
        </w:tc>
      </w:tr>
    </w:tbl>
    <w:p w:rsidR="003A75ED" w:rsidRDefault="003A75ED">
      <w:pPr>
        <w:widowControl/>
        <w:jc w:val="left"/>
        <w:rPr>
          <w:rFonts w:ascii="宋体" w:hAnsi="宋体" w:cs="宋体"/>
          <w:kern w:val="0"/>
          <w:sz w:val="24"/>
          <w:szCs w:val="24"/>
        </w:rPr>
      </w:pPr>
    </w:p>
    <w:p w:rsidR="003A75ED" w:rsidRDefault="00724FF7">
      <w:pPr>
        <w:pStyle w:val="zhangjiep"/>
      </w:pPr>
      <w:bookmarkStart w:id="5" w:name="_Toc61425790"/>
      <w:r>
        <w:rPr>
          <w:rFonts w:hint="eastAsia"/>
          <w:b/>
          <w:bCs/>
        </w:rPr>
        <w:t xml:space="preserve">5.2 </w:t>
      </w:r>
      <w:r>
        <w:rPr>
          <w:rFonts w:hint="eastAsia"/>
          <w:b/>
          <w:bCs/>
        </w:rPr>
        <w:t>利润表</w:t>
      </w:r>
      <w:bookmarkEnd w:id="5"/>
    </w:p>
    <w:p w:rsidR="003A75ED" w:rsidRDefault="00724FF7">
      <w:pPr>
        <w:pStyle w:val="biaogeleft"/>
      </w:pPr>
      <w:r>
        <w:rPr>
          <w:rFonts w:hint="eastAsia"/>
        </w:rPr>
        <w:t>会计主体：南京银行珠联璧合行稳</w:t>
      </w:r>
      <w:r>
        <w:rPr>
          <w:rFonts w:hint="eastAsia"/>
        </w:rPr>
        <w:t>2004</w:t>
      </w:r>
      <w:r>
        <w:rPr>
          <w:rFonts w:hint="eastAsia"/>
        </w:rPr>
        <w:t>半年定开公募人民币理财产品</w:t>
      </w:r>
    </w:p>
    <w:p w:rsidR="003A75ED" w:rsidRDefault="00724FF7">
      <w:pPr>
        <w:pStyle w:val="biaogeleft"/>
      </w:pPr>
      <w:r>
        <w:rPr>
          <w:rFonts w:hint="eastAsia"/>
        </w:rPr>
        <w:t>本报告期：</w:t>
      </w:r>
      <w:r>
        <w:rPr>
          <w:rFonts w:hint="eastAsia"/>
        </w:rPr>
        <w:t>2020</w:t>
      </w:r>
      <w:r>
        <w:rPr>
          <w:rFonts w:hint="eastAsia"/>
        </w:rPr>
        <w:t>年</w:t>
      </w:r>
      <w:r>
        <w:rPr>
          <w:rFonts w:hint="eastAsia"/>
        </w:rPr>
        <w:t>04</w:t>
      </w:r>
      <w:r>
        <w:rPr>
          <w:rFonts w:hint="eastAsia"/>
        </w:rPr>
        <w:t>月</w:t>
      </w:r>
      <w:r>
        <w:rPr>
          <w:rFonts w:hint="eastAsia"/>
        </w:rPr>
        <w:t>08</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3A75ED" w:rsidRDefault="00724FF7">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3A75ED">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hint="eastAsia"/>
              </w:rPr>
              <w:t>2020</w:t>
            </w:r>
            <w:r>
              <w:rPr>
                <w:rFonts w:hint="eastAsia"/>
              </w:rPr>
              <w:t>年</w:t>
            </w:r>
            <w:r>
              <w:rPr>
                <w:rFonts w:hint="eastAsia"/>
              </w:rPr>
              <w:t>04</w:t>
            </w:r>
            <w:r>
              <w:rPr>
                <w:rFonts w:hint="eastAsia"/>
              </w:rPr>
              <w:t>月</w:t>
            </w:r>
            <w:r>
              <w:rPr>
                <w:rFonts w:hint="eastAsia"/>
              </w:rPr>
              <w:t>08</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3A75ED">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3A75ED" w:rsidRDefault="003A75ED">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3A75ED" w:rsidRDefault="003A75ED">
            <w:pPr>
              <w:widowControl/>
              <w:jc w:val="left"/>
              <w:rPr>
                <w:rFonts w:asciiTheme="minorEastAsia" w:eastAsiaTheme="minorEastAsia" w:hAnsiTheme="minorEastAsia" w:cs="宋体"/>
                <w:kern w:val="0"/>
                <w:sz w:val="24"/>
                <w:szCs w:val="24"/>
              </w:rPr>
            </w:pPr>
          </w:p>
        </w:tc>
      </w:tr>
      <w:tr w:rsidR="003A75ED">
        <w:tc>
          <w:tcPr>
            <w:tcW w:w="296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rPr>
                <w:rFonts w:asciiTheme="minorEastAsia" w:eastAsiaTheme="minorEastAsia" w:hAnsiTheme="minorEastAsia"/>
              </w:rPr>
            </w:pPr>
            <w:r>
              <w:rPr>
                <w:rFonts w:cs="Arial" w:hint="eastAsia"/>
                <w:b/>
                <w:bCs/>
                <w:color w:val="000000"/>
              </w:rPr>
              <w:t>42,303,466.71</w:t>
            </w:r>
          </w:p>
        </w:tc>
      </w:tr>
      <w:tr w:rsidR="003A75ED">
        <w:tc>
          <w:tcPr>
            <w:tcW w:w="296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rPr>
                <w:rFonts w:asciiTheme="minorEastAsia" w:eastAsiaTheme="minorEastAsia" w:hAnsiTheme="minorEastAsia"/>
              </w:rPr>
            </w:pPr>
            <w:r>
              <w:rPr>
                <w:rFonts w:cs="Arial" w:hint="eastAsia"/>
                <w:color w:val="000000"/>
              </w:rPr>
              <w:t>44,160,021.70</w:t>
            </w:r>
          </w:p>
        </w:tc>
      </w:tr>
      <w:tr w:rsidR="003A75ED">
        <w:tc>
          <w:tcPr>
            <w:tcW w:w="296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rPr>
                <w:rFonts w:asciiTheme="minorEastAsia" w:eastAsiaTheme="minorEastAsia" w:hAnsiTheme="minorEastAsia"/>
              </w:rPr>
            </w:pPr>
            <w:r>
              <w:rPr>
                <w:rFonts w:cs="Arial" w:hint="eastAsia"/>
                <w:color w:val="000000"/>
              </w:rPr>
              <w:t>86,776.67</w:t>
            </w:r>
          </w:p>
        </w:tc>
      </w:tr>
      <w:tr w:rsidR="003A75ED">
        <w:tc>
          <w:tcPr>
            <w:tcW w:w="296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rPr>
                <w:rFonts w:asciiTheme="minorEastAsia" w:eastAsiaTheme="minorEastAsia" w:hAnsiTheme="minorEastAsia"/>
              </w:rPr>
            </w:pPr>
            <w:r>
              <w:rPr>
                <w:rFonts w:cs="Arial" w:hint="eastAsia"/>
                <w:color w:val="000000"/>
              </w:rPr>
              <w:t>44,054,098.04</w:t>
            </w:r>
          </w:p>
        </w:tc>
      </w:tr>
      <w:tr w:rsidR="003A75ED">
        <w:tc>
          <w:tcPr>
            <w:tcW w:w="296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rPr>
                <w:rFonts w:asciiTheme="minorEastAsia" w:eastAsiaTheme="minorEastAsia" w:hAnsiTheme="minorEastAsia"/>
              </w:rPr>
            </w:pPr>
            <w:r>
              <w:rPr>
                <w:rFonts w:cs="Arial" w:hint="eastAsia"/>
                <w:color w:val="000000"/>
              </w:rPr>
              <w:t>0.00</w:t>
            </w:r>
          </w:p>
        </w:tc>
      </w:tr>
      <w:tr w:rsidR="003A75ED">
        <w:tc>
          <w:tcPr>
            <w:tcW w:w="296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rPr>
                <w:rFonts w:asciiTheme="minorEastAsia" w:eastAsiaTheme="minorEastAsia" w:hAnsiTheme="minorEastAsia"/>
              </w:rPr>
            </w:pPr>
            <w:r>
              <w:rPr>
                <w:rFonts w:cs="Arial" w:hint="eastAsia"/>
                <w:color w:val="000000"/>
              </w:rPr>
              <w:t>19,146.99</w:t>
            </w:r>
          </w:p>
        </w:tc>
      </w:tr>
      <w:tr w:rsidR="003A75ED">
        <w:tc>
          <w:tcPr>
            <w:tcW w:w="296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rPr>
                <w:rFonts w:asciiTheme="minorEastAsia" w:eastAsiaTheme="minorEastAsia" w:hAnsiTheme="minorEastAsia"/>
              </w:rPr>
            </w:pPr>
            <w:r>
              <w:rPr>
                <w:rFonts w:ascii="Arial" w:hAnsi="Arial" w:cs="Arial"/>
                <w:color w:val="000000"/>
              </w:rPr>
              <w:t xml:space="preserve">　</w:t>
            </w:r>
          </w:p>
        </w:tc>
      </w:tr>
      <w:tr w:rsidR="003A75ED">
        <w:tc>
          <w:tcPr>
            <w:tcW w:w="296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rPr>
                <w:rFonts w:asciiTheme="minorEastAsia" w:eastAsiaTheme="minorEastAsia" w:hAnsiTheme="minorEastAsia"/>
              </w:rPr>
            </w:pPr>
            <w:r>
              <w:rPr>
                <w:rFonts w:cs="Arial" w:hint="eastAsia"/>
                <w:color w:val="000000"/>
              </w:rPr>
              <w:t>-1,421,290.01</w:t>
            </w:r>
          </w:p>
        </w:tc>
      </w:tr>
      <w:tr w:rsidR="003A75ED">
        <w:tc>
          <w:tcPr>
            <w:tcW w:w="296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rPr>
                <w:rFonts w:asciiTheme="minorEastAsia" w:eastAsiaTheme="minorEastAsia" w:hAnsiTheme="minorEastAsia"/>
              </w:rPr>
            </w:pPr>
            <w:r>
              <w:rPr>
                <w:rFonts w:cs="Arial" w:hint="eastAsia"/>
                <w:color w:val="000000"/>
              </w:rPr>
              <w:t>0.00</w:t>
            </w:r>
          </w:p>
        </w:tc>
      </w:tr>
      <w:tr w:rsidR="003A75ED">
        <w:tc>
          <w:tcPr>
            <w:tcW w:w="296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rPr>
                <w:rFonts w:asciiTheme="minorEastAsia" w:eastAsiaTheme="minorEastAsia" w:hAnsiTheme="minorEastAsia"/>
              </w:rPr>
            </w:pPr>
            <w:r>
              <w:rPr>
                <w:rFonts w:cs="Arial" w:hint="eastAsia"/>
                <w:color w:val="000000"/>
              </w:rPr>
              <w:t>0.00</w:t>
            </w:r>
          </w:p>
        </w:tc>
      </w:tr>
      <w:tr w:rsidR="003A75ED">
        <w:tc>
          <w:tcPr>
            <w:tcW w:w="296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lastRenderedPageBreak/>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rPr>
                <w:rFonts w:asciiTheme="minorEastAsia" w:eastAsiaTheme="minorEastAsia" w:hAnsiTheme="minorEastAsia"/>
              </w:rPr>
            </w:pPr>
            <w:r>
              <w:rPr>
                <w:rFonts w:cs="Arial" w:hint="eastAsia"/>
                <w:color w:val="000000"/>
              </w:rPr>
              <w:t>-1,442,420.00</w:t>
            </w:r>
          </w:p>
        </w:tc>
      </w:tr>
      <w:tr w:rsidR="003A75ED">
        <w:tc>
          <w:tcPr>
            <w:tcW w:w="296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rPr>
                <w:rFonts w:asciiTheme="minorEastAsia" w:eastAsiaTheme="minorEastAsia" w:hAnsiTheme="minorEastAsia"/>
              </w:rPr>
            </w:pPr>
            <w:r>
              <w:rPr>
                <w:rFonts w:cs="Arial" w:hint="eastAsia"/>
                <w:color w:val="000000"/>
              </w:rPr>
              <w:t>0.00</w:t>
            </w:r>
          </w:p>
        </w:tc>
      </w:tr>
      <w:tr w:rsidR="003A75ED">
        <w:tc>
          <w:tcPr>
            <w:tcW w:w="296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rPr>
                <w:rFonts w:asciiTheme="minorEastAsia" w:eastAsiaTheme="minorEastAsia" w:hAnsiTheme="minorEastAsia"/>
              </w:rPr>
            </w:pPr>
            <w:r>
              <w:rPr>
                <w:rFonts w:cs="Arial" w:hint="eastAsia"/>
                <w:color w:val="000000"/>
              </w:rPr>
              <w:t>0.00</w:t>
            </w:r>
          </w:p>
        </w:tc>
      </w:tr>
      <w:tr w:rsidR="003A75ED">
        <w:tc>
          <w:tcPr>
            <w:tcW w:w="296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rPr>
                <w:rFonts w:asciiTheme="minorEastAsia" w:eastAsiaTheme="minorEastAsia" w:hAnsiTheme="minorEastAsia"/>
              </w:rPr>
            </w:pPr>
            <w:r>
              <w:rPr>
                <w:rFonts w:cs="Arial" w:hint="eastAsia"/>
                <w:color w:val="000000"/>
              </w:rPr>
              <w:t>0.00</w:t>
            </w:r>
          </w:p>
        </w:tc>
      </w:tr>
      <w:tr w:rsidR="003A75ED">
        <w:tc>
          <w:tcPr>
            <w:tcW w:w="296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rPr>
                <w:rFonts w:asciiTheme="minorEastAsia" w:eastAsiaTheme="minorEastAsia" w:hAnsiTheme="minorEastAsia"/>
              </w:rPr>
            </w:pPr>
            <w:r>
              <w:rPr>
                <w:rFonts w:cs="Arial" w:hint="eastAsia"/>
                <w:color w:val="000000"/>
              </w:rPr>
              <w:t>0.00</w:t>
            </w:r>
          </w:p>
        </w:tc>
      </w:tr>
      <w:tr w:rsidR="003A75ED">
        <w:tc>
          <w:tcPr>
            <w:tcW w:w="296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rPr>
                <w:rFonts w:asciiTheme="minorEastAsia" w:eastAsiaTheme="minorEastAsia" w:hAnsiTheme="minorEastAsia"/>
              </w:rPr>
            </w:pPr>
            <w:r>
              <w:rPr>
                <w:rFonts w:cs="Arial" w:hint="eastAsia"/>
                <w:color w:val="000000"/>
              </w:rPr>
              <w:t>21,129.99</w:t>
            </w:r>
          </w:p>
        </w:tc>
      </w:tr>
      <w:tr w:rsidR="003A75ED">
        <w:tc>
          <w:tcPr>
            <w:tcW w:w="296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rPr>
                <w:rFonts w:asciiTheme="minorEastAsia" w:eastAsiaTheme="minorEastAsia" w:hAnsiTheme="minorEastAsia"/>
              </w:rPr>
            </w:pPr>
            <w:r>
              <w:rPr>
                <w:rFonts w:cs="Arial" w:hint="eastAsia"/>
                <w:color w:val="000000"/>
              </w:rPr>
              <w:t>0.00</w:t>
            </w:r>
          </w:p>
        </w:tc>
      </w:tr>
      <w:tr w:rsidR="003A75ED">
        <w:tc>
          <w:tcPr>
            <w:tcW w:w="296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rPr>
                <w:rFonts w:asciiTheme="minorEastAsia" w:eastAsiaTheme="minorEastAsia" w:hAnsiTheme="minorEastAsia"/>
              </w:rPr>
            </w:pPr>
            <w:r>
              <w:rPr>
                <w:rFonts w:cs="Arial" w:hint="eastAsia"/>
                <w:color w:val="000000"/>
              </w:rPr>
              <w:t>-542,460.00</w:t>
            </w:r>
          </w:p>
        </w:tc>
      </w:tr>
      <w:tr w:rsidR="003A75ED">
        <w:tc>
          <w:tcPr>
            <w:tcW w:w="296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rPr>
                <w:rFonts w:asciiTheme="minorEastAsia" w:eastAsiaTheme="minorEastAsia" w:hAnsiTheme="minorEastAsia"/>
              </w:rPr>
            </w:pPr>
            <w:r>
              <w:rPr>
                <w:rFonts w:cs="Arial" w:hint="eastAsia"/>
                <w:color w:val="000000"/>
              </w:rPr>
              <w:t xml:space="preserve">　</w:t>
            </w:r>
          </w:p>
        </w:tc>
      </w:tr>
      <w:tr w:rsidR="003A75ED">
        <w:tc>
          <w:tcPr>
            <w:tcW w:w="296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rPr>
                <w:rFonts w:asciiTheme="minorEastAsia" w:eastAsiaTheme="minorEastAsia" w:hAnsiTheme="minorEastAsia"/>
              </w:rPr>
            </w:pPr>
            <w:r>
              <w:rPr>
                <w:rFonts w:cs="Arial" w:hint="eastAsia"/>
                <w:color w:val="000000"/>
              </w:rPr>
              <w:t>107,195.02</w:t>
            </w:r>
          </w:p>
        </w:tc>
      </w:tr>
      <w:tr w:rsidR="003A75ED">
        <w:tc>
          <w:tcPr>
            <w:tcW w:w="296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rPr>
                <w:rFonts w:asciiTheme="minorEastAsia" w:eastAsiaTheme="minorEastAsia" w:hAnsiTheme="minorEastAsia"/>
              </w:rPr>
            </w:pPr>
            <w:r>
              <w:rPr>
                <w:rFonts w:cs="Arial" w:hint="eastAsia"/>
                <w:b/>
                <w:bCs/>
                <w:color w:val="000000"/>
              </w:rPr>
              <w:t>4,602,966.95</w:t>
            </w:r>
          </w:p>
        </w:tc>
      </w:tr>
      <w:tr w:rsidR="003A75ED">
        <w:tc>
          <w:tcPr>
            <w:tcW w:w="296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rPr>
                <w:rFonts w:asciiTheme="minorEastAsia" w:eastAsiaTheme="minorEastAsia" w:hAnsiTheme="minorEastAsia"/>
              </w:rPr>
            </w:pPr>
            <w:r>
              <w:rPr>
                <w:rFonts w:cs="Arial" w:hint="eastAsia"/>
                <w:color w:val="000000"/>
              </w:rPr>
              <w:t>2,414,010.44</w:t>
            </w:r>
          </w:p>
        </w:tc>
      </w:tr>
      <w:tr w:rsidR="003A75ED">
        <w:tc>
          <w:tcPr>
            <w:tcW w:w="296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rPr>
                <w:rFonts w:asciiTheme="minorEastAsia" w:eastAsiaTheme="minorEastAsia" w:hAnsiTheme="minorEastAsia"/>
              </w:rPr>
            </w:pPr>
            <w:r>
              <w:rPr>
                <w:rFonts w:cs="Arial" w:hint="eastAsia"/>
                <w:color w:val="000000"/>
              </w:rPr>
              <w:t>160,933.80</w:t>
            </w:r>
          </w:p>
        </w:tc>
      </w:tr>
      <w:tr w:rsidR="003A75ED">
        <w:tc>
          <w:tcPr>
            <w:tcW w:w="296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rPr>
                <w:rFonts w:asciiTheme="minorEastAsia" w:eastAsiaTheme="minorEastAsia" w:hAnsiTheme="minorEastAsia"/>
              </w:rPr>
            </w:pPr>
            <w:r>
              <w:rPr>
                <w:rFonts w:cs="Arial" w:hint="eastAsia"/>
                <w:color w:val="000000"/>
              </w:rPr>
              <w:t>1,609,340.04</w:t>
            </w:r>
          </w:p>
        </w:tc>
      </w:tr>
      <w:tr w:rsidR="003A75ED">
        <w:tc>
          <w:tcPr>
            <w:tcW w:w="296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rPr>
                <w:rFonts w:asciiTheme="minorEastAsia" w:eastAsiaTheme="minorEastAsia" w:hAnsiTheme="minorEastAsia"/>
              </w:rPr>
            </w:pPr>
            <w:r>
              <w:rPr>
                <w:rFonts w:cs="Arial" w:hint="eastAsia"/>
                <w:color w:val="000000"/>
              </w:rPr>
              <w:t>3,826.24</w:t>
            </w:r>
          </w:p>
        </w:tc>
      </w:tr>
      <w:tr w:rsidR="003A75ED">
        <w:tc>
          <w:tcPr>
            <w:tcW w:w="296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rPr>
                <w:rFonts w:asciiTheme="minorEastAsia" w:eastAsiaTheme="minorEastAsia" w:hAnsiTheme="minorEastAsia"/>
              </w:rPr>
            </w:pPr>
            <w:r>
              <w:rPr>
                <w:rFonts w:cs="Arial" w:hint="eastAsia"/>
                <w:color w:val="000000"/>
              </w:rPr>
              <w:t>247,784.83</w:t>
            </w:r>
          </w:p>
        </w:tc>
      </w:tr>
      <w:tr w:rsidR="003A75ED">
        <w:tc>
          <w:tcPr>
            <w:tcW w:w="296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rPr>
                <w:rFonts w:asciiTheme="minorEastAsia" w:eastAsiaTheme="minorEastAsia" w:hAnsiTheme="minorEastAsia"/>
              </w:rPr>
            </w:pPr>
            <w:r>
              <w:rPr>
                <w:rFonts w:cs="Arial" w:hint="eastAsia"/>
                <w:color w:val="000000"/>
              </w:rPr>
              <w:t>247,784.83</w:t>
            </w:r>
          </w:p>
        </w:tc>
      </w:tr>
      <w:tr w:rsidR="003A75ED">
        <w:tc>
          <w:tcPr>
            <w:tcW w:w="296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rPr>
                <w:rFonts w:asciiTheme="minorEastAsia" w:eastAsiaTheme="minorEastAsia" w:hAnsiTheme="minorEastAsia"/>
              </w:rPr>
            </w:pPr>
            <w:r>
              <w:rPr>
                <w:rFonts w:cs="Arial" w:hint="eastAsia"/>
                <w:color w:val="000000"/>
              </w:rPr>
              <w:t>154,371.60</w:t>
            </w:r>
          </w:p>
        </w:tc>
      </w:tr>
      <w:tr w:rsidR="003A75ED">
        <w:tc>
          <w:tcPr>
            <w:tcW w:w="296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rPr>
                <w:rFonts w:asciiTheme="minorEastAsia" w:eastAsiaTheme="minorEastAsia" w:hAnsiTheme="minorEastAsia"/>
              </w:rPr>
            </w:pPr>
            <w:r>
              <w:rPr>
                <w:rFonts w:cs="Arial" w:hint="eastAsia"/>
                <w:color w:val="000000"/>
              </w:rPr>
              <w:t>12,700.00</w:t>
            </w:r>
          </w:p>
        </w:tc>
      </w:tr>
      <w:tr w:rsidR="003A75ED">
        <w:tc>
          <w:tcPr>
            <w:tcW w:w="296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rPr>
                <w:rFonts w:asciiTheme="minorEastAsia" w:eastAsiaTheme="minorEastAsia" w:hAnsiTheme="minorEastAsia"/>
              </w:rPr>
            </w:pPr>
            <w:r>
              <w:rPr>
                <w:rFonts w:cs="Arial" w:hint="eastAsia"/>
                <w:b/>
                <w:bCs/>
                <w:color w:val="000000"/>
              </w:rPr>
              <w:t>37,700,499.76</w:t>
            </w:r>
          </w:p>
        </w:tc>
      </w:tr>
      <w:tr w:rsidR="003A75ED">
        <w:tc>
          <w:tcPr>
            <w:tcW w:w="296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rPr>
                <w:rFonts w:asciiTheme="minorEastAsia" w:eastAsiaTheme="minorEastAsia" w:hAnsiTheme="minorEastAsia"/>
              </w:rPr>
            </w:pPr>
            <w:r>
              <w:rPr>
                <w:rFonts w:ascii="Arial" w:hAnsi="Arial" w:cs="Arial"/>
                <w:color w:val="000000"/>
              </w:rPr>
              <w:t xml:space="preserve">　</w:t>
            </w:r>
          </w:p>
        </w:tc>
      </w:tr>
      <w:tr w:rsidR="003A75ED">
        <w:tc>
          <w:tcPr>
            <w:tcW w:w="2969" w:type="dxa"/>
            <w:tcBorders>
              <w:top w:val="single" w:sz="8" w:space="0" w:color="000000"/>
              <w:left w:val="single" w:sz="8" w:space="0" w:color="000000"/>
              <w:bottom w:val="single" w:sz="8" w:space="0" w:color="000000"/>
              <w:right w:val="single" w:sz="8" w:space="0" w:color="000000"/>
            </w:tcBorders>
            <w:vAlign w:val="center"/>
          </w:tcPr>
          <w:p w:rsidR="003A75ED" w:rsidRDefault="00724FF7">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rPr>
                <w:rFonts w:asciiTheme="minorEastAsia" w:eastAsiaTheme="minorEastAsia" w:hAnsiTheme="minorEastAsia"/>
              </w:rPr>
            </w:pPr>
            <w:r>
              <w:rPr>
                <w:rFonts w:cs="Arial" w:hint="eastAsia"/>
                <w:b/>
                <w:bCs/>
                <w:color w:val="000000"/>
              </w:rPr>
              <w:t>37,700,499.76</w:t>
            </w:r>
          </w:p>
        </w:tc>
      </w:tr>
    </w:tbl>
    <w:p w:rsidR="003A75ED" w:rsidRDefault="003A75ED">
      <w:pPr>
        <w:widowControl/>
        <w:jc w:val="left"/>
        <w:rPr>
          <w:rFonts w:ascii="宋体" w:hAnsi="宋体" w:cs="宋体"/>
          <w:kern w:val="0"/>
          <w:sz w:val="24"/>
          <w:szCs w:val="24"/>
        </w:rPr>
      </w:pPr>
    </w:p>
    <w:p w:rsidR="003A75ED" w:rsidRDefault="00724FF7">
      <w:pPr>
        <w:pStyle w:val="zhangjiep"/>
      </w:pPr>
      <w:bookmarkStart w:id="6" w:name="_Toc61425791"/>
      <w:r>
        <w:rPr>
          <w:rFonts w:hint="eastAsia"/>
          <w:b/>
          <w:bCs/>
        </w:rPr>
        <w:t xml:space="preserve">5.3 </w:t>
      </w:r>
      <w:r>
        <w:rPr>
          <w:rFonts w:hint="eastAsia"/>
          <w:b/>
          <w:bCs/>
        </w:rPr>
        <w:t>所有者权益（基金净值）变动表</w:t>
      </w:r>
      <w:bookmarkEnd w:id="6"/>
    </w:p>
    <w:p w:rsidR="003A75ED" w:rsidRDefault="00724FF7">
      <w:pPr>
        <w:pStyle w:val="biaogeleft"/>
      </w:pPr>
      <w:r>
        <w:rPr>
          <w:rFonts w:hint="eastAsia"/>
        </w:rPr>
        <w:t>会计主体：南京银行珠联璧合行稳</w:t>
      </w:r>
      <w:r>
        <w:rPr>
          <w:rFonts w:hint="eastAsia"/>
        </w:rPr>
        <w:t>2004</w:t>
      </w:r>
      <w:r>
        <w:rPr>
          <w:rFonts w:hint="eastAsia"/>
        </w:rPr>
        <w:t>半年定开公募人民币理财产品</w:t>
      </w:r>
    </w:p>
    <w:p w:rsidR="003A75ED" w:rsidRDefault="00724FF7">
      <w:pPr>
        <w:pStyle w:val="biaogeleft"/>
      </w:pPr>
      <w:r>
        <w:rPr>
          <w:rFonts w:hint="eastAsia"/>
        </w:rPr>
        <w:t>本报告期：</w:t>
      </w:r>
      <w:r>
        <w:rPr>
          <w:rFonts w:hint="eastAsia"/>
        </w:rPr>
        <w:t>2020</w:t>
      </w:r>
      <w:r>
        <w:rPr>
          <w:rFonts w:hint="eastAsia"/>
        </w:rPr>
        <w:t>年</w:t>
      </w:r>
      <w:r>
        <w:rPr>
          <w:rFonts w:hint="eastAsia"/>
        </w:rPr>
        <w:t>04</w:t>
      </w:r>
      <w:r>
        <w:rPr>
          <w:rFonts w:hint="eastAsia"/>
        </w:rPr>
        <w:t>月</w:t>
      </w:r>
      <w:r>
        <w:rPr>
          <w:rFonts w:hint="eastAsia"/>
        </w:rPr>
        <w:t>08</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3A75ED" w:rsidRDefault="00724FF7">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lastRenderedPageBreak/>
        <w:t>单位：人民币元</w:t>
      </w:r>
    </w:p>
    <w:tbl>
      <w:tblPr>
        <w:tblW w:w="9198" w:type="dxa"/>
        <w:tblInd w:w="108" w:type="dxa"/>
        <w:tblLayout w:type="fixed"/>
        <w:tblLook w:val="04A0"/>
      </w:tblPr>
      <w:tblGrid>
        <w:gridCol w:w="2116"/>
        <w:gridCol w:w="2299"/>
        <w:gridCol w:w="2299"/>
        <w:gridCol w:w="2484"/>
      </w:tblGrid>
      <w:tr w:rsidR="003A75ED">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center"/>
              <w:wordWrap w:val="0"/>
            </w:pPr>
            <w:r>
              <w:rPr>
                <w:rFonts w:hint="eastAsia"/>
              </w:rPr>
              <w:t>本期</w:t>
            </w:r>
            <w:r>
              <w:rPr>
                <w:rFonts w:hint="eastAsia"/>
              </w:rPr>
              <w:t> </w:t>
            </w:r>
          </w:p>
          <w:p w:rsidR="003A75ED" w:rsidRDefault="00724FF7">
            <w:pPr>
              <w:pStyle w:val="biaogecenter"/>
              <w:wordWrap w:val="0"/>
            </w:pPr>
            <w:r>
              <w:rPr>
                <w:rFonts w:hint="eastAsia"/>
              </w:rPr>
              <w:t>2020</w:t>
            </w:r>
            <w:r>
              <w:rPr>
                <w:rFonts w:hint="eastAsia"/>
              </w:rPr>
              <w:t>年</w:t>
            </w:r>
            <w:r>
              <w:rPr>
                <w:rFonts w:hint="eastAsia"/>
              </w:rPr>
              <w:t>04</w:t>
            </w:r>
            <w:r>
              <w:rPr>
                <w:rFonts w:hint="eastAsia"/>
              </w:rPr>
              <w:t>月</w:t>
            </w:r>
            <w:r>
              <w:rPr>
                <w:rFonts w:hint="eastAsia"/>
              </w:rPr>
              <w:t>08</w:t>
            </w:r>
            <w:r>
              <w:rPr>
                <w:rFonts w:hint="eastAsia"/>
              </w:rPr>
              <w:t>日</w:t>
            </w:r>
            <w:r>
              <w:rPr>
                <w:rStyle w:val="show1"/>
                <w:rFonts w:hint="eastAsia"/>
              </w:rPr>
              <w:t>（基金合同生效日）</w:t>
            </w:r>
            <w:r>
              <w:rPr>
                <w:rFonts w:hint="eastAsia"/>
              </w:rPr>
              <w:t>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3A75ED">
        <w:tc>
          <w:tcPr>
            <w:tcW w:w="2116" w:type="dxa"/>
            <w:vMerge/>
            <w:tcBorders>
              <w:top w:val="single" w:sz="8" w:space="0" w:color="000000"/>
              <w:left w:val="single" w:sz="8" w:space="0" w:color="000000"/>
              <w:bottom w:val="single" w:sz="8" w:space="0" w:color="000000"/>
              <w:right w:val="single" w:sz="8" w:space="0" w:color="000000"/>
            </w:tcBorders>
            <w:vAlign w:val="center"/>
          </w:tcPr>
          <w:p w:rsidR="003A75ED" w:rsidRDefault="003A75ED">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center"/>
              <w:wordWrap w:val="0"/>
            </w:pPr>
            <w:r>
              <w:rPr>
                <w:rFonts w:hint="eastAsia"/>
              </w:rPr>
              <w:t>所有者权益合计</w:t>
            </w:r>
            <w:r>
              <w:rPr>
                <w:rFonts w:hint="eastAsia"/>
              </w:rPr>
              <w:t> </w:t>
            </w:r>
          </w:p>
        </w:tc>
      </w:tr>
      <w:tr w:rsidR="003A75ED">
        <w:tc>
          <w:tcPr>
            <w:tcW w:w="2116"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hint="eastAsia"/>
              </w:rPr>
              <w:t>999,823,000.00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hint="eastAsia"/>
              </w:rPr>
              <w:t>999,823,000.00</w:t>
            </w:r>
          </w:p>
        </w:tc>
      </w:tr>
      <w:tr w:rsidR="003A75ED">
        <w:tc>
          <w:tcPr>
            <w:tcW w:w="2116"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hint="eastAsia"/>
              </w:rPr>
              <w:t>37,700,499.76</w:t>
            </w:r>
          </w:p>
        </w:tc>
        <w:tc>
          <w:tcPr>
            <w:tcW w:w="2484"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hint="eastAsia"/>
              </w:rPr>
              <w:t>37,700,499.76</w:t>
            </w:r>
          </w:p>
        </w:tc>
      </w:tr>
      <w:tr w:rsidR="003A75ED">
        <w:tc>
          <w:tcPr>
            <w:tcW w:w="2116"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hint="eastAsia"/>
              </w:rPr>
              <w:t>414,949,307.37</w:t>
            </w:r>
          </w:p>
        </w:tc>
        <w:tc>
          <w:tcPr>
            <w:tcW w:w="229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hint="eastAsia"/>
              </w:rPr>
              <w:t>414,949,307.37</w:t>
            </w:r>
          </w:p>
        </w:tc>
      </w:tr>
      <w:tr w:rsidR="003A75ED">
        <w:tc>
          <w:tcPr>
            <w:tcW w:w="2116"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hint="eastAsia"/>
              </w:rPr>
              <w:t>814,866,000.00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hint="eastAsia"/>
              </w:rPr>
              <w:t>814,866,000.00</w:t>
            </w:r>
          </w:p>
        </w:tc>
      </w:tr>
      <w:tr w:rsidR="003A75ED">
        <w:tc>
          <w:tcPr>
            <w:tcW w:w="2116"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hint="eastAsia"/>
              </w:rPr>
              <w:t>-399,916,692.63</w:t>
            </w:r>
          </w:p>
        </w:tc>
        <w:tc>
          <w:tcPr>
            <w:tcW w:w="229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hint="eastAsia"/>
              </w:rPr>
              <w:t>-399,916,692.63</w:t>
            </w:r>
          </w:p>
        </w:tc>
      </w:tr>
      <w:tr w:rsidR="003A75ED">
        <w:tc>
          <w:tcPr>
            <w:tcW w:w="2116"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hint="eastAsia"/>
              </w:rPr>
              <w:t>-27,039,281.44</w:t>
            </w:r>
          </w:p>
        </w:tc>
        <w:tc>
          <w:tcPr>
            <w:tcW w:w="2484"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hint="eastAsia"/>
              </w:rPr>
              <w:t>-27,039,281.44</w:t>
            </w:r>
          </w:p>
        </w:tc>
      </w:tr>
      <w:tr w:rsidR="003A75ED">
        <w:tc>
          <w:tcPr>
            <w:tcW w:w="2116"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hint="eastAsia"/>
              </w:rPr>
              <w:t>1,414,772,307.37</w:t>
            </w:r>
          </w:p>
        </w:tc>
        <w:tc>
          <w:tcPr>
            <w:tcW w:w="229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hint="eastAsia"/>
              </w:rPr>
              <w:t>10,661,218.32</w:t>
            </w:r>
          </w:p>
        </w:tc>
        <w:tc>
          <w:tcPr>
            <w:tcW w:w="2484"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right"/>
              <w:wordWrap w:val="0"/>
            </w:pPr>
            <w:r>
              <w:rPr>
                <w:rFonts w:hint="eastAsia"/>
              </w:rPr>
              <w:t>1,425,433,525.69</w:t>
            </w:r>
          </w:p>
        </w:tc>
      </w:tr>
    </w:tbl>
    <w:p w:rsidR="003A75ED" w:rsidRDefault="003A75ED">
      <w:pPr>
        <w:widowControl/>
        <w:autoSpaceDE w:val="0"/>
        <w:autoSpaceDN w:val="0"/>
        <w:adjustRightInd w:val="0"/>
        <w:spacing w:line="288" w:lineRule="auto"/>
        <w:jc w:val="right"/>
        <w:rPr>
          <w:rFonts w:ascii="宋体" w:hAnsi="宋体" w:cs="宋体"/>
          <w:kern w:val="0"/>
          <w:sz w:val="24"/>
          <w:szCs w:val="24"/>
        </w:rPr>
      </w:pPr>
    </w:p>
    <w:p w:rsidR="003A75ED" w:rsidRDefault="003A75ED">
      <w:pPr>
        <w:pStyle w:val="biaogeleft"/>
        <w:spacing w:line="360" w:lineRule="auto"/>
        <w:ind w:firstLine="480"/>
        <w:rPr>
          <w:color w:val="000000"/>
        </w:rPr>
      </w:pPr>
    </w:p>
    <w:p w:rsidR="003A75ED" w:rsidRDefault="00724FF7">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3A75ED" w:rsidRDefault="003A75ED">
      <w:pPr>
        <w:widowControl/>
        <w:jc w:val="left"/>
        <w:rPr>
          <w:rFonts w:ascii="宋体" w:hAnsi="宋体" w:cs="宋体"/>
          <w:color w:val="000000"/>
          <w:kern w:val="0"/>
          <w:sz w:val="24"/>
          <w:szCs w:val="24"/>
        </w:rPr>
      </w:pPr>
    </w:p>
    <w:p w:rsidR="003A75ED" w:rsidRDefault="00724FF7">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3A75ED">
        <w:tc>
          <w:tcPr>
            <w:tcW w:w="891" w:type="dxa"/>
            <w:tcBorders>
              <w:top w:val="single" w:sz="8" w:space="0" w:color="000000"/>
              <w:left w:val="single" w:sz="8" w:space="0" w:color="000000"/>
              <w:bottom w:val="single" w:sz="6" w:space="0" w:color="000000"/>
              <w:right w:val="single" w:sz="8" w:space="0" w:color="000000"/>
            </w:tcBorders>
            <w:vAlign w:val="bottom"/>
          </w:tcPr>
          <w:p w:rsidR="003A75ED" w:rsidRDefault="00724FF7">
            <w:pPr>
              <w:widowControl/>
              <w:jc w:val="center"/>
              <w:textAlignment w:val="bottom"/>
              <w:rPr>
                <w:color w:val="000000"/>
              </w:rPr>
            </w:pPr>
            <w:r>
              <w:rPr>
                <w:rFonts w:ascii="宋体" w:hAnsi="宋体" w:cs="宋体" w:hint="eastAsia"/>
                <w:color w:val="000000"/>
                <w:kern w:val="0"/>
                <w:sz w:val="24"/>
                <w:szCs w:val="24"/>
                <w:lang/>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3A75ED" w:rsidRDefault="00724FF7">
            <w:pPr>
              <w:widowControl/>
              <w:jc w:val="center"/>
              <w:textAlignment w:val="bottom"/>
              <w:rPr>
                <w:color w:val="000000"/>
              </w:rPr>
            </w:pPr>
            <w:r>
              <w:rPr>
                <w:rFonts w:ascii="宋体" w:hAnsi="宋体" w:cs="宋体" w:hint="eastAsia"/>
                <w:color w:val="000000"/>
                <w:kern w:val="0"/>
                <w:sz w:val="24"/>
                <w:szCs w:val="24"/>
                <w:lang/>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3A75ED" w:rsidRDefault="00724FF7">
            <w:pPr>
              <w:widowControl/>
              <w:jc w:val="center"/>
              <w:textAlignment w:val="bottom"/>
              <w:rPr>
                <w:color w:val="000000"/>
              </w:rPr>
            </w:pPr>
            <w:r>
              <w:rPr>
                <w:rFonts w:ascii="宋体" w:hAnsi="宋体" w:cs="宋体" w:hint="eastAsia"/>
                <w:color w:val="000000"/>
                <w:kern w:val="0"/>
                <w:sz w:val="24"/>
                <w:szCs w:val="24"/>
                <w:lang/>
              </w:rPr>
              <w:t>金额</w:t>
            </w:r>
            <w:r>
              <w:rPr>
                <w:rFonts w:ascii="宋体" w:hAnsi="宋体" w:cs="宋体" w:hint="eastAsia"/>
                <w:color w:val="000000"/>
                <w:kern w:val="0"/>
                <w:sz w:val="24"/>
                <w:szCs w:val="24"/>
                <w:lang/>
              </w:rPr>
              <w:t>(</w:t>
            </w:r>
            <w:r>
              <w:rPr>
                <w:rFonts w:ascii="宋体" w:hAnsi="宋体" w:cs="宋体" w:hint="eastAsia"/>
                <w:color w:val="000000"/>
                <w:kern w:val="0"/>
                <w:sz w:val="24"/>
                <w:szCs w:val="24"/>
                <w:lang/>
              </w:rPr>
              <w:t>元</w:t>
            </w:r>
            <w:r>
              <w:rPr>
                <w:rFonts w:ascii="宋体" w:hAnsi="宋体" w:cs="宋体" w:hint="eastAsia"/>
                <w:color w:val="000000"/>
                <w:kern w:val="0"/>
                <w:sz w:val="24"/>
                <w:szCs w:val="24"/>
                <w:lang/>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3A75ED" w:rsidRDefault="00724FF7">
            <w:pPr>
              <w:widowControl/>
              <w:jc w:val="center"/>
              <w:textAlignment w:val="bottom"/>
              <w:rPr>
                <w:color w:val="000000"/>
              </w:rPr>
            </w:pPr>
            <w:r>
              <w:rPr>
                <w:rFonts w:ascii="宋体" w:hAnsi="宋体" w:cs="宋体" w:hint="eastAsia"/>
                <w:color w:val="000000"/>
                <w:kern w:val="0"/>
                <w:sz w:val="24"/>
                <w:szCs w:val="24"/>
                <w:lang/>
              </w:rPr>
              <w:t>占产品总资产的比例（</w:t>
            </w:r>
            <w:r>
              <w:rPr>
                <w:rFonts w:ascii="宋体" w:hAnsi="宋体" w:cs="宋体" w:hint="eastAsia"/>
                <w:color w:val="000000"/>
                <w:kern w:val="0"/>
                <w:sz w:val="24"/>
                <w:szCs w:val="24"/>
                <w:lang/>
              </w:rPr>
              <w:t>%</w:t>
            </w:r>
            <w:r>
              <w:rPr>
                <w:rFonts w:ascii="宋体" w:hAnsi="宋体" w:cs="宋体" w:hint="eastAsia"/>
                <w:color w:val="000000"/>
                <w:kern w:val="0"/>
                <w:sz w:val="24"/>
                <w:szCs w:val="24"/>
                <w:lang/>
              </w:rPr>
              <w:t>）</w:t>
            </w:r>
          </w:p>
        </w:tc>
      </w:tr>
      <w:tr w:rsidR="003A75ED">
        <w:tc>
          <w:tcPr>
            <w:tcW w:w="891"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3A75ED" w:rsidRDefault="00724FF7">
            <w:pPr>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3A75ED" w:rsidRDefault="00724FF7">
            <w:pPr>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3A75ED" w:rsidRDefault="00724FF7">
            <w:pPr>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3A75ED">
        <w:tc>
          <w:tcPr>
            <w:tcW w:w="891"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3A75ED">
        <w:tc>
          <w:tcPr>
            <w:tcW w:w="891"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1,047,736,674.74</w:t>
            </w:r>
          </w:p>
        </w:tc>
        <w:tc>
          <w:tcPr>
            <w:tcW w:w="2395"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73.22</w:t>
            </w:r>
          </w:p>
        </w:tc>
      </w:tr>
      <w:tr w:rsidR="003A75ED">
        <w:tc>
          <w:tcPr>
            <w:tcW w:w="891"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3A75ED">
        <w:tc>
          <w:tcPr>
            <w:tcW w:w="891"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lastRenderedPageBreak/>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320,000,000.00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22.36</w:t>
            </w:r>
          </w:p>
        </w:tc>
      </w:tr>
      <w:tr w:rsidR="003A75ED">
        <w:tc>
          <w:tcPr>
            <w:tcW w:w="891"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left"/>
              <w:textAlignment w:val="bottom"/>
              <w:rPr>
                <w:rFonts w:ascii="宋体" w:hAnsi="宋体" w:cs="宋体"/>
                <w:color w:val="000000"/>
                <w:kern w:val="0"/>
                <w:sz w:val="24"/>
                <w:szCs w:val="24"/>
                <w:lang/>
              </w:rPr>
            </w:pPr>
            <w:r>
              <w:rPr>
                <w:rFonts w:ascii="宋体" w:hAnsi="宋体" w:cs="宋体"/>
                <w:color w:val="000000"/>
                <w:kern w:val="0"/>
                <w:sz w:val="24"/>
                <w:szCs w:val="24"/>
                <w:lang/>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3A75ED">
        <w:tc>
          <w:tcPr>
            <w:tcW w:w="891"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3A75ED">
        <w:tc>
          <w:tcPr>
            <w:tcW w:w="891"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3A75ED">
        <w:tc>
          <w:tcPr>
            <w:tcW w:w="891"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7,239,055.93</w:t>
            </w:r>
          </w:p>
        </w:tc>
        <w:tc>
          <w:tcPr>
            <w:tcW w:w="2395"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0.51</w:t>
            </w:r>
          </w:p>
        </w:tc>
      </w:tr>
      <w:tr w:rsidR="003A75ED">
        <w:tc>
          <w:tcPr>
            <w:tcW w:w="891"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12,360.83</w:t>
            </w:r>
          </w:p>
        </w:tc>
        <w:tc>
          <w:tcPr>
            <w:tcW w:w="2395"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3A75ED">
        <w:tc>
          <w:tcPr>
            <w:tcW w:w="891"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54,948,590.21</w:t>
            </w:r>
          </w:p>
        </w:tc>
        <w:tc>
          <w:tcPr>
            <w:tcW w:w="2395"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3.84</w:t>
            </w:r>
          </w:p>
        </w:tc>
      </w:tr>
      <w:tr w:rsidR="003A75ED">
        <w:tc>
          <w:tcPr>
            <w:tcW w:w="891"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990,136.99</w:t>
            </w:r>
          </w:p>
        </w:tc>
        <w:tc>
          <w:tcPr>
            <w:tcW w:w="2395"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0.07</w:t>
            </w:r>
          </w:p>
        </w:tc>
      </w:tr>
      <w:tr w:rsidR="003A75ED">
        <w:tc>
          <w:tcPr>
            <w:tcW w:w="891"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3A75ED">
        <w:tc>
          <w:tcPr>
            <w:tcW w:w="891"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3A75ED" w:rsidRDefault="00724FF7">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3A75ED">
        <w:tc>
          <w:tcPr>
            <w:tcW w:w="891" w:type="dxa"/>
            <w:tcBorders>
              <w:top w:val="single" w:sz="8" w:space="0" w:color="000000"/>
              <w:left w:val="single" w:sz="8" w:space="0" w:color="000000"/>
              <w:bottom w:val="single" w:sz="8" w:space="0" w:color="000000"/>
              <w:right w:val="single" w:sz="8" w:space="0" w:color="000000"/>
            </w:tcBorders>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3A75ED" w:rsidRDefault="00724FF7">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3A75ED" w:rsidRDefault="00724FF7">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3A75ED" w:rsidRDefault="00724FF7">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3A75ED">
        <w:tc>
          <w:tcPr>
            <w:tcW w:w="891" w:type="dxa"/>
            <w:tcBorders>
              <w:top w:val="single" w:sz="8" w:space="0" w:color="000000"/>
              <w:left w:val="single" w:sz="8" w:space="0" w:color="000000"/>
              <w:bottom w:val="single" w:sz="8" w:space="0" w:color="000000"/>
              <w:right w:val="single" w:sz="8" w:space="0" w:color="000000"/>
            </w:tcBorders>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3A75ED" w:rsidRDefault="00724FF7">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3A75ED" w:rsidRDefault="00724FF7">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1,430,926,818.70</w:t>
            </w:r>
          </w:p>
        </w:tc>
        <w:tc>
          <w:tcPr>
            <w:tcW w:w="2395" w:type="dxa"/>
            <w:tcBorders>
              <w:top w:val="single" w:sz="8" w:space="0" w:color="000000"/>
              <w:left w:val="single" w:sz="8" w:space="0" w:color="000000"/>
              <w:bottom w:val="single" w:sz="8" w:space="0" w:color="000000"/>
              <w:right w:val="single" w:sz="8" w:space="0" w:color="000000"/>
            </w:tcBorders>
            <w:vAlign w:val="center"/>
          </w:tcPr>
          <w:p w:rsidR="003A75ED" w:rsidRDefault="00724FF7">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100.00</w:t>
            </w:r>
          </w:p>
        </w:tc>
      </w:tr>
    </w:tbl>
    <w:p w:rsidR="003A75ED" w:rsidRDefault="003A75ED">
      <w:pPr>
        <w:widowControl/>
        <w:jc w:val="left"/>
        <w:rPr>
          <w:rFonts w:ascii="宋体" w:hAnsi="宋体" w:cs="宋体"/>
          <w:color w:val="000000"/>
          <w:kern w:val="0"/>
          <w:sz w:val="24"/>
          <w:szCs w:val="24"/>
        </w:rPr>
      </w:pPr>
    </w:p>
    <w:p w:rsidR="003A75ED" w:rsidRDefault="00724FF7">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3A75ED">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3A75ED" w:rsidRDefault="00724FF7">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3A75ED" w:rsidRDefault="00724FF7">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3A75ED" w:rsidRDefault="00724FF7">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3A75ED" w:rsidRDefault="00724FF7">
            <w:pPr>
              <w:pStyle w:val="biaogecenter"/>
              <w:wordWrap w:val="0"/>
              <w:rPr>
                <w:color w:val="000000"/>
              </w:rPr>
            </w:pPr>
            <w:r>
              <w:rPr>
                <w:rFonts w:hint="eastAsia"/>
                <w:color w:val="000000"/>
              </w:rPr>
              <w:t>占产品资产净值比例（％）</w:t>
            </w:r>
          </w:p>
        </w:tc>
      </w:tr>
      <w:tr w:rsidR="003A75E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A75ED" w:rsidRDefault="00724FF7">
            <w:pPr>
              <w:pStyle w:val="biaogecenter"/>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QTBZZ202010290001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18</w:t>
            </w:r>
            <w:r>
              <w:rPr>
                <w:rFonts w:ascii="宋体" w:hAnsi="宋体" w:cs="宋体" w:hint="eastAsia"/>
                <w:color w:val="000000"/>
                <w:kern w:val="0"/>
                <w:sz w:val="24"/>
                <w:szCs w:val="24"/>
                <w:lang/>
              </w:rPr>
              <w:t>苏扬中城投</w:t>
            </w:r>
            <w:r>
              <w:rPr>
                <w:rFonts w:ascii="宋体" w:hAnsi="宋体" w:cs="宋体" w:hint="eastAsia"/>
                <w:color w:val="000000"/>
                <w:kern w:val="0"/>
                <w:sz w:val="24"/>
                <w:szCs w:val="24"/>
                <w:lang/>
              </w:rPr>
              <w:t>ZR001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300,000,000.00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21.05%</w:t>
            </w:r>
          </w:p>
        </w:tc>
      </w:tr>
      <w:tr w:rsidR="003A75E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A75ED" w:rsidRDefault="00724FF7">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166277</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20</w:t>
            </w:r>
            <w:r>
              <w:rPr>
                <w:rFonts w:ascii="宋体" w:hAnsi="宋体" w:cs="宋体" w:hint="eastAsia"/>
                <w:color w:val="000000"/>
                <w:kern w:val="0"/>
                <w:sz w:val="24"/>
                <w:szCs w:val="24"/>
                <w:lang/>
              </w:rPr>
              <w:t>海陵</w:t>
            </w:r>
            <w:r>
              <w:rPr>
                <w:rFonts w:ascii="宋体" w:hAnsi="宋体" w:cs="宋体" w:hint="eastAsia"/>
                <w:color w:val="000000"/>
                <w:kern w:val="0"/>
                <w:sz w:val="24"/>
                <w:szCs w:val="24"/>
                <w:lang/>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60,000,525.33</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4.21%</w:t>
            </w:r>
          </w:p>
        </w:tc>
      </w:tr>
      <w:tr w:rsidR="003A75E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A75ED" w:rsidRDefault="00724FF7">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101801233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18</w:t>
            </w:r>
            <w:r>
              <w:rPr>
                <w:rFonts w:ascii="宋体" w:hAnsi="宋体" w:cs="宋体" w:hint="eastAsia"/>
                <w:color w:val="000000"/>
                <w:kern w:val="0"/>
                <w:sz w:val="24"/>
                <w:szCs w:val="24"/>
                <w:lang/>
              </w:rPr>
              <w:t>创元投资</w:t>
            </w:r>
            <w:r>
              <w:rPr>
                <w:rFonts w:ascii="宋体" w:hAnsi="宋体" w:cs="宋体" w:hint="eastAsia"/>
                <w:color w:val="000000"/>
                <w:kern w:val="0"/>
                <w:sz w:val="24"/>
                <w:szCs w:val="24"/>
                <w:lang/>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50,465,350.00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3.54%</w:t>
            </w:r>
          </w:p>
        </w:tc>
      </w:tr>
      <w:tr w:rsidR="003A75E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A75ED" w:rsidRDefault="00724FF7">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163342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20</w:t>
            </w:r>
            <w:r>
              <w:rPr>
                <w:rFonts w:ascii="宋体" w:hAnsi="宋体" w:cs="宋体" w:hint="eastAsia"/>
                <w:color w:val="000000"/>
                <w:kern w:val="0"/>
                <w:sz w:val="24"/>
                <w:szCs w:val="24"/>
                <w:lang/>
              </w:rPr>
              <w:t>盐投</w:t>
            </w:r>
            <w:r>
              <w:rPr>
                <w:rFonts w:ascii="宋体" w:hAnsi="宋体" w:cs="宋体" w:hint="eastAsia"/>
                <w:color w:val="000000"/>
                <w:kern w:val="0"/>
                <w:sz w:val="24"/>
                <w:szCs w:val="24"/>
                <w:lang/>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50,389,750.00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3.54%</w:t>
            </w:r>
          </w:p>
        </w:tc>
      </w:tr>
      <w:tr w:rsidR="003A75E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A75ED" w:rsidRDefault="00724FF7">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150308</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18</w:t>
            </w:r>
            <w:r>
              <w:rPr>
                <w:rFonts w:ascii="宋体" w:hAnsi="宋体" w:cs="宋体" w:hint="eastAsia"/>
                <w:color w:val="000000"/>
                <w:kern w:val="0"/>
                <w:sz w:val="24"/>
                <w:szCs w:val="24"/>
                <w:lang/>
              </w:rPr>
              <w:t>柯建</w:t>
            </w:r>
            <w:r>
              <w:rPr>
                <w:rFonts w:ascii="宋体" w:hAnsi="宋体" w:cs="宋体" w:hint="eastAsia"/>
                <w:color w:val="000000"/>
                <w:kern w:val="0"/>
                <w:sz w:val="24"/>
                <w:szCs w:val="24"/>
                <w:lang/>
              </w:rPr>
              <w:t>03</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50,097,867.68</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3.51%</w:t>
            </w:r>
          </w:p>
        </w:tc>
      </w:tr>
      <w:tr w:rsidR="003A75E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A75ED" w:rsidRDefault="00724FF7">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166378</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20</w:t>
            </w:r>
            <w:r>
              <w:rPr>
                <w:rFonts w:ascii="宋体" w:hAnsi="宋体" w:cs="宋体" w:hint="eastAsia"/>
                <w:color w:val="000000"/>
                <w:kern w:val="0"/>
                <w:sz w:val="24"/>
                <w:szCs w:val="24"/>
                <w:lang/>
              </w:rPr>
              <w:t>新沂</w:t>
            </w:r>
            <w:r>
              <w:rPr>
                <w:rFonts w:ascii="宋体" w:hAnsi="宋体" w:cs="宋体" w:hint="eastAsia"/>
                <w:color w:val="000000"/>
                <w:kern w:val="0"/>
                <w:sz w:val="24"/>
                <w:szCs w:val="24"/>
                <w:lang/>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50,000,438.98</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3.51%</w:t>
            </w:r>
          </w:p>
        </w:tc>
      </w:tr>
      <w:tr w:rsidR="003A75E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A75ED" w:rsidRDefault="00724FF7">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166461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20</w:t>
            </w:r>
            <w:r>
              <w:rPr>
                <w:rFonts w:ascii="宋体" w:hAnsi="宋体" w:cs="宋体" w:hint="eastAsia"/>
                <w:color w:val="000000"/>
                <w:kern w:val="0"/>
                <w:sz w:val="24"/>
                <w:szCs w:val="24"/>
                <w:lang/>
              </w:rPr>
              <w:t>金交</w:t>
            </w:r>
            <w:r>
              <w:rPr>
                <w:rFonts w:ascii="宋体" w:hAnsi="宋体" w:cs="宋体" w:hint="eastAsia"/>
                <w:color w:val="000000"/>
                <w:kern w:val="0"/>
                <w:sz w:val="24"/>
                <w:szCs w:val="24"/>
                <w:lang/>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50,000,436.56</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3.51%</w:t>
            </w:r>
          </w:p>
        </w:tc>
      </w:tr>
      <w:tr w:rsidR="003A75E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A75ED" w:rsidRDefault="00724FF7">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166466</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20</w:t>
            </w:r>
            <w:r>
              <w:rPr>
                <w:rFonts w:ascii="宋体" w:hAnsi="宋体" w:cs="宋体" w:hint="eastAsia"/>
                <w:color w:val="000000"/>
                <w:kern w:val="0"/>
                <w:sz w:val="24"/>
                <w:szCs w:val="24"/>
                <w:lang/>
              </w:rPr>
              <w:t>海发</w:t>
            </w:r>
            <w:r>
              <w:rPr>
                <w:rFonts w:ascii="宋体" w:hAnsi="宋体" w:cs="宋体" w:hint="eastAsia"/>
                <w:color w:val="000000"/>
                <w:kern w:val="0"/>
                <w:sz w:val="24"/>
                <w:szCs w:val="24"/>
                <w:lang/>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50,000,435.76</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3.51%</w:t>
            </w:r>
          </w:p>
        </w:tc>
      </w:tr>
      <w:tr w:rsidR="003A75E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A75ED" w:rsidRDefault="00724FF7">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166441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20</w:t>
            </w:r>
            <w:r>
              <w:rPr>
                <w:rFonts w:ascii="宋体" w:hAnsi="宋体" w:cs="宋体" w:hint="eastAsia"/>
                <w:color w:val="000000"/>
                <w:kern w:val="0"/>
                <w:sz w:val="24"/>
                <w:szCs w:val="24"/>
                <w:lang/>
              </w:rPr>
              <w:t>德建</w:t>
            </w:r>
            <w:r>
              <w:rPr>
                <w:rFonts w:ascii="宋体" w:hAnsi="宋体" w:cs="宋体" w:hint="eastAsia"/>
                <w:color w:val="000000"/>
                <w:kern w:val="0"/>
                <w:sz w:val="24"/>
                <w:szCs w:val="24"/>
                <w:lang/>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50,000,434.45</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3.51%</w:t>
            </w:r>
          </w:p>
        </w:tc>
      </w:tr>
      <w:tr w:rsidR="003A75E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A75ED" w:rsidRDefault="00724FF7">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166246</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20</w:t>
            </w:r>
            <w:r>
              <w:rPr>
                <w:rFonts w:ascii="宋体" w:hAnsi="宋体" w:cs="宋体" w:hint="eastAsia"/>
                <w:color w:val="000000"/>
                <w:kern w:val="0"/>
                <w:sz w:val="24"/>
                <w:szCs w:val="24"/>
                <w:lang/>
              </w:rPr>
              <w:t>绿投债</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50,000,434.44</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3A75ED" w:rsidRDefault="00724FF7">
            <w:pPr>
              <w:widowControl/>
              <w:jc w:val="center"/>
              <w:textAlignment w:val="bottom"/>
              <w:rPr>
                <w:rFonts w:ascii="宋体" w:hAnsi="宋体" w:cs="宋体"/>
                <w:color w:val="000000"/>
                <w:kern w:val="0"/>
                <w:sz w:val="24"/>
                <w:szCs w:val="24"/>
                <w:lang/>
              </w:rPr>
            </w:pPr>
            <w:r>
              <w:rPr>
                <w:rFonts w:ascii="宋体" w:hAnsi="宋体" w:cs="宋体" w:hint="eastAsia"/>
                <w:color w:val="000000"/>
                <w:kern w:val="0"/>
                <w:sz w:val="24"/>
                <w:szCs w:val="24"/>
                <w:lang/>
              </w:rPr>
              <w:t>3.51%</w:t>
            </w:r>
          </w:p>
        </w:tc>
      </w:tr>
    </w:tbl>
    <w:p w:rsidR="003A75ED" w:rsidRDefault="003A75ED">
      <w:pPr>
        <w:widowControl/>
        <w:jc w:val="left"/>
        <w:rPr>
          <w:rFonts w:ascii="宋体" w:hAnsi="宋体" w:cs="宋体"/>
          <w:b/>
          <w:sz w:val="24"/>
          <w:szCs w:val="24"/>
          <w:shd w:val="clear" w:color="auto" w:fill="FFFFFF"/>
        </w:rPr>
      </w:pPr>
    </w:p>
    <w:p w:rsidR="003A75ED" w:rsidRDefault="00724FF7">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3A75ED" w:rsidRDefault="003A75ED">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3A75ED">
        <w:tc>
          <w:tcPr>
            <w:tcW w:w="709" w:type="dxa"/>
            <w:tcBorders>
              <w:top w:val="single" w:sz="8" w:space="0" w:color="000000"/>
              <w:left w:val="single" w:sz="8" w:space="0" w:color="000000"/>
              <w:bottom w:val="single" w:sz="6" w:space="0" w:color="000000"/>
              <w:right w:val="single" w:sz="8" w:space="0" w:color="000000"/>
            </w:tcBorders>
            <w:vAlign w:val="center"/>
          </w:tcPr>
          <w:p w:rsidR="003A75ED" w:rsidRDefault="00724FF7">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3A75ED" w:rsidRDefault="00724FF7">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3A75ED" w:rsidRDefault="00724FF7">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3A75ED" w:rsidRDefault="00724FF7">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3A75ED" w:rsidRDefault="00724FF7">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3A75ED" w:rsidRDefault="00724FF7">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3A75ED" w:rsidRDefault="00724FF7">
            <w:pPr>
              <w:pStyle w:val="biaogecenter"/>
              <w:wordWrap w:val="0"/>
              <w:rPr>
                <w:shd w:val="clear" w:color="auto" w:fill="FFFFFF"/>
              </w:rPr>
            </w:pPr>
            <w:r>
              <w:rPr>
                <w:rFonts w:hint="eastAsia"/>
                <w:shd w:val="clear" w:color="auto" w:fill="FFFFFF"/>
              </w:rPr>
              <w:t>风险状况</w:t>
            </w:r>
          </w:p>
        </w:tc>
      </w:tr>
      <w:tr w:rsidR="003A75ED">
        <w:tc>
          <w:tcPr>
            <w:tcW w:w="70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center"/>
              <w:wordWrap w:val="0"/>
              <w:rPr>
                <w:shd w:val="clear" w:color="auto" w:fill="FFFFFF"/>
              </w:rPr>
            </w:pPr>
            <w:r>
              <w:rPr>
                <w:rFonts w:hint="eastAsia"/>
                <w:shd w:val="clear" w:color="auto" w:fill="FFFFFF"/>
              </w:rPr>
              <w:t>常熟市交通公有资产经营有限公司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center"/>
              <w:wordWrap w:val="0"/>
              <w:rPr>
                <w:shd w:val="clear" w:color="auto" w:fill="FFFFFF"/>
              </w:rPr>
            </w:pPr>
            <w:r>
              <w:rPr>
                <w:rFonts w:hint="eastAsia"/>
                <w:shd w:val="clear" w:color="auto" w:fill="FFFFFF"/>
              </w:rPr>
              <w:t>18</w:t>
            </w:r>
            <w:r>
              <w:rPr>
                <w:rFonts w:hint="eastAsia"/>
                <w:shd w:val="clear" w:color="auto" w:fill="FFFFFF"/>
              </w:rPr>
              <w:t>常熟交产</w:t>
            </w:r>
            <w:r>
              <w:rPr>
                <w:rFonts w:hint="eastAsia"/>
                <w:shd w:val="clear" w:color="auto" w:fill="FFFFFF"/>
              </w:rPr>
              <w:t>01</w:t>
            </w:r>
          </w:p>
        </w:tc>
        <w:tc>
          <w:tcPr>
            <w:tcW w:w="1417"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center"/>
              <w:wordWrap w:val="0"/>
              <w:rPr>
                <w:shd w:val="clear" w:color="auto" w:fill="FFFFFF"/>
              </w:rPr>
            </w:pPr>
            <w:r>
              <w:rPr>
                <w:rFonts w:hint="eastAsia"/>
                <w:shd w:val="clear" w:color="auto" w:fill="FFFFFF"/>
              </w:rPr>
              <w:t>88</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center"/>
              <w:wordWrap w:val="0"/>
              <w:rPr>
                <w:shd w:val="clear" w:color="auto" w:fill="FFFFFF"/>
              </w:rPr>
            </w:pPr>
            <w:r>
              <w:rPr>
                <w:rFonts w:hint="eastAsia"/>
                <w:shd w:val="clear" w:color="auto" w:fill="FFFFFF"/>
              </w:rPr>
              <w:t>直接融资工具</w:t>
            </w:r>
            <w:r>
              <w:rPr>
                <w:rFonts w:hint="eastAsia"/>
                <w:shd w:val="clear" w:color="auto" w:fill="FFFFFF"/>
              </w:rPr>
              <w:t>(</w:t>
            </w:r>
            <w:r>
              <w:rPr>
                <w:rFonts w:hint="eastAsia"/>
                <w:shd w:val="clear" w:color="auto" w:fill="FFFFFF"/>
              </w:rPr>
              <w:t>发行</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center"/>
              <w:wordWrap w:val="0"/>
              <w:rPr>
                <w:shd w:val="clear" w:color="auto" w:fill="FFFFFF"/>
              </w:rPr>
            </w:pPr>
            <w:r>
              <w:rPr>
                <w:rFonts w:hint="eastAsia"/>
                <w:shd w:val="clear" w:color="auto" w:fill="FFFFFF"/>
              </w:rPr>
              <w:t>-</w:t>
            </w:r>
          </w:p>
        </w:tc>
      </w:tr>
      <w:tr w:rsidR="003A75ED">
        <w:tc>
          <w:tcPr>
            <w:tcW w:w="709"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center"/>
              <w:wordWrap w:val="0"/>
            </w:pPr>
            <w:r>
              <w:rPr>
                <w:rFonts w:hint="eastAsia"/>
              </w:rPr>
              <w:t>2</w:t>
            </w:r>
          </w:p>
        </w:tc>
        <w:tc>
          <w:tcPr>
            <w:tcW w:w="1276"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center"/>
              <w:wordWrap w:val="0"/>
              <w:rPr>
                <w:shd w:val="clear" w:color="auto" w:fill="FFFFFF"/>
              </w:rPr>
            </w:pPr>
            <w:r>
              <w:rPr>
                <w:rFonts w:hint="eastAsia"/>
                <w:shd w:val="clear" w:color="auto" w:fill="FFFFFF"/>
              </w:rPr>
              <w:t>扬中市交</w:t>
            </w:r>
            <w:r>
              <w:rPr>
                <w:rFonts w:hint="eastAsia"/>
                <w:shd w:val="clear" w:color="auto" w:fill="FFFFFF"/>
              </w:rPr>
              <w:lastRenderedPageBreak/>
              <w:t>通投资发展有限公司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center"/>
              <w:wordWrap w:val="0"/>
              <w:rPr>
                <w:shd w:val="clear" w:color="auto" w:fill="FFFFFF"/>
              </w:rPr>
            </w:pPr>
            <w:r>
              <w:rPr>
                <w:rFonts w:hint="eastAsia"/>
                <w:shd w:val="clear" w:color="auto" w:fill="FFFFFF"/>
              </w:rPr>
              <w:lastRenderedPageBreak/>
              <w:t>18</w:t>
            </w:r>
            <w:r>
              <w:rPr>
                <w:rFonts w:hint="eastAsia"/>
                <w:shd w:val="clear" w:color="auto" w:fill="FFFFFF"/>
              </w:rPr>
              <w:t>苏扬中城投</w:t>
            </w:r>
            <w:r>
              <w:rPr>
                <w:rFonts w:hint="eastAsia"/>
                <w:shd w:val="clear" w:color="auto" w:fill="FFFFFF"/>
              </w:rPr>
              <w:lastRenderedPageBreak/>
              <w:t>ZR001(2+1)</w:t>
            </w:r>
          </w:p>
        </w:tc>
        <w:tc>
          <w:tcPr>
            <w:tcW w:w="1417"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center"/>
              <w:wordWrap w:val="0"/>
              <w:rPr>
                <w:shd w:val="clear" w:color="auto" w:fill="FFFFFF"/>
              </w:rPr>
            </w:pPr>
            <w:r>
              <w:rPr>
                <w:rFonts w:hint="eastAsia"/>
                <w:shd w:val="clear" w:color="auto" w:fill="FFFFFF"/>
              </w:rPr>
              <w:lastRenderedPageBreak/>
              <w:t>79</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center"/>
              <w:wordWrap w:val="0"/>
              <w:rPr>
                <w:shd w:val="clear" w:color="auto" w:fill="FFFFFF"/>
              </w:rPr>
            </w:pPr>
            <w:r>
              <w:rPr>
                <w:rFonts w:hint="eastAsia"/>
                <w:shd w:val="clear" w:color="auto" w:fill="FFFFFF"/>
              </w:rPr>
              <w:t>按年付息，到</w:t>
            </w:r>
            <w:r>
              <w:rPr>
                <w:rFonts w:hint="eastAsia"/>
                <w:shd w:val="clear" w:color="auto" w:fill="FFFFFF"/>
              </w:rPr>
              <w:lastRenderedPageBreak/>
              <w:t>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center"/>
              <w:wordWrap w:val="0"/>
              <w:rPr>
                <w:shd w:val="clear" w:color="auto" w:fill="FFFFFF"/>
              </w:rPr>
            </w:pPr>
            <w:r>
              <w:rPr>
                <w:rFonts w:hint="eastAsia"/>
                <w:shd w:val="clear" w:color="auto" w:fill="FFFFFF"/>
              </w:rPr>
              <w:lastRenderedPageBreak/>
              <w:t>债权融资</w:t>
            </w:r>
            <w:r>
              <w:rPr>
                <w:rFonts w:hint="eastAsia"/>
                <w:shd w:val="clear" w:color="auto" w:fill="FFFFFF"/>
              </w:rPr>
              <w:lastRenderedPageBreak/>
              <w:t>工具</w:t>
            </w:r>
            <w:r>
              <w:rPr>
                <w:rFonts w:hint="eastAsia"/>
                <w:shd w:val="clear" w:color="auto" w:fill="FFFFFF"/>
              </w:rPr>
              <w:t>-</w:t>
            </w:r>
            <w:r>
              <w:rPr>
                <w:rFonts w:hint="eastAsia"/>
                <w:shd w:val="clear" w:color="auto" w:fill="FFFFFF"/>
              </w:rPr>
              <w:t>直接投资</w:t>
            </w:r>
            <w:bookmarkStart w:id="7" w:name="_GoBack"/>
            <w:bookmarkEnd w:id="7"/>
          </w:p>
        </w:tc>
        <w:tc>
          <w:tcPr>
            <w:tcW w:w="851" w:type="dxa"/>
            <w:tcBorders>
              <w:top w:val="single" w:sz="8" w:space="0" w:color="000000"/>
              <w:left w:val="single" w:sz="8" w:space="0" w:color="000000"/>
              <w:bottom w:val="single" w:sz="8" w:space="0" w:color="000000"/>
              <w:right w:val="single" w:sz="8" w:space="0" w:color="000000"/>
            </w:tcBorders>
            <w:vAlign w:val="center"/>
          </w:tcPr>
          <w:p w:rsidR="003A75ED" w:rsidRDefault="00724FF7">
            <w:pPr>
              <w:pStyle w:val="biaogecenter"/>
              <w:wordWrap w:val="0"/>
              <w:rPr>
                <w:shd w:val="clear" w:color="auto" w:fill="FFFFFF"/>
              </w:rPr>
            </w:pPr>
            <w:r>
              <w:rPr>
                <w:rFonts w:hint="eastAsia"/>
                <w:shd w:val="clear" w:color="auto" w:fill="FFFFFF"/>
              </w:rPr>
              <w:lastRenderedPageBreak/>
              <w:t>-</w:t>
            </w:r>
          </w:p>
        </w:tc>
      </w:tr>
    </w:tbl>
    <w:p w:rsidR="003A75ED" w:rsidRDefault="003A75ED">
      <w:pPr>
        <w:widowControl/>
        <w:jc w:val="left"/>
        <w:rPr>
          <w:rFonts w:ascii="宋体" w:hAnsi="宋体" w:cs="宋体"/>
          <w:color w:val="000000"/>
          <w:kern w:val="0"/>
          <w:sz w:val="24"/>
          <w:szCs w:val="24"/>
        </w:rPr>
      </w:pPr>
    </w:p>
    <w:p w:rsidR="003A75ED" w:rsidRDefault="003A75ED">
      <w:pPr>
        <w:widowControl/>
        <w:jc w:val="left"/>
        <w:rPr>
          <w:rFonts w:ascii="宋体" w:hAnsi="宋体" w:cs="宋体"/>
          <w:color w:val="000000"/>
          <w:kern w:val="0"/>
          <w:sz w:val="24"/>
          <w:szCs w:val="24"/>
        </w:rPr>
      </w:pPr>
    </w:p>
    <w:p w:rsidR="003A75ED" w:rsidRDefault="00724FF7">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3A75ED" w:rsidRDefault="00724FF7">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3A75ED" w:rsidRDefault="00724FF7">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3A75ED" w:rsidRDefault="003A75ED">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3A75ED" w:rsidRDefault="003A75ED">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3A75ED" w:rsidRDefault="003A75ED">
      <w:pPr>
        <w:widowControl/>
        <w:jc w:val="left"/>
        <w:rPr>
          <w:rFonts w:ascii="宋体" w:hAnsi="宋体" w:cs="宋体"/>
          <w:color w:val="000000"/>
          <w:kern w:val="0"/>
          <w:sz w:val="24"/>
          <w:szCs w:val="24"/>
        </w:rPr>
      </w:pPr>
    </w:p>
    <w:p w:rsidR="003A75ED" w:rsidRDefault="003A75ED">
      <w:pPr>
        <w:widowControl/>
        <w:jc w:val="left"/>
        <w:rPr>
          <w:rFonts w:ascii="宋体" w:hAnsi="宋体" w:cs="宋体"/>
          <w:color w:val="000000"/>
          <w:kern w:val="0"/>
          <w:sz w:val="24"/>
          <w:szCs w:val="24"/>
        </w:rPr>
      </w:pPr>
    </w:p>
    <w:p w:rsidR="003A75ED" w:rsidRDefault="003A75ED">
      <w:pPr>
        <w:widowControl/>
        <w:jc w:val="left"/>
        <w:rPr>
          <w:rFonts w:ascii="宋体" w:hAnsi="宋体" w:cs="宋体"/>
          <w:color w:val="000000"/>
          <w:kern w:val="0"/>
          <w:sz w:val="24"/>
          <w:szCs w:val="24"/>
        </w:rPr>
      </w:pPr>
    </w:p>
    <w:p w:rsidR="003A75ED" w:rsidRDefault="003A75ED">
      <w:pPr>
        <w:widowControl/>
        <w:jc w:val="left"/>
        <w:rPr>
          <w:color w:val="000000"/>
        </w:rPr>
      </w:pPr>
    </w:p>
    <w:p w:rsidR="003A75ED" w:rsidRDefault="00724FF7">
      <w:pPr>
        <w:pStyle w:val="biaogeright"/>
        <w:rPr>
          <w:b/>
        </w:rPr>
      </w:pPr>
      <w:r>
        <w:rPr>
          <w:rFonts w:hint="eastAsia"/>
          <w:b/>
        </w:rPr>
        <w:t>南京银行股份有限公司</w:t>
      </w:r>
    </w:p>
    <w:p w:rsidR="003A75ED" w:rsidRDefault="00724FF7">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3A75ED" w:rsidRDefault="003A75ED">
      <w:pPr>
        <w:pStyle w:val="biaogeright"/>
        <w:rPr>
          <w:color w:val="000000"/>
        </w:rPr>
      </w:pPr>
    </w:p>
    <w:sectPr w:rsidR="003A75ED" w:rsidSect="003A75ED">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4FF7" w:rsidRDefault="00724FF7" w:rsidP="003A75ED">
      <w:r>
        <w:separator/>
      </w:r>
    </w:p>
  </w:endnote>
  <w:endnote w:type="continuationSeparator" w:id="1">
    <w:p w:rsidR="00724FF7" w:rsidRDefault="00724FF7" w:rsidP="003A75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5ED" w:rsidRDefault="003A75ED">
    <w:pPr>
      <w:pStyle w:val="a5"/>
      <w:framePr w:wrap="around" w:vAnchor="text" w:hAnchor="margin" w:xAlign="center" w:y="1"/>
      <w:rPr>
        <w:rStyle w:val="aa"/>
      </w:rPr>
    </w:pPr>
    <w:r>
      <w:fldChar w:fldCharType="begin"/>
    </w:r>
    <w:r w:rsidR="00724FF7">
      <w:rPr>
        <w:rStyle w:val="aa"/>
      </w:rPr>
      <w:instrText xml:space="preserve">PAGE  </w:instrText>
    </w:r>
    <w:r>
      <w:fldChar w:fldCharType="end"/>
    </w:r>
  </w:p>
  <w:p w:rsidR="003A75ED" w:rsidRDefault="003A75E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5ED" w:rsidRDefault="003A75ED">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0C5" w:rsidRDefault="00D600C5">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5ED" w:rsidRDefault="003A75ED">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5ED" w:rsidRDefault="003A75E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4FF7" w:rsidRDefault="00724FF7" w:rsidP="003A75ED">
      <w:r>
        <w:separator/>
      </w:r>
    </w:p>
  </w:footnote>
  <w:footnote w:type="continuationSeparator" w:id="1">
    <w:p w:rsidR="00724FF7" w:rsidRDefault="00724FF7" w:rsidP="003A75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0C5" w:rsidRDefault="00D600C5">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0C5" w:rsidRDefault="00D600C5">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0C5" w:rsidRDefault="00D600C5">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3A42"/>
    <w:rsid w:val="000060E5"/>
    <w:rsid w:val="000234FF"/>
    <w:rsid w:val="00034FF6"/>
    <w:rsid w:val="0004129D"/>
    <w:rsid w:val="00044BFF"/>
    <w:rsid w:val="0005474A"/>
    <w:rsid w:val="00055D6E"/>
    <w:rsid w:val="00061725"/>
    <w:rsid w:val="00072777"/>
    <w:rsid w:val="000A3711"/>
    <w:rsid w:val="000D5066"/>
    <w:rsid w:val="000F6191"/>
    <w:rsid w:val="001047EB"/>
    <w:rsid w:val="00124F05"/>
    <w:rsid w:val="00130CE8"/>
    <w:rsid w:val="0014651F"/>
    <w:rsid w:val="00152201"/>
    <w:rsid w:val="00172A27"/>
    <w:rsid w:val="00176636"/>
    <w:rsid w:val="00183C84"/>
    <w:rsid w:val="001859DC"/>
    <w:rsid w:val="001C05F9"/>
    <w:rsid w:val="001C5395"/>
    <w:rsid w:val="001D51CB"/>
    <w:rsid w:val="00211F26"/>
    <w:rsid w:val="002231D4"/>
    <w:rsid w:val="002263FC"/>
    <w:rsid w:val="002A33A8"/>
    <w:rsid w:val="002A3AE9"/>
    <w:rsid w:val="002A428D"/>
    <w:rsid w:val="002C196E"/>
    <w:rsid w:val="002D296F"/>
    <w:rsid w:val="002D75D0"/>
    <w:rsid w:val="002E6275"/>
    <w:rsid w:val="002E795C"/>
    <w:rsid w:val="00305714"/>
    <w:rsid w:val="00313E71"/>
    <w:rsid w:val="00321B68"/>
    <w:rsid w:val="00321CB7"/>
    <w:rsid w:val="003230BF"/>
    <w:rsid w:val="003379A9"/>
    <w:rsid w:val="00344DC9"/>
    <w:rsid w:val="00350ADF"/>
    <w:rsid w:val="00355623"/>
    <w:rsid w:val="003A0419"/>
    <w:rsid w:val="003A75ED"/>
    <w:rsid w:val="003C4D3B"/>
    <w:rsid w:val="003E09EA"/>
    <w:rsid w:val="003F0AC3"/>
    <w:rsid w:val="00404381"/>
    <w:rsid w:val="00456251"/>
    <w:rsid w:val="004C1607"/>
    <w:rsid w:val="004C1BE1"/>
    <w:rsid w:val="004D348A"/>
    <w:rsid w:val="004D5C51"/>
    <w:rsid w:val="005069D8"/>
    <w:rsid w:val="0056162E"/>
    <w:rsid w:val="00563B93"/>
    <w:rsid w:val="00567DB3"/>
    <w:rsid w:val="00575BEA"/>
    <w:rsid w:val="0058732E"/>
    <w:rsid w:val="005A5A31"/>
    <w:rsid w:val="005B3434"/>
    <w:rsid w:val="005E2884"/>
    <w:rsid w:val="005E5050"/>
    <w:rsid w:val="005F2C7B"/>
    <w:rsid w:val="005F4D04"/>
    <w:rsid w:val="005F7DA9"/>
    <w:rsid w:val="006054F8"/>
    <w:rsid w:val="0065419A"/>
    <w:rsid w:val="00654220"/>
    <w:rsid w:val="00663B94"/>
    <w:rsid w:val="00677F66"/>
    <w:rsid w:val="006A7839"/>
    <w:rsid w:val="006B2015"/>
    <w:rsid w:val="006C7F31"/>
    <w:rsid w:val="006E4E94"/>
    <w:rsid w:val="00724FF7"/>
    <w:rsid w:val="00730BEE"/>
    <w:rsid w:val="0073101E"/>
    <w:rsid w:val="00735153"/>
    <w:rsid w:val="007402A0"/>
    <w:rsid w:val="00745421"/>
    <w:rsid w:val="0079533F"/>
    <w:rsid w:val="007A4219"/>
    <w:rsid w:val="00800D76"/>
    <w:rsid w:val="0080200C"/>
    <w:rsid w:val="00814110"/>
    <w:rsid w:val="0082561A"/>
    <w:rsid w:val="00846B2E"/>
    <w:rsid w:val="00853290"/>
    <w:rsid w:val="0085663C"/>
    <w:rsid w:val="0087217C"/>
    <w:rsid w:val="008768AB"/>
    <w:rsid w:val="008926F7"/>
    <w:rsid w:val="00894575"/>
    <w:rsid w:val="008A7510"/>
    <w:rsid w:val="008C78BD"/>
    <w:rsid w:val="008F0FA3"/>
    <w:rsid w:val="00900D90"/>
    <w:rsid w:val="009354D6"/>
    <w:rsid w:val="00970A98"/>
    <w:rsid w:val="009C781F"/>
    <w:rsid w:val="009D5296"/>
    <w:rsid w:val="009E6170"/>
    <w:rsid w:val="009E728E"/>
    <w:rsid w:val="00A37451"/>
    <w:rsid w:val="00A4484F"/>
    <w:rsid w:val="00A76D4B"/>
    <w:rsid w:val="00A77C47"/>
    <w:rsid w:val="00A9119C"/>
    <w:rsid w:val="00AA4549"/>
    <w:rsid w:val="00AB080F"/>
    <w:rsid w:val="00AC5144"/>
    <w:rsid w:val="00B13014"/>
    <w:rsid w:val="00B144EE"/>
    <w:rsid w:val="00B17559"/>
    <w:rsid w:val="00B33B19"/>
    <w:rsid w:val="00B404E6"/>
    <w:rsid w:val="00B4360D"/>
    <w:rsid w:val="00B61EA9"/>
    <w:rsid w:val="00B670D1"/>
    <w:rsid w:val="00B70B08"/>
    <w:rsid w:val="00B74DCA"/>
    <w:rsid w:val="00B979AF"/>
    <w:rsid w:val="00BC02E0"/>
    <w:rsid w:val="00BC3903"/>
    <w:rsid w:val="00BE47E0"/>
    <w:rsid w:val="00BF75C8"/>
    <w:rsid w:val="00C06C92"/>
    <w:rsid w:val="00C14D43"/>
    <w:rsid w:val="00C1762E"/>
    <w:rsid w:val="00C22DF9"/>
    <w:rsid w:val="00C25123"/>
    <w:rsid w:val="00C30A48"/>
    <w:rsid w:val="00C375A7"/>
    <w:rsid w:val="00C62DF8"/>
    <w:rsid w:val="00C640FB"/>
    <w:rsid w:val="00C76555"/>
    <w:rsid w:val="00CA0FB5"/>
    <w:rsid w:val="00CA2674"/>
    <w:rsid w:val="00CB054E"/>
    <w:rsid w:val="00CC3D51"/>
    <w:rsid w:val="00CC52D7"/>
    <w:rsid w:val="00D23AB6"/>
    <w:rsid w:val="00D42895"/>
    <w:rsid w:val="00D50309"/>
    <w:rsid w:val="00D51AA9"/>
    <w:rsid w:val="00D600C5"/>
    <w:rsid w:val="00D7264A"/>
    <w:rsid w:val="00D84E43"/>
    <w:rsid w:val="00D870DF"/>
    <w:rsid w:val="00D90DC6"/>
    <w:rsid w:val="00DB0C2F"/>
    <w:rsid w:val="00DB3BF6"/>
    <w:rsid w:val="00DC31CC"/>
    <w:rsid w:val="00DC728A"/>
    <w:rsid w:val="00DD2F3C"/>
    <w:rsid w:val="00E1059D"/>
    <w:rsid w:val="00E155DF"/>
    <w:rsid w:val="00E246E1"/>
    <w:rsid w:val="00E560F1"/>
    <w:rsid w:val="00E944FA"/>
    <w:rsid w:val="00E9797A"/>
    <w:rsid w:val="00EA7ABC"/>
    <w:rsid w:val="00EB2746"/>
    <w:rsid w:val="00EE0436"/>
    <w:rsid w:val="00F1465C"/>
    <w:rsid w:val="00F41324"/>
    <w:rsid w:val="00F57C12"/>
    <w:rsid w:val="00F609FD"/>
    <w:rsid w:val="00F73802"/>
    <w:rsid w:val="00F859AB"/>
    <w:rsid w:val="00F950D0"/>
    <w:rsid w:val="00FA2C26"/>
    <w:rsid w:val="030F2BA7"/>
    <w:rsid w:val="04240CEE"/>
    <w:rsid w:val="065551D3"/>
    <w:rsid w:val="06C37561"/>
    <w:rsid w:val="0A236A5A"/>
    <w:rsid w:val="0BA075C8"/>
    <w:rsid w:val="0CAB045E"/>
    <w:rsid w:val="10C60AB9"/>
    <w:rsid w:val="111D4539"/>
    <w:rsid w:val="13297F9C"/>
    <w:rsid w:val="134727C6"/>
    <w:rsid w:val="141A5102"/>
    <w:rsid w:val="15FE575C"/>
    <w:rsid w:val="177920C8"/>
    <w:rsid w:val="18EC47C1"/>
    <w:rsid w:val="19A85A80"/>
    <w:rsid w:val="1AB73E2C"/>
    <w:rsid w:val="1ADC05C7"/>
    <w:rsid w:val="1E911FB2"/>
    <w:rsid w:val="1F274305"/>
    <w:rsid w:val="20F325AF"/>
    <w:rsid w:val="216F6F5C"/>
    <w:rsid w:val="22E23E75"/>
    <w:rsid w:val="24914F4C"/>
    <w:rsid w:val="2555668E"/>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BE1FB8"/>
    <w:rsid w:val="3C753CC7"/>
    <w:rsid w:val="3F2C3B54"/>
    <w:rsid w:val="40990310"/>
    <w:rsid w:val="44F30C78"/>
    <w:rsid w:val="459870AF"/>
    <w:rsid w:val="45ED49CE"/>
    <w:rsid w:val="46F0109E"/>
    <w:rsid w:val="47475A63"/>
    <w:rsid w:val="4BCA232B"/>
    <w:rsid w:val="4E276A76"/>
    <w:rsid w:val="506954C1"/>
    <w:rsid w:val="509017BA"/>
    <w:rsid w:val="51482FC3"/>
    <w:rsid w:val="52830253"/>
    <w:rsid w:val="541C469D"/>
    <w:rsid w:val="55F73C55"/>
    <w:rsid w:val="5617604A"/>
    <w:rsid w:val="5BE61B5E"/>
    <w:rsid w:val="5CA05A23"/>
    <w:rsid w:val="5EC71EB3"/>
    <w:rsid w:val="602D020F"/>
    <w:rsid w:val="60EA4BD2"/>
    <w:rsid w:val="62BD595C"/>
    <w:rsid w:val="66F47EBC"/>
    <w:rsid w:val="675121CA"/>
    <w:rsid w:val="681903E9"/>
    <w:rsid w:val="68823415"/>
    <w:rsid w:val="6898111C"/>
    <w:rsid w:val="68A21F24"/>
    <w:rsid w:val="6A485270"/>
    <w:rsid w:val="6A970E7E"/>
    <w:rsid w:val="6D05415D"/>
    <w:rsid w:val="6F66394D"/>
    <w:rsid w:val="73193673"/>
    <w:rsid w:val="742938C1"/>
    <w:rsid w:val="74543F24"/>
    <w:rsid w:val="74BE328D"/>
    <w:rsid w:val="77B45190"/>
    <w:rsid w:val="7BB15DFE"/>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75E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3A75ED"/>
    <w:pPr>
      <w:jc w:val="left"/>
    </w:pPr>
  </w:style>
  <w:style w:type="paragraph" w:styleId="a4">
    <w:name w:val="Balloon Text"/>
    <w:basedOn w:val="a"/>
    <w:link w:val="Char0"/>
    <w:uiPriority w:val="99"/>
    <w:unhideWhenUsed/>
    <w:qFormat/>
    <w:rsid w:val="003A75ED"/>
    <w:rPr>
      <w:sz w:val="18"/>
      <w:szCs w:val="18"/>
    </w:rPr>
  </w:style>
  <w:style w:type="paragraph" w:styleId="a5">
    <w:name w:val="footer"/>
    <w:basedOn w:val="a"/>
    <w:link w:val="Char1"/>
    <w:uiPriority w:val="99"/>
    <w:unhideWhenUsed/>
    <w:qFormat/>
    <w:rsid w:val="003A75ED"/>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3A75ED"/>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3A75ED"/>
    <w:pPr>
      <w:snapToGrid w:val="0"/>
      <w:jc w:val="left"/>
    </w:pPr>
    <w:rPr>
      <w:sz w:val="18"/>
    </w:rPr>
  </w:style>
  <w:style w:type="paragraph" w:styleId="a8">
    <w:name w:val="Normal (Web)"/>
    <w:basedOn w:val="a"/>
    <w:qFormat/>
    <w:rsid w:val="003A75ED"/>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3A75ED"/>
    <w:rPr>
      <w:b/>
      <w:bCs/>
    </w:rPr>
  </w:style>
  <w:style w:type="character" w:styleId="aa">
    <w:name w:val="page number"/>
    <w:basedOn w:val="a0"/>
    <w:uiPriority w:val="99"/>
    <w:unhideWhenUsed/>
    <w:qFormat/>
    <w:rsid w:val="003A75ED"/>
  </w:style>
  <w:style w:type="character" w:styleId="ab">
    <w:name w:val="annotation reference"/>
    <w:uiPriority w:val="99"/>
    <w:unhideWhenUsed/>
    <w:qFormat/>
    <w:rsid w:val="003A75ED"/>
    <w:rPr>
      <w:sz w:val="21"/>
      <w:szCs w:val="21"/>
    </w:rPr>
  </w:style>
  <w:style w:type="character" w:styleId="ac">
    <w:name w:val="footnote reference"/>
    <w:uiPriority w:val="99"/>
    <w:unhideWhenUsed/>
    <w:qFormat/>
    <w:rsid w:val="003A75ED"/>
    <w:rPr>
      <w:vertAlign w:val="superscript"/>
    </w:rPr>
  </w:style>
  <w:style w:type="character" w:customStyle="1" w:styleId="Char0">
    <w:name w:val="批注框文本 Char"/>
    <w:link w:val="a4"/>
    <w:uiPriority w:val="99"/>
    <w:semiHidden/>
    <w:qFormat/>
    <w:rsid w:val="003A75ED"/>
    <w:rPr>
      <w:kern w:val="2"/>
      <w:sz w:val="18"/>
      <w:szCs w:val="18"/>
    </w:rPr>
  </w:style>
  <w:style w:type="character" w:customStyle="1" w:styleId="Char2">
    <w:name w:val="页眉 Char"/>
    <w:link w:val="a6"/>
    <w:uiPriority w:val="99"/>
    <w:semiHidden/>
    <w:qFormat/>
    <w:locked/>
    <w:rsid w:val="003A75ED"/>
    <w:rPr>
      <w:rFonts w:ascii="Times New Roman" w:hAnsi="Times New Roman" w:cs="Times New Roman" w:hint="default"/>
      <w:sz w:val="18"/>
      <w:szCs w:val="18"/>
    </w:rPr>
  </w:style>
  <w:style w:type="character" w:customStyle="1" w:styleId="Char3">
    <w:name w:val="批注主题 Char"/>
    <w:link w:val="a9"/>
    <w:uiPriority w:val="99"/>
    <w:semiHidden/>
    <w:qFormat/>
    <w:rsid w:val="003A75ED"/>
    <w:rPr>
      <w:b/>
      <w:bCs/>
      <w:kern w:val="2"/>
      <w:sz w:val="21"/>
      <w:szCs w:val="22"/>
    </w:rPr>
  </w:style>
  <w:style w:type="character" w:customStyle="1" w:styleId="Char1">
    <w:name w:val="页脚 Char"/>
    <w:link w:val="a5"/>
    <w:uiPriority w:val="99"/>
    <w:semiHidden/>
    <w:qFormat/>
    <w:locked/>
    <w:rsid w:val="003A75ED"/>
    <w:rPr>
      <w:rFonts w:ascii="Times New Roman" w:hAnsi="Times New Roman" w:cs="Times New Roman" w:hint="default"/>
      <w:sz w:val="18"/>
      <w:szCs w:val="18"/>
    </w:rPr>
  </w:style>
  <w:style w:type="character" w:customStyle="1" w:styleId="Char">
    <w:name w:val="批注文字 Char"/>
    <w:link w:val="a3"/>
    <w:uiPriority w:val="99"/>
    <w:qFormat/>
    <w:rsid w:val="003A75ED"/>
    <w:rPr>
      <w:kern w:val="2"/>
      <w:sz w:val="21"/>
      <w:szCs w:val="22"/>
    </w:rPr>
  </w:style>
  <w:style w:type="paragraph" w:customStyle="1" w:styleId="zhongyaotishi">
    <w:name w:val="zhongyaotishi"/>
    <w:basedOn w:val="a"/>
    <w:qFormat/>
    <w:rsid w:val="003A75ED"/>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3A75ED"/>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3A75ED"/>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3A75ED"/>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3A75ED"/>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3A75ED"/>
    <w:pPr>
      <w:widowControl w:val="0"/>
      <w:jc w:val="center"/>
    </w:pPr>
    <w:rPr>
      <w:kern w:val="2"/>
      <w:sz w:val="33"/>
      <w:szCs w:val="22"/>
    </w:rPr>
  </w:style>
  <w:style w:type="paragraph" w:customStyle="1" w:styleId="biaogeleft">
    <w:name w:val="biaoge_left"/>
    <w:basedOn w:val="a"/>
    <w:qFormat/>
    <w:rsid w:val="003A75ED"/>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3A75ED"/>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3A75ED"/>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3A75ED"/>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3A75ED"/>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3A75ED"/>
    <w:pPr>
      <w:widowControl w:val="0"/>
    </w:pPr>
    <w:rPr>
      <w:kern w:val="2"/>
      <w:sz w:val="21"/>
      <w:szCs w:val="22"/>
    </w:rPr>
  </w:style>
  <w:style w:type="paragraph" w:customStyle="1" w:styleId="neirong">
    <w:name w:val="neirong"/>
    <w:basedOn w:val="a"/>
    <w:qFormat/>
    <w:rsid w:val="003A75ED"/>
    <w:pPr>
      <w:widowControl/>
      <w:autoSpaceDE w:val="0"/>
      <w:autoSpaceDN w:val="0"/>
      <w:adjustRightInd w:val="0"/>
      <w:spacing w:before="29" w:line="288" w:lineRule="auto"/>
      <w:ind w:left="15"/>
      <w:jc w:val="left"/>
    </w:pPr>
    <w:rPr>
      <w:rFonts w:ascii="宋体" w:hAnsi="宋体" w:cs="宋体"/>
      <w:kern w:val="0"/>
      <w:sz w:val="24"/>
      <w:szCs w:val="24"/>
    </w:rPr>
  </w:style>
  <w:style w:type="character" w:customStyle="1" w:styleId="show1">
    <w:name w:val="show1"/>
    <w:basedOn w:val="a0"/>
    <w:qFormat/>
    <w:rsid w:val="003A75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10</Pages>
  <Words>881</Words>
  <Characters>5023</Characters>
  <Application>Microsoft Office Word</Application>
  <DocSecurity>0</DocSecurity>
  <Lines>41</Lines>
  <Paragraphs>11</Paragraphs>
  <ScaleCrop>false</ScaleCrop>
  <Company>微软中国</Company>
  <LinksUpToDate>false</LinksUpToDate>
  <CharactersWithSpaces>5893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37</cp:revision>
  <cp:lastPrinted>2019-09-11T00:56:00Z</cp:lastPrinted>
  <dcterms:created xsi:type="dcterms:W3CDTF">2020-12-16T03:30:00Z</dcterms:created>
  <dcterms:modified xsi:type="dcterms:W3CDTF">2021-03-30T02:17:00Z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619C2BDD545C4BF0AF20B7A59521FFB5</vt:lpwstr>
  </property>
</Properties>
</file>