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EB" w:rsidRDefault="00D644EB">
      <w:pPr>
        <w:pStyle w:val="dazhangjie"/>
        <w:rPr>
          <w:b/>
          <w:bCs/>
          <w:color w:val="000000"/>
        </w:rPr>
      </w:pPr>
    </w:p>
    <w:p w:rsidR="00D644EB" w:rsidRDefault="00D644EB">
      <w:pPr>
        <w:pStyle w:val="dazhangjie"/>
        <w:rPr>
          <w:b/>
          <w:bCs/>
          <w:color w:val="000000"/>
        </w:rPr>
      </w:pPr>
    </w:p>
    <w:p w:rsidR="00D644EB" w:rsidRDefault="00D644EB">
      <w:pPr>
        <w:pStyle w:val="dazhangjie"/>
        <w:rPr>
          <w:b/>
          <w:bCs/>
          <w:color w:val="000000"/>
        </w:rPr>
      </w:pPr>
    </w:p>
    <w:p w:rsidR="00D644EB" w:rsidRDefault="00AE7140">
      <w:pPr>
        <w:pStyle w:val="dazhangjie"/>
        <w:spacing w:before="240" w:after="120"/>
        <w:rPr>
          <w:rFonts w:ascii="黑体" w:eastAsia="黑体" w:hAnsi="黑体"/>
          <w:b/>
          <w:bCs/>
          <w:sz w:val="36"/>
        </w:rPr>
      </w:pPr>
      <w:r>
        <w:rPr>
          <w:rFonts w:ascii="黑体" w:eastAsia="黑体" w:hAnsi="黑体" w:hint="eastAsia"/>
          <w:b/>
          <w:bCs/>
          <w:sz w:val="36"/>
        </w:rPr>
        <w:t>南京银行珠联璧合行稳</w:t>
      </w:r>
      <w:r>
        <w:rPr>
          <w:rFonts w:ascii="黑体" w:eastAsia="黑体" w:hAnsi="黑体" w:hint="eastAsia"/>
          <w:b/>
          <w:bCs/>
          <w:sz w:val="36"/>
        </w:rPr>
        <w:t>1906</w:t>
      </w:r>
      <w:r>
        <w:rPr>
          <w:rFonts w:ascii="黑体" w:eastAsia="黑体" w:hAnsi="黑体" w:hint="eastAsia"/>
          <w:b/>
          <w:bCs/>
          <w:sz w:val="36"/>
        </w:rPr>
        <w:t>一年定开公募人民币理财产品</w:t>
      </w:r>
    </w:p>
    <w:p w:rsidR="00D644EB" w:rsidRDefault="00AE7140">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rPr>
          <w:rFonts w:ascii="黑体" w:eastAsia="黑体" w:hAnsi="黑体"/>
          <w:b/>
          <w:bCs/>
          <w:color w:val="000000"/>
          <w:sz w:val="36"/>
        </w:rPr>
      </w:pPr>
    </w:p>
    <w:p w:rsidR="00D644EB" w:rsidRDefault="00D644EB">
      <w:pPr>
        <w:pStyle w:val="dazhangjie"/>
        <w:spacing w:before="240" w:after="120"/>
        <w:ind w:left="0"/>
        <w:jc w:val="both"/>
        <w:rPr>
          <w:rFonts w:ascii="黑体" w:eastAsia="黑体" w:hAnsi="黑体"/>
          <w:b/>
          <w:bCs/>
          <w:color w:val="000000"/>
          <w:sz w:val="36"/>
        </w:rPr>
      </w:pPr>
    </w:p>
    <w:p w:rsidR="00D644EB" w:rsidRDefault="00AE7140">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D644EB" w:rsidRDefault="00AE7140">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D644EB" w:rsidRDefault="00D644EB">
      <w:pPr>
        <w:widowControl/>
        <w:jc w:val="left"/>
        <w:rPr>
          <w:rFonts w:ascii="宋体" w:hAnsi="宋体" w:cs="宋体"/>
          <w:color w:val="000000"/>
          <w:kern w:val="0"/>
          <w:sz w:val="24"/>
          <w:szCs w:val="24"/>
        </w:rPr>
        <w:sectPr w:rsidR="00D644EB">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D644EB" w:rsidRDefault="00D644EB">
      <w:pPr>
        <w:widowControl/>
        <w:jc w:val="left"/>
        <w:rPr>
          <w:rFonts w:ascii="宋体" w:hAnsi="宋体" w:cs="宋体"/>
          <w:color w:val="000000"/>
          <w:kern w:val="0"/>
          <w:sz w:val="24"/>
          <w:szCs w:val="24"/>
        </w:rPr>
      </w:pPr>
    </w:p>
    <w:p w:rsidR="00D644EB" w:rsidRDefault="00AE7140">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D644EB" w:rsidRDefault="00D644EB">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南京银行珠联璧合行稳</w:t>
            </w:r>
            <w:r>
              <w:rPr>
                <w:rFonts w:hint="eastAsia"/>
              </w:rPr>
              <w:t>1906</w:t>
            </w:r>
            <w:r>
              <w:rPr>
                <w:rFonts w:hint="eastAsia"/>
              </w:rPr>
              <w:t>一年定开公募人民币理财产品</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pPr>
            <w:r>
              <w:t>C1086919000010</w:t>
            </w:r>
            <w:r>
              <w:rPr>
                <w:rFonts w:hint="eastAsia"/>
              </w:rPr>
              <w:t>（投资者可依据该编码在中国理财网</w:t>
            </w:r>
            <w:r>
              <w:rPr>
                <w:rFonts w:hint="eastAsia"/>
              </w:rPr>
              <w:t>www.chinawealth.com.cn</w:t>
            </w:r>
            <w:r>
              <w:rPr>
                <w:rFonts w:hint="eastAsia"/>
              </w:rPr>
              <w:t>查询理财产品相关信息）</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开放式</w:t>
            </w:r>
            <w:r>
              <w:rPr>
                <w:rFonts w:hint="eastAsia"/>
              </w:rPr>
              <w:t>净值型</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314CE1">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2019</w:t>
            </w:r>
            <w:r>
              <w:rPr>
                <w:rFonts w:hint="eastAsia"/>
              </w:rPr>
              <w:t>年</w:t>
            </w:r>
            <w:r>
              <w:rPr>
                <w:rFonts w:hint="eastAsia"/>
              </w:rPr>
              <w:t>06</w:t>
            </w:r>
            <w:r>
              <w:rPr>
                <w:rFonts w:hint="eastAsia"/>
              </w:rPr>
              <w:t>月</w:t>
            </w:r>
            <w:r>
              <w:rPr>
                <w:rFonts w:hint="eastAsia"/>
              </w:rPr>
              <w:t>26</w:t>
            </w:r>
            <w:r>
              <w:rPr>
                <w:rFonts w:hint="eastAsia"/>
              </w:rPr>
              <w:t>日</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highlight w:val="yellow"/>
              </w:rPr>
            </w:pPr>
            <w:r>
              <w:rPr>
                <w:rFonts w:hint="eastAsia"/>
              </w:rPr>
              <w:t>1,670,948,934.67</w:t>
            </w:r>
            <w:r>
              <w:rPr>
                <w:rFonts w:hint="eastAsia"/>
              </w:rPr>
              <w:t>份</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105.05%</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南京银行股份有限公司</w:t>
            </w:r>
          </w:p>
        </w:tc>
      </w:tr>
      <w:tr w:rsidR="00D644EB">
        <w:tc>
          <w:tcPr>
            <w:tcW w:w="281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left"/>
              <w:wordWrap w:val="0"/>
              <w:rPr>
                <w:color w:val="000000"/>
              </w:rPr>
            </w:pPr>
            <w:r>
              <w:rPr>
                <w:rFonts w:hint="eastAsia"/>
              </w:rPr>
              <w:t>南京银行股份有限公司</w:t>
            </w:r>
          </w:p>
        </w:tc>
      </w:tr>
    </w:tbl>
    <w:p w:rsidR="00D644EB" w:rsidRDefault="00D644EB">
      <w:pPr>
        <w:widowControl/>
        <w:jc w:val="left"/>
        <w:rPr>
          <w:rFonts w:ascii="宋体" w:hAnsi="宋体" w:cs="宋体"/>
          <w:color w:val="000000"/>
          <w:kern w:val="0"/>
          <w:sz w:val="24"/>
          <w:szCs w:val="24"/>
        </w:rPr>
      </w:pPr>
    </w:p>
    <w:p w:rsidR="00D644EB" w:rsidRDefault="00D644EB">
      <w:pPr>
        <w:pStyle w:val="dazhangjie"/>
        <w:rPr>
          <w:rFonts w:hAnsi="Calibri"/>
          <w:b/>
          <w:color w:val="000000"/>
        </w:rPr>
      </w:pPr>
    </w:p>
    <w:p w:rsidR="00D644EB" w:rsidRDefault="00AE7140">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D644EB" w:rsidRDefault="00D644EB">
      <w:pPr>
        <w:widowControl/>
        <w:jc w:val="left"/>
        <w:rPr>
          <w:rFonts w:ascii="宋体" w:hAnsi="宋体" w:cs="宋体"/>
          <w:color w:val="000000"/>
          <w:kern w:val="0"/>
          <w:sz w:val="24"/>
          <w:szCs w:val="24"/>
        </w:rPr>
      </w:pPr>
    </w:p>
    <w:p w:rsidR="00D644EB" w:rsidRDefault="00AE7140">
      <w:pPr>
        <w:pStyle w:val="zhangjiep"/>
        <w:rPr>
          <w:color w:val="000000"/>
        </w:rPr>
      </w:pPr>
      <w:r>
        <w:rPr>
          <w:rFonts w:hint="eastAsia"/>
          <w:b/>
          <w:bCs/>
          <w:color w:val="000000"/>
        </w:rPr>
        <w:t xml:space="preserve">2.1 </w:t>
      </w:r>
      <w:r>
        <w:rPr>
          <w:rFonts w:hint="eastAsia"/>
          <w:b/>
          <w:bCs/>
          <w:color w:val="000000"/>
        </w:rPr>
        <w:t>主要财务指标</w:t>
      </w:r>
    </w:p>
    <w:p w:rsidR="00D644EB" w:rsidRDefault="00AE714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D644EB">
        <w:tc>
          <w:tcPr>
            <w:tcW w:w="5220"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D644EB">
        <w:tc>
          <w:tcPr>
            <w:tcW w:w="5220"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right"/>
              <w:jc w:val="center"/>
              <w:rPr>
                <w:color w:val="000000"/>
                <w:highlight w:val="yellow"/>
              </w:rPr>
            </w:pPr>
            <w:r>
              <w:rPr>
                <w:rFonts w:hint="eastAsia"/>
              </w:rPr>
              <w:t>1,718,111,622.17</w:t>
            </w:r>
          </w:p>
        </w:tc>
      </w:tr>
      <w:tr w:rsidR="00D644EB">
        <w:tc>
          <w:tcPr>
            <w:tcW w:w="5220"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right"/>
              <w:jc w:val="center"/>
              <w:rPr>
                <w:color w:val="000000"/>
                <w:highlight w:val="yellow"/>
              </w:rPr>
            </w:pPr>
            <w:r>
              <w:rPr>
                <w:rFonts w:hint="eastAsia"/>
              </w:rPr>
              <w:t>1.0282</w:t>
            </w:r>
          </w:p>
        </w:tc>
      </w:tr>
      <w:tr w:rsidR="00D644EB">
        <w:tc>
          <w:tcPr>
            <w:tcW w:w="5220"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right"/>
              <w:jc w:val="center"/>
              <w:rPr>
                <w:color w:val="000000"/>
                <w:highlight w:val="yellow"/>
              </w:rPr>
            </w:pPr>
            <w:r>
              <w:rPr>
                <w:color w:val="000000"/>
              </w:rPr>
              <w:t>1.0830</w:t>
            </w:r>
          </w:p>
        </w:tc>
      </w:tr>
      <w:tr w:rsidR="00D644EB">
        <w:tc>
          <w:tcPr>
            <w:tcW w:w="5220" w:type="dxa"/>
            <w:vAlign w:val="center"/>
          </w:tcPr>
          <w:p w:rsidR="00D644EB" w:rsidRDefault="00D644EB">
            <w:pPr>
              <w:widowControl/>
              <w:jc w:val="left"/>
              <w:rPr>
                <w:rFonts w:ascii="宋体" w:hAnsi="宋体" w:cs="宋体"/>
                <w:color w:val="000000"/>
                <w:kern w:val="0"/>
                <w:sz w:val="24"/>
                <w:szCs w:val="24"/>
              </w:rPr>
            </w:pPr>
          </w:p>
        </w:tc>
        <w:tc>
          <w:tcPr>
            <w:tcW w:w="3825" w:type="dxa"/>
            <w:vAlign w:val="center"/>
          </w:tcPr>
          <w:p w:rsidR="00D644EB" w:rsidRDefault="00D644EB">
            <w:pPr>
              <w:widowControl/>
              <w:jc w:val="left"/>
              <w:rPr>
                <w:color w:val="000000"/>
                <w:kern w:val="0"/>
                <w:sz w:val="20"/>
                <w:szCs w:val="20"/>
              </w:rPr>
            </w:pPr>
          </w:p>
        </w:tc>
      </w:tr>
    </w:tbl>
    <w:p w:rsidR="00D644EB" w:rsidRDefault="00D644EB">
      <w:pPr>
        <w:pStyle w:val="biaogeleft"/>
        <w:ind w:left="0"/>
        <w:rPr>
          <w:color w:val="000000"/>
        </w:rPr>
      </w:pPr>
    </w:p>
    <w:p w:rsidR="00D644EB" w:rsidRDefault="00D644EB">
      <w:pPr>
        <w:widowControl/>
        <w:jc w:val="left"/>
        <w:rPr>
          <w:rFonts w:ascii="宋体" w:hAnsi="宋体" w:cs="宋体"/>
          <w:color w:val="000000"/>
          <w:kern w:val="0"/>
          <w:sz w:val="24"/>
          <w:szCs w:val="24"/>
        </w:rPr>
      </w:pPr>
    </w:p>
    <w:p w:rsidR="00D644EB" w:rsidRDefault="00AE7140">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D644EB" w:rsidRDefault="00AE7140">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D644EB" w:rsidRDefault="00AE7140">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D644EB" w:rsidRDefault="00AE714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D644EB" w:rsidRDefault="00AE7140">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D644EB" w:rsidRDefault="00AE714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D644EB" w:rsidRDefault="00AE7140">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D644EB" w:rsidRDefault="00AE714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D644EB" w:rsidRDefault="00AE7140">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D644EB" w:rsidRDefault="00AE7140">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1.0282</w:t>
      </w:r>
      <w:r>
        <w:rPr>
          <w:rFonts w:hint="eastAsia"/>
          <w:color w:val="000000"/>
        </w:rPr>
        <w:t>元。</w:t>
      </w:r>
    </w:p>
    <w:p w:rsidR="00D644EB" w:rsidRDefault="00D644EB">
      <w:pPr>
        <w:widowControl/>
        <w:jc w:val="left"/>
        <w:rPr>
          <w:rFonts w:ascii="宋体" w:hAnsi="宋体" w:cs="宋体"/>
          <w:color w:val="000000"/>
          <w:kern w:val="0"/>
          <w:sz w:val="24"/>
          <w:szCs w:val="24"/>
        </w:rPr>
      </w:pPr>
    </w:p>
    <w:p w:rsidR="00D644EB" w:rsidRDefault="00AE7140">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D644EB" w:rsidRDefault="00D644EB">
      <w:pPr>
        <w:pStyle w:val="dazhangjie"/>
        <w:rPr>
          <w:rFonts w:hAnsi="Calibri"/>
          <w:b/>
          <w:color w:val="000000"/>
        </w:rPr>
      </w:pPr>
    </w:p>
    <w:p w:rsidR="00D644EB" w:rsidRDefault="00AE7140">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D644EB" w:rsidRDefault="00AE7140">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D644EB" w:rsidRDefault="00AE7140">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D644EB" w:rsidRDefault="00AE7140">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D644EB" w:rsidRDefault="00AE7140">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D644EB" w:rsidRDefault="00AE7140">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D644EB" w:rsidRDefault="00D644EB">
      <w:pPr>
        <w:pStyle w:val="biaogeleft"/>
        <w:spacing w:line="360" w:lineRule="auto"/>
        <w:ind w:firstLine="480"/>
        <w:rPr>
          <w:color w:val="000000"/>
        </w:rPr>
      </w:pPr>
    </w:p>
    <w:p w:rsidR="00D644EB" w:rsidRDefault="00AE7140">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D644EB" w:rsidRDefault="00D644EB">
      <w:pPr>
        <w:widowControl/>
        <w:jc w:val="left"/>
        <w:rPr>
          <w:rFonts w:ascii="宋体" w:hAnsi="宋体" w:cs="宋体"/>
          <w:kern w:val="0"/>
          <w:sz w:val="24"/>
          <w:szCs w:val="24"/>
        </w:rPr>
      </w:pPr>
    </w:p>
    <w:p w:rsidR="00D644EB" w:rsidRDefault="00AE7140">
      <w:pPr>
        <w:pStyle w:val="zhangjiep"/>
      </w:pPr>
      <w:bookmarkStart w:id="4" w:name="_Toc61271615"/>
      <w:r>
        <w:rPr>
          <w:rFonts w:hint="eastAsia"/>
          <w:b/>
          <w:bCs/>
        </w:rPr>
        <w:t xml:space="preserve">5.1 </w:t>
      </w:r>
      <w:r>
        <w:rPr>
          <w:rFonts w:hint="eastAsia"/>
          <w:b/>
          <w:bCs/>
        </w:rPr>
        <w:t>资产负债表</w:t>
      </w:r>
      <w:bookmarkEnd w:id="4"/>
    </w:p>
    <w:p w:rsidR="00D644EB" w:rsidRDefault="00AE7140">
      <w:pPr>
        <w:pStyle w:val="biaogeleft"/>
      </w:pPr>
      <w:r>
        <w:rPr>
          <w:rFonts w:hint="eastAsia"/>
        </w:rPr>
        <w:t>会计主体：南京银行珠联璧合行稳</w:t>
      </w:r>
      <w:r>
        <w:rPr>
          <w:rFonts w:hint="eastAsia"/>
        </w:rPr>
        <w:t>1906</w:t>
      </w:r>
      <w:r>
        <w:rPr>
          <w:rFonts w:hint="eastAsia"/>
        </w:rPr>
        <w:t>一年定开公募人民币理财产品</w:t>
      </w:r>
    </w:p>
    <w:p w:rsidR="00D644EB" w:rsidRDefault="00AE7140">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44EB" w:rsidRDefault="00AE714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Ansi="Calibri" w:hint="eastAsia"/>
                <w:color w:val="000000"/>
              </w:rPr>
              <w:t>本期末</w:t>
            </w:r>
            <w:r>
              <w:rPr>
                <w:rFonts w:hAnsi="Calibri" w:hint="eastAsia"/>
                <w:color w:val="000000"/>
              </w:rPr>
              <w:t> </w:t>
            </w:r>
          </w:p>
          <w:p w:rsidR="00D644EB" w:rsidRDefault="00AE7140">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Ansi="Calibri" w:hint="eastAsia"/>
                <w:color w:val="000000"/>
              </w:rPr>
              <w:t>上年度末</w:t>
            </w:r>
            <w:r>
              <w:rPr>
                <w:rFonts w:hAnsi="Calibri" w:hint="eastAsia"/>
                <w:color w:val="000000"/>
              </w:rPr>
              <w:t> </w:t>
            </w:r>
          </w:p>
          <w:p w:rsidR="00D644EB" w:rsidRDefault="00AE7140">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D644EB">
            <w:pPr>
              <w:rPr>
                <w:rFonts w:ascii="宋体" w:hAnsi="宋体" w:cs="宋体"/>
                <w:kern w:val="0"/>
                <w:sz w:val="24"/>
                <w:szCs w:val="24"/>
              </w:rPr>
            </w:pP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3,954,510.98</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1,215,022.09</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lastRenderedPageBreak/>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17.17</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2,404.71</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1,173,990,000.00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1,157,144,700.00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1,173,990,000.00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1,157,144,700.00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cs="Arial" w:hint="eastAsia"/>
                <w:color w:val="000000"/>
              </w:rPr>
              <w:t xml:space="preserve"> </w:t>
            </w: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56,931,734.95</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39,233,186.21</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570,000,000.00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1,804,876,263.10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1,197,595,313.01</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本期末</w:t>
            </w:r>
            <w:r>
              <w:rPr>
                <w:rFonts w:hint="eastAsia"/>
              </w:rPr>
              <w:t> </w:t>
            </w:r>
          </w:p>
          <w:p w:rsidR="00D644EB" w:rsidRDefault="00AE7140">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上年度末</w:t>
            </w:r>
            <w:r>
              <w:rPr>
                <w:rFonts w:hint="eastAsia"/>
              </w:rPr>
              <w:t> </w:t>
            </w:r>
          </w:p>
          <w:p w:rsidR="00D644EB" w:rsidRDefault="00AE7140">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 </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76,832,524.75</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78,499,642.25</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lastRenderedPageBreak/>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6,881,047.17</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1,676,636.01</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389,389.93</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111,776.49</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1,743,996.17</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1,117,757.34</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2,038.71</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2,795.79</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833,579.86</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536,178.18</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82,064.34</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43,527.95</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86,764,640.93</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81,988,314.01</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D644EB">
            <w:pPr>
              <w:rPr>
                <w:rFonts w:ascii="宋体" w:hAnsi="宋体" w:cs="宋体"/>
                <w:kern w:val="0"/>
                <w:sz w:val="24"/>
                <w:szCs w:val="24"/>
              </w:rPr>
            </w:pP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1,670,948,934.67</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1,079,316,000.00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0.00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47,162,687.50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36,290,999.00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1,718,111,622.17</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1,115,606,999.00</w:t>
            </w:r>
          </w:p>
        </w:tc>
      </w:tr>
      <w:tr w:rsidR="00D644EB">
        <w:tc>
          <w:tcPr>
            <w:tcW w:w="260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1,804,876,263.10</w:t>
            </w:r>
          </w:p>
        </w:tc>
        <w:tc>
          <w:tcPr>
            <w:tcW w:w="2620"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cs="Arial" w:hint="eastAsia"/>
                <w:color w:val="000000"/>
              </w:rPr>
              <w:t>1,197,595,313.01</w:t>
            </w:r>
          </w:p>
        </w:tc>
      </w:tr>
    </w:tbl>
    <w:p w:rsidR="00D644EB" w:rsidRDefault="00D644EB">
      <w:pPr>
        <w:widowControl/>
        <w:jc w:val="left"/>
        <w:rPr>
          <w:rFonts w:ascii="宋体" w:hAnsi="宋体" w:cs="宋体"/>
          <w:kern w:val="0"/>
          <w:sz w:val="24"/>
          <w:szCs w:val="24"/>
        </w:rPr>
      </w:pPr>
    </w:p>
    <w:p w:rsidR="00D644EB" w:rsidRDefault="00AE7140">
      <w:pPr>
        <w:pStyle w:val="zhangjiep"/>
      </w:pPr>
      <w:bookmarkStart w:id="5" w:name="_Toc61425904"/>
      <w:r>
        <w:rPr>
          <w:rFonts w:hint="eastAsia"/>
          <w:b/>
          <w:bCs/>
        </w:rPr>
        <w:t xml:space="preserve">5.2 </w:t>
      </w:r>
      <w:r>
        <w:rPr>
          <w:rFonts w:hint="eastAsia"/>
          <w:b/>
          <w:bCs/>
        </w:rPr>
        <w:t>利润表</w:t>
      </w:r>
      <w:bookmarkEnd w:id="5"/>
    </w:p>
    <w:p w:rsidR="00D644EB" w:rsidRDefault="00AE7140">
      <w:pPr>
        <w:pStyle w:val="biaogeleft"/>
      </w:pPr>
      <w:r>
        <w:rPr>
          <w:rFonts w:hint="eastAsia"/>
        </w:rPr>
        <w:t>会计主体：南京银行珠联璧合行稳</w:t>
      </w:r>
      <w:r>
        <w:rPr>
          <w:rFonts w:hint="eastAsia"/>
        </w:rPr>
        <w:t>1906</w:t>
      </w:r>
      <w:r>
        <w:rPr>
          <w:rFonts w:hint="eastAsia"/>
        </w:rPr>
        <w:t>一年定开公募人民币理财产品</w:t>
      </w:r>
    </w:p>
    <w:p w:rsidR="00D644EB" w:rsidRDefault="00AE7140">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44EB" w:rsidRDefault="00AE714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D644EB">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D644EB">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D644EB" w:rsidRDefault="00D644EB">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D644EB" w:rsidRDefault="00D644EB">
            <w:pPr>
              <w:widowControl/>
              <w:jc w:val="left"/>
              <w:rPr>
                <w:rFonts w:asciiTheme="minorEastAsia" w:eastAsiaTheme="minorEastAsia" w:hAnsiTheme="minorEastAsia" w:cs="宋体"/>
                <w:kern w:val="0"/>
                <w:sz w:val="24"/>
                <w:szCs w:val="24"/>
              </w:rPr>
            </w:pP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b/>
                <w:bCs/>
                <w:color w:val="000000"/>
              </w:rPr>
              <w:t>81,916,178.54</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85,976,575.04</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30,750.58</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85,892,878.94</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52,945.52</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ascii="Arial" w:hAnsi="Arial" w:cs="Arial"/>
                <w:color w:val="000000"/>
              </w:rPr>
              <w:t xml:space="preserve">　</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lastRenderedPageBreak/>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lastRenderedPageBreak/>
              <w:t>-1,280,526.50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-1,278,783.00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-1,743.50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-2,779,870.00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 xml:space="preserve">　</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b/>
                <w:bCs/>
                <w:color w:val="000000"/>
              </w:rPr>
              <w:t>9,827,926.39</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4,164,192.05</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277,613.44</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2,776,128.67</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5,432.93</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2,266,336.42</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2,266,336.42</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301,022.88</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color w:val="000000"/>
              </w:rPr>
              <w:t>37,200.00</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b/>
                <w:bCs/>
                <w:color w:val="000000"/>
              </w:rPr>
              <w:t>72,088,252.15</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ascii="Arial" w:hAnsi="Arial" w:cs="Arial"/>
                <w:color w:val="000000"/>
              </w:rPr>
              <w:t xml:space="preserve">　</w:t>
            </w:r>
          </w:p>
        </w:tc>
      </w:tr>
      <w:tr w:rsidR="00D644EB">
        <w:tc>
          <w:tcPr>
            <w:tcW w:w="2969"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rPr>
                <w:rFonts w:asciiTheme="minorEastAsia" w:eastAsiaTheme="minorEastAsia" w:hAnsiTheme="minorEastAsia"/>
              </w:rPr>
            </w:pPr>
            <w:r>
              <w:rPr>
                <w:rFonts w:cs="Arial" w:hint="eastAsia"/>
                <w:b/>
                <w:bCs/>
                <w:color w:val="000000"/>
              </w:rPr>
              <w:t>72,088,252.15</w:t>
            </w:r>
          </w:p>
        </w:tc>
      </w:tr>
    </w:tbl>
    <w:p w:rsidR="00D644EB" w:rsidRDefault="00D644EB">
      <w:pPr>
        <w:widowControl/>
        <w:jc w:val="left"/>
        <w:rPr>
          <w:rFonts w:ascii="宋体" w:hAnsi="宋体" w:cs="宋体"/>
          <w:kern w:val="0"/>
          <w:sz w:val="24"/>
          <w:szCs w:val="24"/>
        </w:rPr>
      </w:pPr>
    </w:p>
    <w:p w:rsidR="00D644EB" w:rsidRDefault="00AE7140">
      <w:pPr>
        <w:pStyle w:val="zhangjiep"/>
      </w:pPr>
      <w:bookmarkStart w:id="6" w:name="_Toc61425905"/>
      <w:r>
        <w:rPr>
          <w:rFonts w:hint="eastAsia"/>
          <w:b/>
          <w:bCs/>
        </w:rPr>
        <w:lastRenderedPageBreak/>
        <w:t xml:space="preserve">5.3 </w:t>
      </w:r>
      <w:r>
        <w:rPr>
          <w:rFonts w:hint="eastAsia"/>
          <w:b/>
          <w:bCs/>
        </w:rPr>
        <w:t>所有者权益（基金净值）变动表</w:t>
      </w:r>
      <w:bookmarkEnd w:id="6"/>
    </w:p>
    <w:p w:rsidR="00D644EB" w:rsidRDefault="00AE7140">
      <w:pPr>
        <w:pStyle w:val="biaogeleft"/>
      </w:pPr>
      <w:r>
        <w:rPr>
          <w:rFonts w:hint="eastAsia"/>
        </w:rPr>
        <w:t>会计主体：南京银行珠联璧合行稳</w:t>
      </w:r>
      <w:r>
        <w:rPr>
          <w:rFonts w:hint="eastAsia"/>
        </w:rPr>
        <w:t>1906</w:t>
      </w:r>
      <w:r>
        <w:rPr>
          <w:rFonts w:hint="eastAsia"/>
        </w:rPr>
        <w:t>一年定开公募人民币理财产品</w:t>
      </w:r>
    </w:p>
    <w:p w:rsidR="00D644EB" w:rsidRDefault="00AE7140">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44EB" w:rsidRDefault="00AE714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D644EB">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本期</w:t>
            </w:r>
            <w:r>
              <w:rPr>
                <w:rFonts w:hint="eastAsia"/>
              </w:rPr>
              <w:t> </w:t>
            </w:r>
          </w:p>
          <w:p w:rsidR="00D644EB" w:rsidRDefault="00AE7140">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D644EB">
        <w:tc>
          <w:tcPr>
            <w:tcW w:w="2116" w:type="dxa"/>
            <w:vMerge/>
            <w:tcBorders>
              <w:top w:val="single" w:sz="8" w:space="0" w:color="000000"/>
              <w:left w:val="single" w:sz="8" w:space="0" w:color="000000"/>
              <w:bottom w:val="single" w:sz="8" w:space="0" w:color="000000"/>
              <w:right w:val="single" w:sz="8" w:space="0" w:color="000000"/>
            </w:tcBorders>
            <w:vAlign w:val="center"/>
          </w:tcPr>
          <w:p w:rsidR="00D644EB" w:rsidRDefault="00D644EB">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所有者权益合计</w:t>
            </w:r>
            <w:r>
              <w:rPr>
                <w:rFonts w:hint="eastAsia"/>
              </w:rPr>
              <w:t> </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1,079,316,000.00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36,290,999.00</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1,115,606,999.00</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72,088,252.15</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72,088,252.15</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591,632,934.67</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2,248,233.56</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593,881,168.23</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978,367,176.37</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3,717,823.63</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982,085,000.00</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-386,734,241.70</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-1,469,590.07</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-388,203,831.77</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-63,464,797.21</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-63,464,797.21</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1,670,948,934.67</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47,162,687.50</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1,718,111,622.17</w:t>
            </w:r>
          </w:p>
        </w:tc>
      </w:tr>
      <w:tr w:rsidR="00D644EB">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上年度可比期间</w:t>
            </w:r>
            <w:r>
              <w:rPr>
                <w:rFonts w:hint="eastAsia"/>
              </w:rPr>
              <w:t> </w:t>
            </w:r>
          </w:p>
          <w:p w:rsidR="00D644EB" w:rsidRDefault="00AE7140">
            <w:pPr>
              <w:pStyle w:val="biaogecenter"/>
              <w:wordWrap w:val="0"/>
            </w:pPr>
            <w:r>
              <w:rPr>
                <w:rFonts w:hint="eastAsia"/>
              </w:rPr>
              <w:t>2019</w:t>
            </w:r>
            <w:r>
              <w:rPr>
                <w:rFonts w:hint="eastAsia"/>
              </w:rPr>
              <w:t>年</w:t>
            </w:r>
            <w:r>
              <w:rPr>
                <w:rFonts w:hint="eastAsia"/>
              </w:rPr>
              <w:t>06</w:t>
            </w:r>
            <w:r>
              <w:rPr>
                <w:rFonts w:hint="eastAsia"/>
              </w:rPr>
              <w:t>月</w:t>
            </w:r>
            <w:r>
              <w:rPr>
                <w:rFonts w:hint="eastAsia"/>
              </w:rPr>
              <w:t>26</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D644EB">
        <w:tc>
          <w:tcPr>
            <w:tcW w:w="2116" w:type="dxa"/>
            <w:vMerge/>
            <w:tcBorders>
              <w:top w:val="single" w:sz="8" w:space="0" w:color="000000"/>
              <w:left w:val="single" w:sz="8" w:space="0" w:color="000000"/>
              <w:bottom w:val="single" w:sz="8" w:space="0" w:color="000000"/>
              <w:right w:val="single" w:sz="8" w:space="0" w:color="000000"/>
            </w:tcBorders>
            <w:vAlign w:val="center"/>
          </w:tcPr>
          <w:p w:rsidR="00D644EB" w:rsidRDefault="00D644EB">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所有者权益合计</w:t>
            </w:r>
            <w:r>
              <w:rPr>
                <w:rFonts w:hint="eastAsia"/>
              </w:rPr>
              <w:t> </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1,079,316,000.00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1,079,316,000.00</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36,290,999.00</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36,290,999.00</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w:t>
            </w:r>
          </w:p>
        </w:tc>
      </w:tr>
      <w:tr w:rsidR="00D644EB">
        <w:tc>
          <w:tcPr>
            <w:tcW w:w="211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1,079,316,000.00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36,290,999.00</w:t>
            </w:r>
          </w:p>
        </w:tc>
        <w:tc>
          <w:tcPr>
            <w:tcW w:w="2484"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right"/>
              <w:wordWrap w:val="0"/>
            </w:pPr>
            <w:r>
              <w:rPr>
                <w:rFonts w:hint="eastAsia"/>
              </w:rPr>
              <w:t>1,115,606,999.00</w:t>
            </w:r>
          </w:p>
        </w:tc>
      </w:tr>
    </w:tbl>
    <w:p w:rsidR="00D644EB" w:rsidRDefault="00D644EB">
      <w:pPr>
        <w:widowControl/>
        <w:autoSpaceDE w:val="0"/>
        <w:autoSpaceDN w:val="0"/>
        <w:adjustRightInd w:val="0"/>
        <w:spacing w:line="288" w:lineRule="auto"/>
        <w:jc w:val="right"/>
        <w:rPr>
          <w:rFonts w:ascii="宋体" w:hAnsi="宋体" w:cs="宋体"/>
          <w:kern w:val="0"/>
          <w:sz w:val="24"/>
          <w:szCs w:val="24"/>
        </w:rPr>
      </w:pPr>
    </w:p>
    <w:p w:rsidR="00D644EB" w:rsidRDefault="00D644EB">
      <w:pPr>
        <w:pStyle w:val="biaogeleft"/>
        <w:spacing w:line="360" w:lineRule="auto"/>
        <w:ind w:firstLine="480"/>
        <w:rPr>
          <w:color w:val="000000"/>
        </w:rPr>
      </w:pPr>
    </w:p>
    <w:p w:rsidR="00D644EB" w:rsidRDefault="00AE7140">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D644EB" w:rsidRDefault="00D644EB">
      <w:pPr>
        <w:widowControl/>
        <w:jc w:val="left"/>
        <w:rPr>
          <w:rFonts w:ascii="宋体" w:hAnsi="宋体" w:cs="宋体"/>
          <w:color w:val="000000"/>
          <w:kern w:val="0"/>
          <w:sz w:val="24"/>
          <w:szCs w:val="24"/>
        </w:rPr>
      </w:pPr>
    </w:p>
    <w:p w:rsidR="00D644EB" w:rsidRDefault="00AE7140">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D644EB">
        <w:tc>
          <w:tcPr>
            <w:tcW w:w="891" w:type="dxa"/>
            <w:tcBorders>
              <w:top w:val="single" w:sz="8" w:space="0" w:color="000000"/>
              <w:left w:val="single" w:sz="8" w:space="0" w:color="000000"/>
              <w:bottom w:val="single" w:sz="6" w:space="0" w:color="000000"/>
              <w:right w:val="single" w:sz="8" w:space="0" w:color="000000"/>
            </w:tcBorders>
            <w:vAlign w:val="bottom"/>
          </w:tcPr>
          <w:p w:rsidR="00D644EB" w:rsidRDefault="00AE7140">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D644EB" w:rsidRDefault="00AE7140">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D644EB" w:rsidRDefault="00AE7140">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D644EB" w:rsidRDefault="00AE7140">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1,173,990,000.00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65.05</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570,000,000.00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31.58</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3,954,510.98</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0.22</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17.17</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56,931,734.95</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3.15</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44EB">
        <w:tc>
          <w:tcPr>
            <w:tcW w:w="891"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1,804,876,263.10</w:t>
            </w:r>
          </w:p>
        </w:tc>
        <w:tc>
          <w:tcPr>
            <w:tcW w:w="2395" w:type="dxa"/>
            <w:tcBorders>
              <w:top w:val="single" w:sz="8" w:space="0" w:color="000000"/>
              <w:left w:val="single" w:sz="8" w:space="0" w:color="000000"/>
              <w:bottom w:val="single" w:sz="8" w:space="0" w:color="000000"/>
              <w:right w:val="single" w:sz="8" w:space="0" w:color="000000"/>
            </w:tcBorders>
            <w:vAlign w:val="center"/>
          </w:tcPr>
          <w:p w:rsidR="00D644EB" w:rsidRDefault="00AE714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D644EB" w:rsidRDefault="00D644EB">
      <w:pPr>
        <w:widowControl/>
        <w:jc w:val="left"/>
        <w:rPr>
          <w:rFonts w:ascii="宋体" w:hAnsi="宋体" w:cs="宋体"/>
          <w:color w:val="000000"/>
          <w:kern w:val="0"/>
          <w:sz w:val="24"/>
          <w:szCs w:val="24"/>
        </w:rPr>
      </w:pPr>
    </w:p>
    <w:p w:rsidR="00D644EB" w:rsidRDefault="00AE7140">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D644EB">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D644EB" w:rsidRDefault="00AE714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D644EB" w:rsidRDefault="00AE714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D644EB" w:rsidRDefault="00AE7140">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D644EB" w:rsidRDefault="00AE7140">
            <w:pPr>
              <w:pStyle w:val="biaogecenter"/>
              <w:wordWrap w:val="0"/>
              <w:rPr>
                <w:color w:val="000000"/>
              </w:rPr>
            </w:pPr>
            <w:r>
              <w:rPr>
                <w:rFonts w:hint="eastAsia"/>
                <w:color w:val="000000"/>
              </w:rPr>
              <w:t>占产品资产净值比例（％）</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QTBZZ202006240001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苏盐城建投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250,000,000.00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14.55%</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QTBZZ202006280001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苏扬沿江开发</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150,000,000.00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8.73%</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QTBZZ202006280002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苏汤山旅发</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5.82%</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031900414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江宁交通</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61,561,020.00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3.58%</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101900449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钟楼经开</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61,251,840.00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3.57%</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031800073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沛县国资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60,106,500.00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3.50%</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200306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进出</w:t>
            </w:r>
            <w:r>
              <w:rPr>
                <w:rFonts w:ascii="宋体" w:hAnsi="宋体" w:cs="宋体" w:hint="eastAsia"/>
                <w:color w:val="000000"/>
                <w:kern w:val="0"/>
                <w:sz w:val="24"/>
                <w:szCs w:val="24"/>
              </w:rPr>
              <w:t>06</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59,898,420.00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3.49%</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031800206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江北新城</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50,345,000.00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2.93%</w:t>
            </w:r>
          </w:p>
        </w:tc>
      </w:tr>
      <w:tr w:rsidR="00D644EB">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101800177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萧山钱江</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50,274,200.00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2.93%</w:t>
            </w:r>
          </w:p>
        </w:tc>
      </w:tr>
      <w:tr w:rsidR="00D644E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44EB" w:rsidRDefault="00AE7140">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QTBZZ202006230001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京威凯建设</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44EB" w:rsidRDefault="00AE7140">
            <w:pPr>
              <w:jc w:val="right"/>
              <w:rPr>
                <w:rFonts w:ascii="宋体" w:hAnsi="宋体" w:cs="宋体"/>
                <w:color w:val="000000"/>
                <w:kern w:val="0"/>
                <w:sz w:val="24"/>
                <w:szCs w:val="24"/>
              </w:rPr>
            </w:pPr>
            <w:r>
              <w:rPr>
                <w:rFonts w:ascii="宋体" w:hAnsi="宋体" w:cs="宋体" w:hint="eastAsia"/>
                <w:color w:val="000000"/>
                <w:kern w:val="0"/>
                <w:sz w:val="24"/>
                <w:szCs w:val="24"/>
              </w:rPr>
              <w:t>2.91%</w:t>
            </w:r>
          </w:p>
        </w:tc>
      </w:tr>
    </w:tbl>
    <w:p w:rsidR="00D644EB" w:rsidRDefault="00D644EB">
      <w:pPr>
        <w:widowControl/>
        <w:jc w:val="left"/>
        <w:rPr>
          <w:rFonts w:ascii="宋体" w:hAnsi="宋体" w:cs="宋体"/>
          <w:b/>
          <w:sz w:val="24"/>
          <w:szCs w:val="24"/>
          <w:shd w:val="clear" w:color="auto" w:fill="FFFFFF"/>
        </w:rPr>
      </w:pPr>
    </w:p>
    <w:p w:rsidR="00D644EB" w:rsidRDefault="00AE714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D644EB" w:rsidRDefault="00D644EB">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D644EB">
        <w:tc>
          <w:tcPr>
            <w:tcW w:w="709"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风险状况</w:t>
            </w:r>
          </w:p>
        </w:tc>
      </w:tr>
      <w:tr w:rsidR="00D644EB">
        <w:tc>
          <w:tcPr>
            <w:tcW w:w="70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北京威凯建设发展有限责任公司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20</w:t>
            </w:r>
            <w:r>
              <w:rPr>
                <w:rFonts w:hint="eastAsia"/>
                <w:shd w:val="clear" w:color="auto" w:fill="FFFFFF"/>
              </w:rPr>
              <w:t>京威凯建设</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175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w:t>
            </w:r>
          </w:p>
        </w:tc>
      </w:tr>
      <w:tr w:rsidR="00D644EB">
        <w:tc>
          <w:tcPr>
            <w:tcW w:w="70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金湖县国有资产经营投资有限责任公司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18</w:t>
            </w:r>
            <w:r>
              <w:rPr>
                <w:rFonts w:hint="eastAsia"/>
                <w:shd w:val="clear" w:color="auto" w:fill="FFFFFF"/>
              </w:rPr>
              <w:t>苏金湖国投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72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w:t>
            </w:r>
          </w:p>
        </w:tc>
      </w:tr>
      <w:tr w:rsidR="00D644EB">
        <w:tc>
          <w:tcPr>
            <w:tcW w:w="70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南京汤山旅游发展</w:t>
            </w:r>
            <w:r>
              <w:rPr>
                <w:rFonts w:hint="eastAsia"/>
                <w:shd w:val="clear" w:color="auto" w:fill="FFFFFF"/>
              </w:rPr>
              <w:lastRenderedPageBreak/>
              <w:t>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lastRenderedPageBreak/>
              <w:t>20</w:t>
            </w:r>
            <w:r>
              <w:rPr>
                <w:rFonts w:hint="eastAsia"/>
                <w:shd w:val="clear" w:color="auto" w:fill="FFFFFF"/>
              </w:rPr>
              <w:t>苏汤山旅发</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180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w:t>
            </w:r>
            <w:r>
              <w:rPr>
                <w:rFonts w:hint="eastAsia"/>
                <w:shd w:val="clear" w:color="auto" w:fill="FFFFFF"/>
              </w:rPr>
              <w:lastRenderedPageBreak/>
              <w:t>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lastRenderedPageBreak/>
              <w:t>-</w:t>
            </w:r>
          </w:p>
        </w:tc>
      </w:tr>
      <w:tr w:rsidR="00D644EB">
        <w:tc>
          <w:tcPr>
            <w:tcW w:w="70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lastRenderedPageBreak/>
              <w:t>4</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盐城市城市建设投资集团有限公司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20</w:t>
            </w:r>
            <w:r>
              <w:rPr>
                <w:rFonts w:hint="eastAsia"/>
                <w:shd w:val="clear" w:color="auto" w:fill="FFFFFF"/>
              </w:rPr>
              <w:t>苏盐城建投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179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w:t>
            </w:r>
          </w:p>
        </w:tc>
      </w:tr>
      <w:tr w:rsidR="00D644EB">
        <w:tc>
          <w:tcPr>
            <w:tcW w:w="709"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pPr>
            <w:r>
              <w:rPr>
                <w:rFonts w:hint="eastAsia"/>
              </w:rPr>
              <w:t>5</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扬州市江都沿江开发有限公司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20</w:t>
            </w:r>
            <w:r>
              <w:rPr>
                <w:rFonts w:hint="eastAsia"/>
                <w:shd w:val="clear" w:color="auto" w:fill="FFFFFF"/>
              </w:rPr>
              <w:t>苏扬沿江开发</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180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bookmarkStart w:id="7" w:name="_GoBack"/>
            <w:bookmarkEnd w:id="7"/>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44EB" w:rsidRDefault="00AE7140">
            <w:pPr>
              <w:pStyle w:val="biaogecenter"/>
              <w:wordWrap w:val="0"/>
              <w:rPr>
                <w:shd w:val="clear" w:color="auto" w:fill="FFFFFF"/>
              </w:rPr>
            </w:pPr>
            <w:r>
              <w:rPr>
                <w:rFonts w:hint="eastAsia"/>
                <w:shd w:val="clear" w:color="auto" w:fill="FFFFFF"/>
              </w:rPr>
              <w:t>-</w:t>
            </w:r>
          </w:p>
        </w:tc>
      </w:tr>
    </w:tbl>
    <w:p w:rsidR="00D644EB" w:rsidRDefault="00D644EB">
      <w:pPr>
        <w:widowControl/>
        <w:jc w:val="left"/>
        <w:rPr>
          <w:rFonts w:ascii="宋体" w:hAnsi="宋体" w:cs="宋体"/>
          <w:color w:val="000000"/>
          <w:kern w:val="0"/>
          <w:sz w:val="24"/>
          <w:szCs w:val="24"/>
        </w:rPr>
      </w:pPr>
    </w:p>
    <w:p w:rsidR="00D644EB" w:rsidRDefault="00D644EB">
      <w:pPr>
        <w:widowControl/>
        <w:jc w:val="left"/>
        <w:rPr>
          <w:rFonts w:ascii="宋体" w:hAnsi="宋体" w:cs="宋体"/>
          <w:color w:val="000000"/>
          <w:kern w:val="0"/>
          <w:sz w:val="24"/>
          <w:szCs w:val="24"/>
        </w:rPr>
      </w:pPr>
    </w:p>
    <w:p w:rsidR="00D644EB" w:rsidRDefault="00AE7140">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D644EB" w:rsidRDefault="00AE714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D644EB" w:rsidRDefault="00AE714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81739020.00</w:t>
      </w:r>
      <w:r>
        <w:rPr>
          <w:rFonts w:ascii="宋体" w:hAnsi="宋体" w:cs="宋体" w:hint="eastAsia"/>
          <w:color w:val="000000"/>
          <w:kern w:val="0"/>
          <w:sz w:val="24"/>
          <w:szCs w:val="24"/>
        </w:rPr>
        <w:t>元。</w:t>
      </w:r>
    </w:p>
    <w:p w:rsidR="00D644EB" w:rsidRDefault="00D644E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D644EB" w:rsidRDefault="00D644E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D644EB" w:rsidRDefault="00D644EB">
      <w:pPr>
        <w:widowControl/>
        <w:jc w:val="left"/>
        <w:rPr>
          <w:rFonts w:ascii="宋体" w:hAnsi="宋体" w:cs="宋体"/>
          <w:color w:val="000000"/>
          <w:kern w:val="0"/>
          <w:sz w:val="24"/>
          <w:szCs w:val="24"/>
        </w:rPr>
      </w:pPr>
    </w:p>
    <w:p w:rsidR="00D644EB" w:rsidRDefault="00D644EB">
      <w:pPr>
        <w:widowControl/>
        <w:jc w:val="left"/>
        <w:rPr>
          <w:rFonts w:ascii="宋体" w:hAnsi="宋体" w:cs="宋体"/>
          <w:color w:val="000000"/>
          <w:kern w:val="0"/>
          <w:sz w:val="24"/>
          <w:szCs w:val="24"/>
        </w:rPr>
      </w:pPr>
    </w:p>
    <w:p w:rsidR="00D644EB" w:rsidRDefault="00D644EB">
      <w:pPr>
        <w:widowControl/>
        <w:jc w:val="left"/>
        <w:rPr>
          <w:rFonts w:ascii="宋体" w:hAnsi="宋体" w:cs="宋体"/>
          <w:color w:val="000000"/>
          <w:kern w:val="0"/>
          <w:sz w:val="24"/>
          <w:szCs w:val="24"/>
        </w:rPr>
      </w:pPr>
    </w:p>
    <w:p w:rsidR="00D644EB" w:rsidRDefault="00D644EB">
      <w:pPr>
        <w:widowControl/>
        <w:jc w:val="left"/>
        <w:rPr>
          <w:color w:val="000000"/>
        </w:rPr>
      </w:pPr>
    </w:p>
    <w:p w:rsidR="00D644EB" w:rsidRDefault="00AE7140">
      <w:pPr>
        <w:pStyle w:val="biaogeright"/>
        <w:rPr>
          <w:b/>
        </w:rPr>
      </w:pPr>
      <w:r>
        <w:rPr>
          <w:rFonts w:hint="eastAsia"/>
          <w:b/>
        </w:rPr>
        <w:t>南京银行股份有限公司</w:t>
      </w:r>
    </w:p>
    <w:p w:rsidR="00D644EB" w:rsidRDefault="00AE7140">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D644EB" w:rsidSect="00D644EB">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140" w:rsidRDefault="00AE7140" w:rsidP="00D644EB">
      <w:r>
        <w:separator/>
      </w:r>
    </w:p>
  </w:endnote>
  <w:endnote w:type="continuationSeparator" w:id="1">
    <w:p w:rsidR="00AE7140" w:rsidRDefault="00AE7140" w:rsidP="00D64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4EB" w:rsidRDefault="00D644EB">
    <w:pPr>
      <w:pStyle w:val="a5"/>
      <w:framePr w:wrap="around" w:vAnchor="text" w:hAnchor="margin" w:xAlign="center" w:y="1"/>
      <w:rPr>
        <w:rStyle w:val="aa"/>
      </w:rPr>
    </w:pPr>
    <w:r>
      <w:fldChar w:fldCharType="begin"/>
    </w:r>
    <w:r w:rsidR="00AE7140">
      <w:rPr>
        <w:rStyle w:val="aa"/>
      </w:rPr>
      <w:instrText xml:space="preserve">PAGE  </w:instrText>
    </w:r>
    <w:r>
      <w:fldChar w:fldCharType="end"/>
    </w:r>
  </w:p>
  <w:p w:rsidR="00D644EB" w:rsidRDefault="00D644E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4EB" w:rsidRDefault="00D644EB">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CE1" w:rsidRDefault="00314CE1">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4EB" w:rsidRDefault="00D644E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4EB" w:rsidRDefault="00D644E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140" w:rsidRDefault="00AE7140" w:rsidP="00D644EB">
      <w:r>
        <w:separator/>
      </w:r>
    </w:p>
  </w:footnote>
  <w:footnote w:type="continuationSeparator" w:id="1">
    <w:p w:rsidR="00AE7140" w:rsidRDefault="00AE7140" w:rsidP="00D64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4EB" w:rsidRDefault="00D644E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CE1" w:rsidRDefault="00314CE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CE1" w:rsidRDefault="00314CE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11CE4"/>
    <w:rsid w:val="000234FF"/>
    <w:rsid w:val="00034FF6"/>
    <w:rsid w:val="00044BFF"/>
    <w:rsid w:val="0005474A"/>
    <w:rsid w:val="00061725"/>
    <w:rsid w:val="00065ED2"/>
    <w:rsid w:val="00072777"/>
    <w:rsid w:val="00093547"/>
    <w:rsid w:val="00097D4E"/>
    <w:rsid w:val="000A3711"/>
    <w:rsid w:val="000D5066"/>
    <w:rsid w:val="000F19C2"/>
    <w:rsid w:val="000F6191"/>
    <w:rsid w:val="00122D64"/>
    <w:rsid w:val="00125C69"/>
    <w:rsid w:val="00130CE8"/>
    <w:rsid w:val="00152201"/>
    <w:rsid w:val="00172A27"/>
    <w:rsid w:val="00176636"/>
    <w:rsid w:val="00183C84"/>
    <w:rsid w:val="00197F48"/>
    <w:rsid w:val="001C05F9"/>
    <w:rsid w:val="001C5395"/>
    <w:rsid w:val="001F0796"/>
    <w:rsid w:val="00211F26"/>
    <w:rsid w:val="00215B1E"/>
    <w:rsid w:val="002263FC"/>
    <w:rsid w:val="00246D0D"/>
    <w:rsid w:val="002571DE"/>
    <w:rsid w:val="002A3AE9"/>
    <w:rsid w:val="002C196E"/>
    <w:rsid w:val="002D296F"/>
    <w:rsid w:val="002D75D0"/>
    <w:rsid w:val="002E795C"/>
    <w:rsid w:val="00305714"/>
    <w:rsid w:val="00313E71"/>
    <w:rsid w:val="00314CE1"/>
    <w:rsid w:val="00320B64"/>
    <w:rsid w:val="00321CB7"/>
    <w:rsid w:val="003379A9"/>
    <w:rsid w:val="00346457"/>
    <w:rsid w:val="00350ADF"/>
    <w:rsid w:val="00355623"/>
    <w:rsid w:val="003961C4"/>
    <w:rsid w:val="003A0419"/>
    <w:rsid w:val="003C4D3B"/>
    <w:rsid w:val="003E09EA"/>
    <w:rsid w:val="003E7244"/>
    <w:rsid w:val="003F0AC3"/>
    <w:rsid w:val="00456251"/>
    <w:rsid w:val="004801F9"/>
    <w:rsid w:val="004C1607"/>
    <w:rsid w:val="004C1BE1"/>
    <w:rsid w:val="005069D8"/>
    <w:rsid w:val="00521DD3"/>
    <w:rsid w:val="00521EF5"/>
    <w:rsid w:val="005302A6"/>
    <w:rsid w:val="0056162E"/>
    <w:rsid w:val="00563B93"/>
    <w:rsid w:val="00567DB3"/>
    <w:rsid w:val="00575BEA"/>
    <w:rsid w:val="00586737"/>
    <w:rsid w:val="005B3434"/>
    <w:rsid w:val="005E2884"/>
    <w:rsid w:val="005E5050"/>
    <w:rsid w:val="005F2C7B"/>
    <w:rsid w:val="005F4D04"/>
    <w:rsid w:val="005F7DA9"/>
    <w:rsid w:val="00603D7C"/>
    <w:rsid w:val="006054F8"/>
    <w:rsid w:val="00644BB9"/>
    <w:rsid w:val="0065419A"/>
    <w:rsid w:val="00654220"/>
    <w:rsid w:val="00663B94"/>
    <w:rsid w:val="00677F66"/>
    <w:rsid w:val="00682EF1"/>
    <w:rsid w:val="006B4D76"/>
    <w:rsid w:val="006C7F31"/>
    <w:rsid w:val="006E4E94"/>
    <w:rsid w:val="00700EC0"/>
    <w:rsid w:val="00730BEE"/>
    <w:rsid w:val="0073101E"/>
    <w:rsid w:val="00735153"/>
    <w:rsid w:val="00745421"/>
    <w:rsid w:val="00765364"/>
    <w:rsid w:val="007659C3"/>
    <w:rsid w:val="007A4219"/>
    <w:rsid w:val="007B29DC"/>
    <w:rsid w:val="007C4F11"/>
    <w:rsid w:val="007F0841"/>
    <w:rsid w:val="0080200C"/>
    <w:rsid w:val="00814110"/>
    <w:rsid w:val="0082561A"/>
    <w:rsid w:val="0084493D"/>
    <w:rsid w:val="00846B2E"/>
    <w:rsid w:val="00853290"/>
    <w:rsid w:val="0085663C"/>
    <w:rsid w:val="008768AB"/>
    <w:rsid w:val="008926F7"/>
    <w:rsid w:val="008A7510"/>
    <w:rsid w:val="008C78BD"/>
    <w:rsid w:val="008F0FA3"/>
    <w:rsid w:val="00900D90"/>
    <w:rsid w:val="009354D6"/>
    <w:rsid w:val="00970A98"/>
    <w:rsid w:val="00974D8B"/>
    <w:rsid w:val="009B73C0"/>
    <w:rsid w:val="009C781F"/>
    <w:rsid w:val="009D5296"/>
    <w:rsid w:val="009E6170"/>
    <w:rsid w:val="00A37451"/>
    <w:rsid w:val="00A4484F"/>
    <w:rsid w:val="00A7459E"/>
    <w:rsid w:val="00A76D4B"/>
    <w:rsid w:val="00A77C47"/>
    <w:rsid w:val="00A9119C"/>
    <w:rsid w:val="00AA4549"/>
    <w:rsid w:val="00AC5144"/>
    <w:rsid w:val="00AD2231"/>
    <w:rsid w:val="00AE32C2"/>
    <w:rsid w:val="00AE7140"/>
    <w:rsid w:val="00B13014"/>
    <w:rsid w:val="00B17559"/>
    <w:rsid w:val="00B33B19"/>
    <w:rsid w:val="00B404E6"/>
    <w:rsid w:val="00B4360D"/>
    <w:rsid w:val="00B57960"/>
    <w:rsid w:val="00B61EA9"/>
    <w:rsid w:val="00B670D1"/>
    <w:rsid w:val="00B74DCA"/>
    <w:rsid w:val="00B81CBB"/>
    <w:rsid w:val="00B927DE"/>
    <w:rsid w:val="00BC02E0"/>
    <w:rsid w:val="00BC3903"/>
    <w:rsid w:val="00BE47E0"/>
    <w:rsid w:val="00BF75C8"/>
    <w:rsid w:val="00C15AFF"/>
    <w:rsid w:val="00C1762E"/>
    <w:rsid w:val="00C22D0D"/>
    <w:rsid w:val="00C22DF9"/>
    <w:rsid w:val="00C25123"/>
    <w:rsid w:val="00C30A48"/>
    <w:rsid w:val="00C33904"/>
    <w:rsid w:val="00C375A7"/>
    <w:rsid w:val="00C62DF8"/>
    <w:rsid w:val="00C640FB"/>
    <w:rsid w:val="00CB054E"/>
    <w:rsid w:val="00CC52D7"/>
    <w:rsid w:val="00CE214A"/>
    <w:rsid w:val="00CE2DE7"/>
    <w:rsid w:val="00CE489D"/>
    <w:rsid w:val="00D07FD8"/>
    <w:rsid w:val="00D23AB6"/>
    <w:rsid w:val="00D42895"/>
    <w:rsid w:val="00D50309"/>
    <w:rsid w:val="00D51AA9"/>
    <w:rsid w:val="00D644EB"/>
    <w:rsid w:val="00D7264A"/>
    <w:rsid w:val="00D84E43"/>
    <w:rsid w:val="00D870DF"/>
    <w:rsid w:val="00DB0C2F"/>
    <w:rsid w:val="00DB37D8"/>
    <w:rsid w:val="00DB3BF6"/>
    <w:rsid w:val="00DC31CC"/>
    <w:rsid w:val="00DC728A"/>
    <w:rsid w:val="00DD2F3C"/>
    <w:rsid w:val="00E1059D"/>
    <w:rsid w:val="00E155DF"/>
    <w:rsid w:val="00E246E1"/>
    <w:rsid w:val="00E560F1"/>
    <w:rsid w:val="00E6658B"/>
    <w:rsid w:val="00E944FA"/>
    <w:rsid w:val="00E9797A"/>
    <w:rsid w:val="00EA7ABC"/>
    <w:rsid w:val="00EB2746"/>
    <w:rsid w:val="00EE0436"/>
    <w:rsid w:val="00F1465C"/>
    <w:rsid w:val="00F41324"/>
    <w:rsid w:val="00F57C12"/>
    <w:rsid w:val="00F609FD"/>
    <w:rsid w:val="00F745F2"/>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91B40DA"/>
    <w:rsid w:val="4BCA232B"/>
    <w:rsid w:val="4E276A76"/>
    <w:rsid w:val="506954C1"/>
    <w:rsid w:val="509017BA"/>
    <w:rsid w:val="51482FC3"/>
    <w:rsid w:val="52830253"/>
    <w:rsid w:val="541C469D"/>
    <w:rsid w:val="55F73C55"/>
    <w:rsid w:val="5617604A"/>
    <w:rsid w:val="56983D0E"/>
    <w:rsid w:val="5BE61B5E"/>
    <w:rsid w:val="5CA05A23"/>
    <w:rsid w:val="5EC71EB3"/>
    <w:rsid w:val="602D020F"/>
    <w:rsid w:val="60EA4BD2"/>
    <w:rsid w:val="62BD595C"/>
    <w:rsid w:val="63D03341"/>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4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644EB"/>
    <w:pPr>
      <w:jc w:val="left"/>
    </w:pPr>
  </w:style>
  <w:style w:type="paragraph" w:styleId="a4">
    <w:name w:val="Balloon Text"/>
    <w:basedOn w:val="a"/>
    <w:link w:val="Char0"/>
    <w:uiPriority w:val="99"/>
    <w:unhideWhenUsed/>
    <w:qFormat/>
    <w:rsid w:val="00D644EB"/>
    <w:rPr>
      <w:sz w:val="18"/>
      <w:szCs w:val="18"/>
    </w:rPr>
  </w:style>
  <w:style w:type="paragraph" w:styleId="a5">
    <w:name w:val="footer"/>
    <w:basedOn w:val="a"/>
    <w:link w:val="Char1"/>
    <w:uiPriority w:val="99"/>
    <w:unhideWhenUsed/>
    <w:qFormat/>
    <w:rsid w:val="00D644E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D644E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D644EB"/>
    <w:pPr>
      <w:snapToGrid w:val="0"/>
      <w:jc w:val="left"/>
    </w:pPr>
    <w:rPr>
      <w:sz w:val="18"/>
    </w:rPr>
  </w:style>
  <w:style w:type="paragraph" w:styleId="a8">
    <w:name w:val="Normal (Web)"/>
    <w:basedOn w:val="a"/>
    <w:qFormat/>
    <w:rsid w:val="00D644E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D644EB"/>
    <w:rPr>
      <w:b/>
      <w:bCs/>
    </w:rPr>
  </w:style>
  <w:style w:type="character" w:styleId="aa">
    <w:name w:val="page number"/>
    <w:basedOn w:val="a0"/>
    <w:uiPriority w:val="99"/>
    <w:unhideWhenUsed/>
    <w:qFormat/>
    <w:rsid w:val="00D644EB"/>
  </w:style>
  <w:style w:type="character" w:styleId="ab">
    <w:name w:val="annotation reference"/>
    <w:uiPriority w:val="99"/>
    <w:unhideWhenUsed/>
    <w:qFormat/>
    <w:rsid w:val="00D644EB"/>
    <w:rPr>
      <w:sz w:val="21"/>
      <w:szCs w:val="21"/>
    </w:rPr>
  </w:style>
  <w:style w:type="character" w:styleId="ac">
    <w:name w:val="footnote reference"/>
    <w:uiPriority w:val="99"/>
    <w:unhideWhenUsed/>
    <w:qFormat/>
    <w:rsid w:val="00D644EB"/>
    <w:rPr>
      <w:vertAlign w:val="superscript"/>
    </w:rPr>
  </w:style>
  <w:style w:type="character" w:customStyle="1" w:styleId="Char0">
    <w:name w:val="批注框文本 Char"/>
    <w:link w:val="a4"/>
    <w:uiPriority w:val="99"/>
    <w:semiHidden/>
    <w:qFormat/>
    <w:rsid w:val="00D644EB"/>
    <w:rPr>
      <w:kern w:val="2"/>
      <w:sz w:val="18"/>
      <w:szCs w:val="18"/>
    </w:rPr>
  </w:style>
  <w:style w:type="character" w:customStyle="1" w:styleId="Char2">
    <w:name w:val="页眉 Char"/>
    <w:link w:val="a6"/>
    <w:uiPriority w:val="99"/>
    <w:semiHidden/>
    <w:qFormat/>
    <w:locked/>
    <w:rsid w:val="00D644EB"/>
    <w:rPr>
      <w:rFonts w:ascii="Times New Roman" w:hAnsi="Times New Roman" w:cs="Times New Roman" w:hint="default"/>
      <w:sz w:val="18"/>
      <w:szCs w:val="18"/>
    </w:rPr>
  </w:style>
  <w:style w:type="character" w:customStyle="1" w:styleId="Char3">
    <w:name w:val="批注主题 Char"/>
    <w:link w:val="a9"/>
    <w:uiPriority w:val="99"/>
    <w:semiHidden/>
    <w:qFormat/>
    <w:rsid w:val="00D644EB"/>
    <w:rPr>
      <w:b/>
      <w:bCs/>
      <w:kern w:val="2"/>
      <w:sz w:val="21"/>
      <w:szCs w:val="22"/>
    </w:rPr>
  </w:style>
  <w:style w:type="character" w:customStyle="1" w:styleId="Char1">
    <w:name w:val="页脚 Char"/>
    <w:link w:val="a5"/>
    <w:uiPriority w:val="99"/>
    <w:semiHidden/>
    <w:qFormat/>
    <w:locked/>
    <w:rsid w:val="00D644EB"/>
    <w:rPr>
      <w:rFonts w:ascii="Times New Roman" w:hAnsi="Times New Roman" w:cs="Times New Roman" w:hint="default"/>
      <w:sz w:val="18"/>
      <w:szCs w:val="18"/>
    </w:rPr>
  </w:style>
  <w:style w:type="character" w:customStyle="1" w:styleId="Char">
    <w:name w:val="批注文字 Char"/>
    <w:link w:val="a3"/>
    <w:uiPriority w:val="99"/>
    <w:qFormat/>
    <w:rsid w:val="00D644EB"/>
    <w:rPr>
      <w:kern w:val="2"/>
      <w:sz w:val="21"/>
      <w:szCs w:val="22"/>
    </w:rPr>
  </w:style>
  <w:style w:type="paragraph" w:customStyle="1" w:styleId="zhongyaotishi">
    <w:name w:val="zhongyaotishi"/>
    <w:basedOn w:val="a"/>
    <w:qFormat/>
    <w:rsid w:val="00D644E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644E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644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644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644E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644EB"/>
    <w:pPr>
      <w:widowControl w:val="0"/>
      <w:jc w:val="center"/>
    </w:pPr>
    <w:rPr>
      <w:kern w:val="2"/>
      <w:sz w:val="33"/>
      <w:szCs w:val="22"/>
    </w:rPr>
  </w:style>
  <w:style w:type="paragraph" w:customStyle="1" w:styleId="biaogeleft">
    <w:name w:val="biaoge_left"/>
    <w:basedOn w:val="a"/>
    <w:qFormat/>
    <w:rsid w:val="00D644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644E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644E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644E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644E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644EB"/>
    <w:pPr>
      <w:widowControl w:val="0"/>
    </w:pPr>
    <w:rPr>
      <w:kern w:val="2"/>
      <w:sz w:val="21"/>
      <w:szCs w:val="22"/>
    </w:rPr>
  </w:style>
  <w:style w:type="paragraph" w:customStyle="1" w:styleId="neirong">
    <w:name w:val="neirong"/>
    <w:basedOn w:val="a"/>
    <w:qFormat/>
    <w:rsid w:val="00D644EB"/>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1036</Words>
  <Characters>5911</Characters>
  <Application>Microsoft Office Word</Application>
  <DocSecurity>0</DocSecurity>
  <Lines>49</Lines>
  <Paragraphs>13</Paragraphs>
  <ScaleCrop>false</ScaleCrop>
  <Company>微软中国</Company>
  <LinksUpToDate>false</LinksUpToDate>
  <CharactersWithSpaces>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77</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AABEADEB940C4C5DA56C8F62AF693AC5</vt:lpwstr>
  </property>
</Properties>
</file>