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F9D" w:rsidRDefault="009D6F9D">
      <w:pPr>
        <w:pStyle w:val="dazhangjie"/>
        <w:rPr>
          <w:b/>
          <w:bCs/>
          <w:color w:val="000000"/>
        </w:rPr>
      </w:pPr>
    </w:p>
    <w:p w:rsidR="009D6F9D" w:rsidRDefault="009D6F9D">
      <w:pPr>
        <w:pStyle w:val="dazhangjie"/>
        <w:rPr>
          <w:b/>
          <w:bCs/>
          <w:color w:val="000000"/>
        </w:rPr>
      </w:pPr>
    </w:p>
    <w:p w:rsidR="009D6F9D" w:rsidRDefault="009D6F9D">
      <w:pPr>
        <w:pStyle w:val="dazhangjie"/>
        <w:rPr>
          <w:b/>
          <w:bCs/>
          <w:color w:val="000000"/>
        </w:rPr>
      </w:pPr>
    </w:p>
    <w:p w:rsidR="009D6F9D" w:rsidRDefault="009A7AEA">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hint="eastAsia"/>
          <w:b/>
          <w:bCs/>
          <w:sz w:val="36"/>
        </w:rPr>
        <w:t>1904</w:t>
      </w:r>
      <w:r>
        <w:rPr>
          <w:rFonts w:ascii="黑体" w:eastAsia="黑体" w:hAnsi="黑体" w:hint="eastAsia"/>
          <w:b/>
          <w:bCs/>
          <w:sz w:val="36"/>
        </w:rPr>
        <w:t>一年定开公募理财产品</w:t>
      </w:r>
    </w:p>
    <w:p w:rsidR="009D6F9D" w:rsidRDefault="009A7AEA">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9D6F9D" w:rsidRDefault="009D6F9D">
      <w:pPr>
        <w:pStyle w:val="dazhangjie"/>
        <w:spacing w:before="240" w:after="120"/>
        <w:rPr>
          <w:rFonts w:ascii="黑体" w:eastAsia="黑体" w:hAnsi="黑体"/>
          <w:b/>
          <w:bCs/>
          <w:color w:val="000000"/>
          <w:sz w:val="36"/>
        </w:rPr>
      </w:pPr>
    </w:p>
    <w:p w:rsidR="009D6F9D" w:rsidRDefault="009D6F9D">
      <w:pPr>
        <w:pStyle w:val="dazhangjie"/>
        <w:spacing w:before="240" w:after="120"/>
        <w:rPr>
          <w:rFonts w:ascii="黑体" w:eastAsia="黑体" w:hAnsi="黑体"/>
          <w:b/>
          <w:bCs/>
          <w:color w:val="000000"/>
          <w:sz w:val="36"/>
        </w:rPr>
      </w:pPr>
    </w:p>
    <w:p w:rsidR="009D6F9D" w:rsidRDefault="009D6F9D">
      <w:pPr>
        <w:pStyle w:val="dazhangjie"/>
        <w:spacing w:before="240" w:after="120"/>
        <w:rPr>
          <w:rFonts w:ascii="黑体" w:eastAsia="黑体" w:hAnsi="黑体"/>
          <w:b/>
          <w:bCs/>
          <w:color w:val="000000"/>
          <w:sz w:val="36"/>
        </w:rPr>
      </w:pPr>
    </w:p>
    <w:p w:rsidR="009D6F9D" w:rsidRDefault="009D6F9D">
      <w:pPr>
        <w:pStyle w:val="dazhangjie"/>
        <w:spacing w:before="240" w:after="120"/>
        <w:rPr>
          <w:rFonts w:ascii="黑体" w:eastAsia="黑体" w:hAnsi="黑体"/>
          <w:b/>
          <w:bCs/>
          <w:color w:val="000000"/>
          <w:sz w:val="36"/>
        </w:rPr>
      </w:pPr>
    </w:p>
    <w:p w:rsidR="009D6F9D" w:rsidRDefault="009D6F9D">
      <w:pPr>
        <w:pStyle w:val="dazhangjie"/>
        <w:spacing w:before="240" w:after="120"/>
        <w:rPr>
          <w:rFonts w:ascii="黑体" w:eastAsia="黑体" w:hAnsi="黑体"/>
          <w:b/>
          <w:bCs/>
          <w:color w:val="000000"/>
          <w:sz w:val="36"/>
        </w:rPr>
      </w:pPr>
    </w:p>
    <w:p w:rsidR="009D6F9D" w:rsidRDefault="009D6F9D">
      <w:pPr>
        <w:pStyle w:val="dazhangjie"/>
        <w:spacing w:before="240" w:after="120"/>
        <w:rPr>
          <w:rFonts w:ascii="黑体" w:eastAsia="黑体" w:hAnsi="黑体"/>
          <w:b/>
          <w:bCs/>
          <w:color w:val="000000"/>
          <w:sz w:val="36"/>
        </w:rPr>
      </w:pPr>
    </w:p>
    <w:p w:rsidR="009D6F9D" w:rsidRDefault="009D6F9D">
      <w:pPr>
        <w:pStyle w:val="dazhangjie"/>
        <w:spacing w:before="240" w:after="120"/>
        <w:rPr>
          <w:rFonts w:ascii="黑体" w:eastAsia="黑体" w:hAnsi="黑体"/>
          <w:b/>
          <w:bCs/>
          <w:color w:val="000000"/>
          <w:sz w:val="36"/>
        </w:rPr>
      </w:pPr>
    </w:p>
    <w:p w:rsidR="009D6F9D" w:rsidRDefault="009D6F9D">
      <w:pPr>
        <w:pStyle w:val="dazhangjie"/>
        <w:spacing w:before="240" w:after="120"/>
        <w:rPr>
          <w:rFonts w:ascii="黑体" w:eastAsia="黑体" w:hAnsi="黑体"/>
          <w:b/>
          <w:bCs/>
          <w:color w:val="000000"/>
          <w:sz w:val="36"/>
        </w:rPr>
      </w:pPr>
    </w:p>
    <w:p w:rsidR="009D6F9D" w:rsidRDefault="009D6F9D">
      <w:pPr>
        <w:pStyle w:val="dazhangjie"/>
        <w:spacing w:before="240" w:after="120"/>
        <w:ind w:left="0"/>
        <w:jc w:val="both"/>
        <w:rPr>
          <w:rFonts w:ascii="黑体" w:eastAsia="黑体" w:hAnsi="黑体"/>
          <w:b/>
          <w:bCs/>
          <w:color w:val="000000"/>
          <w:sz w:val="36"/>
        </w:rPr>
      </w:pPr>
    </w:p>
    <w:p w:rsidR="009D6F9D" w:rsidRDefault="009A7AEA">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9D6F9D" w:rsidRDefault="009A7AEA">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9D6F9D" w:rsidRDefault="009D6F9D">
      <w:pPr>
        <w:widowControl/>
        <w:jc w:val="left"/>
        <w:rPr>
          <w:rFonts w:ascii="宋体" w:hAnsi="宋体" w:cs="宋体"/>
          <w:color w:val="000000"/>
          <w:kern w:val="0"/>
          <w:sz w:val="24"/>
          <w:szCs w:val="24"/>
        </w:rPr>
        <w:sectPr w:rsidR="009D6F9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9D6F9D" w:rsidRDefault="009D6F9D">
      <w:pPr>
        <w:widowControl/>
        <w:jc w:val="left"/>
        <w:rPr>
          <w:rFonts w:ascii="宋体" w:hAnsi="宋体" w:cs="宋体"/>
          <w:color w:val="000000"/>
          <w:kern w:val="0"/>
          <w:sz w:val="24"/>
          <w:szCs w:val="24"/>
        </w:rPr>
      </w:pPr>
    </w:p>
    <w:p w:rsidR="009D6F9D" w:rsidRDefault="009A7AEA">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9D6F9D" w:rsidRDefault="009D6F9D">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9D6F9D">
        <w:tc>
          <w:tcPr>
            <w:tcW w:w="281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rPr>
              <w:t>南京银行珠联璧合安稳</w:t>
            </w:r>
            <w:r>
              <w:rPr>
                <w:rFonts w:hint="eastAsia"/>
              </w:rPr>
              <w:t>1904</w:t>
            </w:r>
            <w:r>
              <w:rPr>
                <w:rFonts w:hint="eastAsia"/>
              </w:rPr>
              <w:t>一年定开公募理财产品</w:t>
            </w:r>
          </w:p>
        </w:tc>
      </w:tr>
      <w:tr w:rsidR="009D6F9D">
        <w:tc>
          <w:tcPr>
            <w:tcW w:w="281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pPr>
            <w:r>
              <w:t>C1086919000007</w:t>
            </w:r>
            <w:r>
              <w:rPr>
                <w:rFonts w:hint="eastAsia"/>
              </w:rPr>
              <w:t>（投资者可依据该编码在中国理财网</w:t>
            </w:r>
            <w:r>
              <w:rPr>
                <w:rFonts w:hint="eastAsia"/>
              </w:rPr>
              <w:t>www.chinawealth.com.cn</w:t>
            </w:r>
            <w:r>
              <w:rPr>
                <w:rFonts w:hint="eastAsia"/>
              </w:rPr>
              <w:t>查询理财产品相关信息）</w:t>
            </w:r>
          </w:p>
        </w:tc>
      </w:tr>
      <w:tr w:rsidR="009D6F9D">
        <w:tc>
          <w:tcPr>
            <w:tcW w:w="281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rPr>
              <w:t>开放式</w:t>
            </w:r>
            <w:r>
              <w:rPr>
                <w:rFonts w:hint="eastAsia"/>
              </w:rPr>
              <w:t>净值型</w:t>
            </w:r>
          </w:p>
        </w:tc>
      </w:tr>
      <w:tr w:rsidR="009D6F9D">
        <w:tc>
          <w:tcPr>
            <w:tcW w:w="2811" w:type="dxa"/>
            <w:tcBorders>
              <w:top w:val="single" w:sz="8" w:space="0" w:color="000000"/>
              <w:left w:val="single" w:sz="8" w:space="0" w:color="000000"/>
              <w:bottom w:val="single" w:sz="6" w:space="0" w:color="000000"/>
              <w:right w:val="single" w:sz="8" w:space="0" w:color="000000"/>
            </w:tcBorders>
            <w:vAlign w:val="center"/>
          </w:tcPr>
          <w:p w:rsidR="009D6F9D" w:rsidRDefault="008F6860">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rPr>
              <w:t>2019</w:t>
            </w:r>
            <w:r>
              <w:rPr>
                <w:rFonts w:hint="eastAsia"/>
              </w:rPr>
              <w:t>年</w:t>
            </w:r>
            <w:r>
              <w:rPr>
                <w:rFonts w:hint="eastAsia"/>
              </w:rPr>
              <w:t>04</w:t>
            </w:r>
            <w:r>
              <w:rPr>
                <w:rFonts w:hint="eastAsia"/>
              </w:rPr>
              <w:t>月</w:t>
            </w:r>
            <w:r>
              <w:rPr>
                <w:rFonts w:hint="eastAsia"/>
              </w:rPr>
              <w:t>24</w:t>
            </w:r>
            <w:r>
              <w:rPr>
                <w:rFonts w:hint="eastAsia"/>
              </w:rPr>
              <w:t>日</w:t>
            </w:r>
          </w:p>
        </w:tc>
      </w:tr>
      <w:tr w:rsidR="009D6F9D">
        <w:tc>
          <w:tcPr>
            <w:tcW w:w="281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highlight w:val="yellow"/>
              </w:rPr>
            </w:pPr>
            <w:r>
              <w:rPr>
                <w:rFonts w:hint="eastAsia"/>
              </w:rPr>
              <w:t>1,998,467,541.50</w:t>
            </w:r>
            <w:r>
              <w:rPr>
                <w:rFonts w:hint="eastAsia"/>
              </w:rPr>
              <w:t>份</w:t>
            </w:r>
          </w:p>
        </w:tc>
      </w:tr>
      <w:tr w:rsidR="009D6F9D">
        <w:tc>
          <w:tcPr>
            <w:tcW w:w="281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color w:val="000000"/>
              </w:rPr>
              <w:t>109.24%</w:t>
            </w:r>
          </w:p>
        </w:tc>
      </w:tr>
      <w:tr w:rsidR="009D6F9D">
        <w:tc>
          <w:tcPr>
            <w:tcW w:w="281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color w:val="000000"/>
              </w:rPr>
              <w:t>-</w:t>
            </w:r>
          </w:p>
        </w:tc>
      </w:tr>
      <w:tr w:rsidR="009D6F9D">
        <w:tc>
          <w:tcPr>
            <w:tcW w:w="281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rPr>
              <w:t>南京银行股份有限公司</w:t>
            </w:r>
          </w:p>
        </w:tc>
      </w:tr>
      <w:tr w:rsidR="009D6F9D">
        <w:tc>
          <w:tcPr>
            <w:tcW w:w="281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left"/>
              <w:wordWrap w:val="0"/>
              <w:rPr>
                <w:color w:val="000000"/>
              </w:rPr>
            </w:pPr>
            <w:r>
              <w:rPr>
                <w:rFonts w:hint="eastAsia"/>
              </w:rPr>
              <w:t>南京银行股份有限公司</w:t>
            </w:r>
          </w:p>
        </w:tc>
      </w:tr>
    </w:tbl>
    <w:p w:rsidR="009D6F9D" w:rsidRDefault="009D6F9D">
      <w:pPr>
        <w:widowControl/>
        <w:jc w:val="left"/>
        <w:rPr>
          <w:rFonts w:ascii="宋体" w:hAnsi="宋体" w:cs="宋体"/>
          <w:color w:val="000000"/>
          <w:kern w:val="0"/>
          <w:sz w:val="24"/>
          <w:szCs w:val="24"/>
        </w:rPr>
      </w:pPr>
    </w:p>
    <w:p w:rsidR="009D6F9D" w:rsidRDefault="009D6F9D">
      <w:pPr>
        <w:pStyle w:val="dazhangjie"/>
        <w:rPr>
          <w:rFonts w:hAnsi="Calibri"/>
          <w:b/>
          <w:color w:val="000000"/>
        </w:rPr>
      </w:pPr>
    </w:p>
    <w:p w:rsidR="009D6F9D" w:rsidRDefault="009A7AEA">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9D6F9D" w:rsidRDefault="009D6F9D">
      <w:pPr>
        <w:widowControl/>
        <w:jc w:val="left"/>
        <w:rPr>
          <w:rFonts w:ascii="宋体" w:hAnsi="宋体" w:cs="宋体"/>
          <w:color w:val="000000"/>
          <w:kern w:val="0"/>
          <w:sz w:val="24"/>
          <w:szCs w:val="24"/>
        </w:rPr>
      </w:pPr>
    </w:p>
    <w:p w:rsidR="009D6F9D" w:rsidRDefault="009A7AEA">
      <w:pPr>
        <w:pStyle w:val="zhangjiep"/>
        <w:rPr>
          <w:color w:val="000000"/>
        </w:rPr>
      </w:pPr>
      <w:r>
        <w:rPr>
          <w:rFonts w:hint="eastAsia"/>
          <w:b/>
          <w:bCs/>
          <w:color w:val="000000"/>
        </w:rPr>
        <w:t xml:space="preserve">2.1 </w:t>
      </w:r>
      <w:r>
        <w:rPr>
          <w:rFonts w:hint="eastAsia"/>
          <w:b/>
          <w:bCs/>
          <w:color w:val="000000"/>
        </w:rPr>
        <w:t>主要财务指标</w:t>
      </w:r>
    </w:p>
    <w:p w:rsidR="009D6F9D" w:rsidRDefault="009A7AEA">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9D6F9D">
        <w:tc>
          <w:tcPr>
            <w:tcW w:w="5220"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9D6F9D">
        <w:tc>
          <w:tcPr>
            <w:tcW w:w="5220"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right"/>
              <w:jc w:val="center"/>
              <w:rPr>
                <w:color w:val="000000"/>
                <w:highlight w:val="yellow"/>
              </w:rPr>
            </w:pPr>
            <w:r>
              <w:rPr>
                <w:rFonts w:hint="eastAsia"/>
              </w:rPr>
              <w:t>2,060,668,868.27</w:t>
            </w:r>
          </w:p>
        </w:tc>
      </w:tr>
      <w:tr w:rsidR="009D6F9D">
        <w:tc>
          <w:tcPr>
            <w:tcW w:w="5220"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right"/>
              <w:jc w:val="center"/>
              <w:rPr>
                <w:color w:val="000000"/>
                <w:highlight w:val="yellow"/>
              </w:rPr>
            </w:pPr>
            <w:r>
              <w:rPr>
                <w:rFonts w:hint="eastAsia"/>
              </w:rPr>
              <w:t>1.0311</w:t>
            </w:r>
          </w:p>
        </w:tc>
      </w:tr>
      <w:tr w:rsidR="009D6F9D">
        <w:tc>
          <w:tcPr>
            <w:tcW w:w="5220"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right"/>
              <w:jc w:val="center"/>
              <w:rPr>
                <w:color w:val="000000"/>
                <w:highlight w:val="yellow"/>
              </w:rPr>
            </w:pPr>
            <w:r>
              <w:rPr>
                <w:color w:val="000000"/>
              </w:rPr>
              <w:t>1.0777</w:t>
            </w:r>
          </w:p>
        </w:tc>
      </w:tr>
      <w:tr w:rsidR="009D6F9D">
        <w:tc>
          <w:tcPr>
            <w:tcW w:w="5220" w:type="dxa"/>
            <w:vAlign w:val="center"/>
          </w:tcPr>
          <w:p w:rsidR="009D6F9D" w:rsidRDefault="009D6F9D">
            <w:pPr>
              <w:widowControl/>
              <w:jc w:val="left"/>
              <w:rPr>
                <w:rFonts w:ascii="宋体" w:hAnsi="宋体" w:cs="宋体"/>
                <w:color w:val="000000"/>
                <w:kern w:val="0"/>
                <w:sz w:val="24"/>
                <w:szCs w:val="24"/>
              </w:rPr>
            </w:pPr>
          </w:p>
        </w:tc>
        <w:tc>
          <w:tcPr>
            <w:tcW w:w="3825" w:type="dxa"/>
            <w:vAlign w:val="center"/>
          </w:tcPr>
          <w:p w:rsidR="009D6F9D" w:rsidRDefault="009D6F9D">
            <w:pPr>
              <w:widowControl/>
              <w:jc w:val="left"/>
              <w:rPr>
                <w:color w:val="000000"/>
                <w:kern w:val="0"/>
                <w:sz w:val="20"/>
                <w:szCs w:val="20"/>
              </w:rPr>
            </w:pPr>
          </w:p>
        </w:tc>
      </w:tr>
    </w:tbl>
    <w:p w:rsidR="009D6F9D" w:rsidRDefault="009D6F9D">
      <w:pPr>
        <w:pStyle w:val="biaogeleft"/>
        <w:ind w:left="0"/>
        <w:rPr>
          <w:color w:val="000000"/>
        </w:rPr>
      </w:pPr>
    </w:p>
    <w:p w:rsidR="009D6F9D" w:rsidRDefault="009D6F9D">
      <w:pPr>
        <w:widowControl/>
        <w:jc w:val="left"/>
        <w:rPr>
          <w:rFonts w:ascii="宋体" w:hAnsi="宋体" w:cs="宋体"/>
          <w:color w:val="000000"/>
          <w:kern w:val="0"/>
          <w:sz w:val="24"/>
          <w:szCs w:val="24"/>
        </w:rPr>
      </w:pPr>
    </w:p>
    <w:p w:rsidR="009D6F9D" w:rsidRDefault="009A7AEA">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9D6F9D" w:rsidRDefault="009A7AEA">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9D6F9D" w:rsidRDefault="009A7AEA">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9D6F9D" w:rsidRDefault="009A7AEA">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9D6F9D" w:rsidRDefault="009A7AEA">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9D6F9D" w:rsidRDefault="009A7AEA">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安稳系列产品通过稳健的资产配置，选择性价比较优的城投信用债及非标资产作为主要底仓，适当利用杠杆增厚收益。后续将在严格控制风险的基础上，精选个券，充分发挥票息策略优势，辅以杠杆增厚收益。</w:t>
      </w:r>
    </w:p>
    <w:p w:rsidR="009D6F9D" w:rsidRDefault="009A7AEA">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9D6F9D" w:rsidRDefault="009A7AEA">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w:t>
      </w:r>
      <w:r>
        <w:rPr>
          <w:rFonts w:asciiTheme="minorEastAsia" w:eastAsiaTheme="minorEastAsia" w:hAnsiTheme="minorEastAsia" w:hint="eastAsia"/>
          <w:sz w:val="24"/>
          <w:szCs w:val="24"/>
        </w:rPr>
        <w:t>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9D6F9D" w:rsidRDefault="009A7AEA">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9D6F9D" w:rsidRDefault="009A7AEA">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1.0311</w:t>
      </w:r>
      <w:r>
        <w:rPr>
          <w:rFonts w:hint="eastAsia"/>
          <w:color w:val="000000"/>
        </w:rPr>
        <w:t>元。</w:t>
      </w:r>
    </w:p>
    <w:p w:rsidR="009D6F9D" w:rsidRDefault="009D6F9D">
      <w:pPr>
        <w:widowControl/>
        <w:jc w:val="left"/>
        <w:rPr>
          <w:rFonts w:ascii="宋体" w:hAnsi="宋体" w:cs="宋体"/>
          <w:color w:val="000000"/>
          <w:kern w:val="0"/>
          <w:sz w:val="24"/>
          <w:szCs w:val="24"/>
        </w:rPr>
      </w:pPr>
    </w:p>
    <w:p w:rsidR="009D6F9D" w:rsidRDefault="009A7AEA">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9D6F9D" w:rsidRDefault="009D6F9D">
      <w:pPr>
        <w:pStyle w:val="dazhangjie"/>
        <w:rPr>
          <w:rFonts w:hAnsi="Calibri"/>
          <w:b/>
          <w:color w:val="000000"/>
        </w:rPr>
      </w:pPr>
    </w:p>
    <w:p w:rsidR="009D6F9D" w:rsidRDefault="009A7AEA">
      <w:pPr>
        <w:pStyle w:val="a8"/>
        <w:rPr>
          <w:b/>
          <w:color w:val="000000"/>
        </w:rPr>
      </w:pPr>
      <w:bookmarkStart w:id="1" w:name="_Hlk65779940"/>
      <w:r>
        <w:rPr>
          <w:rFonts w:hint="eastAsia"/>
          <w:b/>
          <w:color w:val="000000"/>
        </w:rPr>
        <w:lastRenderedPageBreak/>
        <w:t>4.1</w:t>
      </w:r>
      <w:r>
        <w:rPr>
          <w:rFonts w:hint="eastAsia"/>
          <w:b/>
          <w:color w:val="000000"/>
        </w:rPr>
        <w:t>报告期内托管人遵规守信情况声明</w:t>
      </w:r>
    </w:p>
    <w:p w:rsidR="009D6F9D" w:rsidRDefault="009A7AEA">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9D6F9D" w:rsidRDefault="009A7AEA">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9D6F9D" w:rsidRDefault="009A7AEA">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9D6F9D" w:rsidRDefault="009A7AEA">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9D6F9D" w:rsidRDefault="009A7AEA">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1"/>
    </w:p>
    <w:p w:rsidR="009D6F9D" w:rsidRDefault="009D6F9D">
      <w:pPr>
        <w:pStyle w:val="biaogeleft"/>
        <w:spacing w:line="360" w:lineRule="auto"/>
        <w:ind w:firstLine="480"/>
        <w:rPr>
          <w:color w:val="000000"/>
        </w:rPr>
      </w:pPr>
    </w:p>
    <w:p w:rsidR="009D6F9D" w:rsidRDefault="009A7AEA">
      <w:pPr>
        <w:pStyle w:val="dazhangjie"/>
      </w:pPr>
      <w:bookmarkStart w:id="2"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2"/>
    </w:p>
    <w:p w:rsidR="009D6F9D" w:rsidRDefault="009D6F9D">
      <w:pPr>
        <w:widowControl/>
        <w:jc w:val="left"/>
        <w:rPr>
          <w:rFonts w:ascii="宋体" w:hAnsi="宋体" w:cs="宋体"/>
          <w:kern w:val="0"/>
          <w:sz w:val="24"/>
          <w:szCs w:val="24"/>
        </w:rPr>
      </w:pPr>
    </w:p>
    <w:p w:rsidR="009D6F9D" w:rsidRDefault="009A7AEA">
      <w:pPr>
        <w:pStyle w:val="zhangjiep"/>
      </w:pPr>
      <w:bookmarkStart w:id="3" w:name="_Toc61271615"/>
      <w:r>
        <w:rPr>
          <w:rFonts w:hint="eastAsia"/>
          <w:b/>
          <w:bCs/>
        </w:rPr>
        <w:t xml:space="preserve">5.1 </w:t>
      </w:r>
      <w:r>
        <w:rPr>
          <w:rFonts w:hint="eastAsia"/>
          <w:b/>
          <w:bCs/>
        </w:rPr>
        <w:t>资产负债表</w:t>
      </w:r>
      <w:bookmarkEnd w:id="3"/>
    </w:p>
    <w:p w:rsidR="009D6F9D" w:rsidRDefault="009A7AEA">
      <w:pPr>
        <w:pStyle w:val="biaogeleft"/>
      </w:pPr>
      <w:r>
        <w:rPr>
          <w:rFonts w:hint="eastAsia"/>
        </w:rPr>
        <w:t>会计主体：南京银行珠联璧合安稳</w:t>
      </w:r>
      <w:r>
        <w:rPr>
          <w:rFonts w:hint="eastAsia"/>
        </w:rPr>
        <w:t>1904</w:t>
      </w:r>
      <w:r>
        <w:rPr>
          <w:rFonts w:hint="eastAsia"/>
        </w:rPr>
        <w:t>一年定开公募理财产品</w:t>
      </w:r>
    </w:p>
    <w:p w:rsidR="009D6F9D" w:rsidRDefault="009A7AEA">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9D6F9D" w:rsidRDefault="009A7AE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Ansi="Calibri" w:hint="eastAsia"/>
                <w:color w:val="000000"/>
              </w:rPr>
              <w:t>本期末</w:t>
            </w:r>
            <w:r>
              <w:rPr>
                <w:rFonts w:hAnsi="Calibri" w:hint="eastAsia"/>
                <w:color w:val="000000"/>
              </w:rPr>
              <w:t> </w:t>
            </w:r>
          </w:p>
          <w:p w:rsidR="009D6F9D" w:rsidRDefault="009A7AEA">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Ansi="Calibri" w:hint="eastAsia"/>
                <w:color w:val="000000"/>
              </w:rPr>
              <w:t>上年度末</w:t>
            </w:r>
            <w:r>
              <w:rPr>
                <w:rFonts w:hAnsi="Calibri" w:hint="eastAsia"/>
                <w:color w:val="000000"/>
              </w:rPr>
              <w:t> </w:t>
            </w:r>
          </w:p>
          <w:p w:rsidR="009D6F9D" w:rsidRDefault="009A7AEA">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D6F9D">
            <w:pPr>
              <w:rPr>
                <w:rFonts w:ascii="宋体" w:hAnsi="宋体" w:cs="宋体"/>
                <w:kern w:val="0"/>
                <w:sz w:val="24"/>
                <w:szCs w:val="24"/>
              </w:rPr>
            </w:pP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t>2,416,988.60</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29,578,812.09</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t>1,706.54</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2,027,184,843.05</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1,444,843,716.89</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pPr>
            <w:r>
              <w:rPr>
                <w:rFonts w:hint="eastAsia"/>
              </w:rPr>
              <w:lastRenderedPageBreak/>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pPr>
            <w:r>
              <w:rPr>
                <w:rFonts w:hint="eastAsia"/>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2,027,184,843.05</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1,414,843,716.89</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pPr>
            <w:r>
              <w:rPr>
                <w:rFonts w:hint="eastAsia"/>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30,000,000.00</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pPr>
            <w:r>
              <w:rPr>
                <w:rFonts w:hint="eastAsia"/>
              </w:rPr>
              <w:t>贵金属投资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衍生金融资产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25,000,157.50</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72,472,281.32</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47,407,641.06</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6,020,219.18</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 </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递延所得税资产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118,000,000.00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2,251,096,196.19</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1,521,830,170.04</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本期末</w:t>
            </w:r>
            <w:r>
              <w:rPr>
                <w:rFonts w:hint="eastAsia"/>
              </w:rPr>
              <w:t> </w:t>
            </w:r>
          </w:p>
          <w:p w:rsidR="009D6F9D" w:rsidRDefault="009A7AEA">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上年度末</w:t>
            </w:r>
            <w:r>
              <w:rPr>
                <w:rFonts w:hint="eastAsia"/>
              </w:rPr>
              <w:t> </w:t>
            </w:r>
          </w:p>
          <w:p w:rsidR="009D6F9D" w:rsidRDefault="009A7AEA">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 </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183,499,484.75</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2,773,829.86</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4,054,682.52</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277,383.24</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202,734.00</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2,773,829.86</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2,027,340.00</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2,843.31</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3,059.77</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839,008.90</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655,659.98</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260,948.00</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递延所得税负债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190,427,327.92</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6,943,476.27</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b/>
                <w:bCs/>
              </w:rPr>
              <w:lastRenderedPageBreak/>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D6F9D">
            <w:pPr>
              <w:rPr>
                <w:rFonts w:ascii="宋体" w:hAnsi="宋体" w:cs="宋体"/>
                <w:kern w:val="0"/>
                <w:sz w:val="24"/>
                <w:szCs w:val="24"/>
              </w:rPr>
            </w:pP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1,998,467,541.50</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1,468,213,000.00</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62,201,326.77</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46,673,693.77</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2,060,668,868.27</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1,514,886,693.77</w:t>
            </w:r>
          </w:p>
        </w:tc>
      </w:tr>
      <w:tr w:rsidR="009D6F9D">
        <w:tc>
          <w:tcPr>
            <w:tcW w:w="260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2,251,096,196.19</w:t>
            </w:r>
          </w:p>
        </w:tc>
        <w:tc>
          <w:tcPr>
            <w:tcW w:w="2620"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1,521,830,170.04</w:t>
            </w:r>
          </w:p>
        </w:tc>
      </w:tr>
    </w:tbl>
    <w:p w:rsidR="009D6F9D" w:rsidRDefault="009D6F9D">
      <w:pPr>
        <w:widowControl/>
        <w:jc w:val="left"/>
        <w:rPr>
          <w:rFonts w:ascii="宋体" w:hAnsi="宋体" w:cs="宋体"/>
          <w:kern w:val="0"/>
          <w:sz w:val="24"/>
          <w:szCs w:val="24"/>
        </w:rPr>
      </w:pPr>
    </w:p>
    <w:p w:rsidR="009D6F9D" w:rsidRDefault="009A7AEA">
      <w:pPr>
        <w:pStyle w:val="zhangjiep"/>
      </w:pPr>
      <w:bookmarkStart w:id="4" w:name="_Toc61426800"/>
      <w:r>
        <w:rPr>
          <w:rFonts w:hint="eastAsia"/>
          <w:b/>
          <w:bCs/>
        </w:rPr>
        <w:t xml:space="preserve">5.2 </w:t>
      </w:r>
      <w:r>
        <w:rPr>
          <w:rFonts w:hint="eastAsia"/>
          <w:b/>
          <w:bCs/>
        </w:rPr>
        <w:t>利润表</w:t>
      </w:r>
      <w:bookmarkEnd w:id="4"/>
    </w:p>
    <w:p w:rsidR="009D6F9D" w:rsidRDefault="009A7AEA">
      <w:pPr>
        <w:pStyle w:val="biaogeleft"/>
      </w:pPr>
      <w:r>
        <w:rPr>
          <w:rFonts w:hint="eastAsia"/>
        </w:rPr>
        <w:t>会计主体：南京银行珠联璧合安稳</w:t>
      </w:r>
      <w:r>
        <w:rPr>
          <w:rFonts w:hint="eastAsia"/>
        </w:rPr>
        <w:t>1904</w:t>
      </w:r>
      <w:r>
        <w:rPr>
          <w:rFonts w:hint="eastAsia"/>
        </w:rPr>
        <w:t>一年定开公募理财产品</w:t>
      </w:r>
    </w:p>
    <w:p w:rsidR="009D6F9D" w:rsidRDefault="009A7AEA">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9D6F9D" w:rsidRDefault="009A7AE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9D6F9D">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9D6F9D">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9D6F9D" w:rsidRDefault="009D6F9D">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9D6F9D" w:rsidRDefault="009D6F9D">
            <w:pPr>
              <w:widowControl/>
              <w:jc w:val="left"/>
              <w:rPr>
                <w:rFonts w:asciiTheme="minorEastAsia" w:eastAsiaTheme="minorEastAsia" w:hAnsiTheme="minorEastAsia" w:cs="宋体"/>
                <w:kern w:val="0"/>
                <w:sz w:val="24"/>
                <w:szCs w:val="24"/>
              </w:rPr>
            </w:pP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b/>
                <w:bCs/>
                <w:color w:val="000000"/>
              </w:rPr>
              <w:t>94,526,234.00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94,217,021.11</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48,141.35</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93,948,418.76</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204,681.31</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15,779.69</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ascii="Arial" w:hAnsi="Arial" w:cs="Arial"/>
                <w:color w:val="000000"/>
              </w:rPr>
              <w:t xml:space="preserve">　</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-322.83</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-322.83</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 xml:space="preserve">　</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309,535.72</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b/>
                <w:bCs/>
                <w:color w:val="000000"/>
              </w:rPr>
              <w:t>10,520,943.86</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4,570,986.34</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367,240.84</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3,672,408.10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600.00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1,538,015.10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1,538,015.10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334,493.48</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color w:val="000000"/>
              </w:rPr>
              <w:t>37,200.00</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b/>
                <w:bCs/>
                <w:color w:val="000000"/>
              </w:rPr>
              <w:t>84,005,290.14</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ascii="Arial" w:hAnsi="Arial" w:cs="Arial"/>
                <w:color w:val="000000"/>
              </w:rPr>
              <w:t xml:space="preserve">　</w:t>
            </w:r>
          </w:p>
        </w:tc>
      </w:tr>
      <w:tr w:rsidR="009D6F9D">
        <w:tc>
          <w:tcPr>
            <w:tcW w:w="2969" w:type="dxa"/>
            <w:tcBorders>
              <w:top w:val="single" w:sz="8" w:space="0" w:color="000000"/>
              <w:left w:val="single" w:sz="8" w:space="0" w:color="000000"/>
              <w:bottom w:val="single" w:sz="8" w:space="0" w:color="000000"/>
              <w:right w:val="single" w:sz="8" w:space="0" w:color="000000"/>
            </w:tcBorders>
            <w:vAlign w:val="center"/>
          </w:tcPr>
          <w:p w:rsidR="009D6F9D" w:rsidRDefault="009A7AEA">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rPr>
                <w:rFonts w:asciiTheme="minorEastAsia" w:eastAsiaTheme="minorEastAsia" w:hAnsiTheme="minorEastAsia"/>
              </w:rPr>
            </w:pPr>
            <w:r>
              <w:rPr>
                <w:rFonts w:cs="Arial" w:hint="eastAsia"/>
                <w:b/>
                <w:bCs/>
                <w:color w:val="000000"/>
              </w:rPr>
              <w:t>84,005,290.14</w:t>
            </w:r>
          </w:p>
        </w:tc>
      </w:tr>
    </w:tbl>
    <w:p w:rsidR="009D6F9D" w:rsidRDefault="009D6F9D">
      <w:pPr>
        <w:widowControl/>
        <w:jc w:val="left"/>
        <w:rPr>
          <w:rFonts w:ascii="宋体" w:hAnsi="宋体" w:cs="宋体"/>
          <w:kern w:val="0"/>
          <w:sz w:val="24"/>
          <w:szCs w:val="24"/>
        </w:rPr>
      </w:pPr>
    </w:p>
    <w:p w:rsidR="009D6F9D" w:rsidRDefault="009A7AEA">
      <w:pPr>
        <w:pStyle w:val="zhangjiep"/>
      </w:pPr>
      <w:bookmarkStart w:id="5" w:name="_Toc61426801"/>
      <w:r>
        <w:rPr>
          <w:rFonts w:hint="eastAsia"/>
          <w:b/>
          <w:bCs/>
        </w:rPr>
        <w:t xml:space="preserve">5.3 </w:t>
      </w:r>
      <w:r>
        <w:rPr>
          <w:rFonts w:hint="eastAsia"/>
          <w:b/>
          <w:bCs/>
        </w:rPr>
        <w:t>所有者权益（基金净值）变动表</w:t>
      </w:r>
      <w:bookmarkEnd w:id="5"/>
    </w:p>
    <w:p w:rsidR="009D6F9D" w:rsidRDefault="009A7AEA">
      <w:pPr>
        <w:pStyle w:val="biaogeleft"/>
      </w:pPr>
      <w:r>
        <w:rPr>
          <w:rFonts w:hint="eastAsia"/>
        </w:rPr>
        <w:t>会计主体：南京银行珠联璧合安稳</w:t>
      </w:r>
      <w:r>
        <w:rPr>
          <w:rFonts w:hint="eastAsia"/>
        </w:rPr>
        <w:t>1904</w:t>
      </w:r>
      <w:r>
        <w:rPr>
          <w:rFonts w:hint="eastAsia"/>
        </w:rPr>
        <w:t>一年定开公募理财产品</w:t>
      </w:r>
    </w:p>
    <w:p w:rsidR="009D6F9D" w:rsidRDefault="009A7AEA">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9D6F9D" w:rsidRDefault="009A7AE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9D6F9D">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本期</w:t>
            </w:r>
            <w:r>
              <w:rPr>
                <w:rFonts w:hint="eastAsia"/>
              </w:rPr>
              <w:t> </w:t>
            </w:r>
          </w:p>
          <w:p w:rsidR="009D6F9D" w:rsidRDefault="009A7AEA">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9D6F9D">
        <w:tc>
          <w:tcPr>
            <w:tcW w:w="2116" w:type="dxa"/>
            <w:vMerge/>
            <w:tcBorders>
              <w:top w:val="single" w:sz="8" w:space="0" w:color="000000"/>
              <w:left w:val="single" w:sz="8" w:space="0" w:color="000000"/>
              <w:bottom w:val="single" w:sz="8" w:space="0" w:color="000000"/>
              <w:right w:val="single" w:sz="8" w:space="0" w:color="000000"/>
            </w:tcBorders>
            <w:vAlign w:val="center"/>
          </w:tcPr>
          <w:p w:rsidR="009D6F9D" w:rsidRDefault="009D6F9D">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所有者权益合计</w:t>
            </w:r>
            <w:r>
              <w:rPr>
                <w:rFonts w:hint="eastAsia"/>
              </w:rPr>
              <w:t> </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1,468,213,000.00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46,673,693.77</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1,514,886,693.77</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二、本期经营活动产生的基金净值</w:t>
            </w:r>
            <w:r>
              <w:rPr>
                <w:rFonts w:hint="eastAsia"/>
              </w:rPr>
              <w:lastRenderedPageBreak/>
              <w:t>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84,005,290.14</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84,005,290.14</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530,254,541.50</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530,254,541.50</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1,200,000,000.00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1,200,000,000.00</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-669,745,458.50</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-669,745,458.50</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-68,477,657.14</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-68,477,657.14</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1,998,467,541.50</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62,201,326.77</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2,060,668,868.27</w:t>
            </w:r>
          </w:p>
        </w:tc>
      </w:tr>
      <w:tr w:rsidR="009D6F9D">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上年度可比期间</w:t>
            </w:r>
            <w:r>
              <w:rPr>
                <w:rFonts w:hint="eastAsia"/>
              </w:rPr>
              <w:t> </w:t>
            </w:r>
          </w:p>
          <w:p w:rsidR="009D6F9D" w:rsidRDefault="009A7AEA">
            <w:pPr>
              <w:pStyle w:val="biaogecenter"/>
              <w:wordWrap w:val="0"/>
            </w:pPr>
            <w:r>
              <w:rPr>
                <w:rFonts w:hint="eastAsia"/>
              </w:rPr>
              <w:t>2019</w:t>
            </w:r>
            <w:r>
              <w:rPr>
                <w:rFonts w:hint="eastAsia"/>
              </w:rPr>
              <w:t>年</w:t>
            </w:r>
            <w:r>
              <w:rPr>
                <w:rFonts w:hint="eastAsia"/>
              </w:rPr>
              <w:t>04</w:t>
            </w:r>
            <w:r>
              <w:rPr>
                <w:rFonts w:hint="eastAsia"/>
              </w:rPr>
              <w:t>月</w:t>
            </w:r>
            <w:r>
              <w:rPr>
                <w:rFonts w:hint="eastAsia"/>
              </w:rPr>
              <w:t>24</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9D6F9D">
        <w:tc>
          <w:tcPr>
            <w:tcW w:w="2116" w:type="dxa"/>
            <w:vMerge/>
            <w:tcBorders>
              <w:top w:val="single" w:sz="8" w:space="0" w:color="000000"/>
              <w:left w:val="single" w:sz="8" w:space="0" w:color="000000"/>
              <w:bottom w:val="single" w:sz="8" w:space="0" w:color="000000"/>
              <w:right w:val="single" w:sz="8" w:space="0" w:color="000000"/>
            </w:tcBorders>
            <w:vAlign w:val="center"/>
          </w:tcPr>
          <w:p w:rsidR="009D6F9D" w:rsidRDefault="009D6F9D">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所有者权益合计</w:t>
            </w:r>
            <w:r>
              <w:rPr>
                <w:rFonts w:hint="eastAsia"/>
              </w:rPr>
              <w:t> </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1,468,213,000.00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1,468,213,000.00</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46,673,693.77</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46,673,693.77</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lastRenderedPageBreak/>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w:t>
            </w:r>
          </w:p>
        </w:tc>
      </w:tr>
      <w:tr w:rsidR="009D6F9D">
        <w:tc>
          <w:tcPr>
            <w:tcW w:w="211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1,468,213,000.00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46,673,693.77</w:t>
            </w:r>
          </w:p>
        </w:tc>
        <w:tc>
          <w:tcPr>
            <w:tcW w:w="2484"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right"/>
              <w:wordWrap w:val="0"/>
            </w:pPr>
            <w:r>
              <w:rPr>
                <w:rFonts w:hint="eastAsia"/>
              </w:rPr>
              <w:t>1,514,886,693.77</w:t>
            </w:r>
          </w:p>
        </w:tc>
      </w:tr>
    </w:tbl>
    <w:p w:rsidR="009D6F9D" w:rsidRDefault="009D6F9D">
      <w:pPr>
        <w:widowControl/>
        <w:autoSpaceDE w:val="0"/>
        <w:autoSpaceDN w:val="0"/>
        <w:adjustRightInd w:val="0"/>
        <w:spacing w:line="288" w:lineRule="auto"/>
        <w:jc w:val="right"/>
        <w:rPr>
          <w:rFonts w:ascii="宋体" w:hAnsi="宋体" w:cs="宋体"/>
          <w:kern w:val="0"/>
          <w:sz w:val="24"/>
          <w:szCs w:val="24"/>
        </w:rPr>
      </w:pPr>
    </w:p>
    <w:p w:rsidR="009D6F9D" w:rsidRDefault="009D6F9D">
      <w:pPr>
        <w:pStyle w:val="biaogeleft"/>
        <w:spacing w:line="360" w:lineRule="auto"/>
        <w:ind w:firstLine="480"/>
        <w:rPr>
          <w:color w:val="000000"/>
        </w:rPr>
      </w:pPr>
    </w:p>
    <w:p w:rsidR="009D6F9D" w:rsidRDefault="009A7AEA">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9D6F9D" w:rsidRDefault="009D6F9D">
      <w:pPr>
        <w:widowControl/>
        <w:jc w:val="left"/>
        <w:rPr>
          <w:rFonts w:ascii="宋体" w:hAnsi="宋体" w:cs="宋体"/>
          <w:color w:val="000000"/>
          <w:kern w:val="0"/>
          <w:sz w:val="24"/>
          <w:szCs w:val="24"/>
        </w:rPr>
      </w:pPr>
    </w:p>
    <w:p w:rsidR="009D6F9D" w:rsidRDefault="009A7AEA">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9D6F9D">
        <w:tc>
          <w:tcPr>
            <w:tcW w:w="891" w:type="dxa"/>
            <w:tcBorders>
              <w:top w:val="single" w:sz="8" w:space="0" w:color="000000"/>
              <w:left w:val="single" w:sz="8" w:space="0" w:color="000000"/>
              <w:bottom w:val="single" w:sz="6" w:space="0" w:color="000000"/>
              <w:right w:val="single" w:sz="8" w:space="0" w:color="000000"/>
            </w:tcBorders>
            <w:vAlign w:val="bottom"/>
          </w:tcPr>
          <w:p w:rsidR="009D6F9D" w:rsidRDefault="009A7AEA">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9D6F9D" w:rsidRDefault="009A7AEA">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9D6F9D" w:rsidRDefault="009A7AEA">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9D6F9D" w:rsidRDefault="009A7AEA">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2,027,184,843.05</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90.05</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118,000,000.00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5.24</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25,000,157.50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1.11</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2,416,988.60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0.11</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1,706.54</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72,472,281.32</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3.22</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6,020,219.18</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0.27</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D6F9D">
        <w:tc>
          <w:tcPr>
            <w:tcW w:w="89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D6F9D">
        <w:tc>
          <w:tcPr>
            <w:tcW w:w="891" w:type="dxa"/>
            <w:tcBorders>
              <w:top w:val="single" w:sz="8" w:space="0" w:color="000000"/>
              <w:left w:val="single" w:sz="8" w:space="0" w:color="000000"/>
              <w:bottom w:val="single" w:sz="8"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9D6F9D">
        <w:tc>
          <w:tcPr>
            <w:tcW w:w="891" w:type="dxa"/>
            <w:tcBorders>
              <w:top w:val="single" w:sz="8" w:space="0" w:color="000000"/>
              <w:left w:val="single" w:sz="8" w:space="0" w:color="000000"/>
              <w:bottom w:val="single" w:sz="8" w:space="0" w:color="000000"/>
              <w:right w:val="single" w:sz="8" w:space="0" w:color="000000"/>
            </w:tcBorders>
            <w:vAlign w:val="center"/>
          </w:tcPr>
          <w:p w:rsidR="009D6F9D" w:rsidRDefault="009A7AE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9D6F9D" w:rsidRDefault="009A7AE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2,251,096,196.19</w:t>
            </w:r>
          </w:p>
        </w:tc>
        <w:tc>
          <w:tcPr>
            <w:tcW w:w="2395" w:type="dxa"/>
            <w:tcBorders>
              <w:top w:val="single" w:sz="8" w:space="0" w:color="000000"/>
              <w:left w:val="single" w:sz="8" w:space="0" w:color="000000"/>
              <w:bottom w:val="single" w:sz="8" w:space="0" w:color="000000"/>
              <w:right w:val="single" w:sz="8" w:space="0" w:color="000000"/>
            </w:tcBorders>
            <w:vAlign w:val="center"/>
          </w:tcPr>
          <w:p w:rsidR="009D6F9D" w:rsidRDefault="009A7AE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9D6F9D" w:rsidRDefault="009D6F9D">
      <w:pPr>
        <w:widowControl/>
        <w:jc w:val="left"/>
        <w:rPr>
          <w:rFonts w:ascii="宋体" w:hAnsi="宋体" w:cs="宋体"/>
          <w:color w:val="000000"/>
          <w:kern w:val="0"/>
          <w:sz w:val="24"/>
          <w:szCs w:val="24"/>
        </w:rPr>
      </w:pPr>
    </w:p>
    <w:p w:rsidR="009D6F9D" w:rsidRDefault="009A7AEA">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9D6F9D">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9D6F9D" w:rsidRDefault="009A7AEA">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9D6F9D" w:rsidRDefault="009A7AEA">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9D6F9D" w:rsidRDefault="009A7AEA">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9D6F9D" w:rsidRDefault="009A7AEA">
            <w:pPr>
              <w:pStyle w:val="biaogecenter"/>
              <w:wordWrap w:val="0"/>
              <w:rPr>
                <w:color w:val="000000"/>
              </w:rPr>
            </w:pPr>
            <w:r>
              <w:rPr>
                <w:rFonts w:hint="eastAsia"/>
                <w:color w:val="000000"/>
              </w:rPr>
              <w:t>占产品资产净值比例（％）</w:t>
            </w:r>
          </w:p>
        </w:tc>
      </w:tr>
      <w:tr w:rsidR="009D6F9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140203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14</w:t>
            </w:r>
            <w:r>
              <w:rPr>
                <w:rFonts w:ascii="宋体" w:hAnsi="宋体" w:cs="宋体" w:hint="eastAsia"/>
                <w:color w:val="000000"/>
                <w:kern w:val="0"/>
                <w:sz w:val="24"/>
                <w:szCs w:val="24"/>
              </w:rPr>
              <w:t>国开</w:t>
            </w:r>
            <w:r>
              <w:rPr>
                <w:rFonts w:ascii="宋体" w:hAnsi="宋体" w:cs="宋体" w:hint="eastAsia"/>
                <w:color w:val="000000"/>
                <w:kern w:val="0"/>
                <w:sz w:val="24"/>
                <w:szCs w:val="24"/>
              </w:rPr>
              <w:t>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100,162,399.75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4.86%</w:t>
            </w:r>
          </w:p>
        </w:tc>
      </w:tr>
      <w:tr w:rsidR="009D6F9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166547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绵控</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100,000,283.51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4.85%</w:t>
            </w:r>
          </w:p>
        </w:tc>
      </w:tr>
      <w:tr w:rsidR="009D6F9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101800280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武进经发</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90,486,481.52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4.39%</w:t>
            </w:r>
          </w:p>
        </w:tc>
      </w:tr>
      <w:tr w:rsidR="009D6F9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wordWrap w:val="0"/>
            </w:pPr>
            <w:r>
              <w:rPr>
                <w:rFonts w:hint="eastAsia"/>
                <w:color w:val="000000"/>
              </w:rPr>
              <w:lastRenderedPageBreak/>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18088029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南通城建</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88,000,000.00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4.27%</w:t>
            </w:r>
          </w:p>
        </w:tc>
      </w:tr>
      <w:tr w:rsidR="009D6F9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031900018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滨江投资</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70,156,099.05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3.40%</w:t>
            </w:r>
          </w:p>
        </w:tc>
      </w:tr>
      <w:tr w:rsidR="009D6F9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031800182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六合交通</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70,151,291.91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3.40%</w:t>
            </w:r>
          </w:p>
        </w:tc>
      </w:tr>
      <w:tr w:rsidR="009D6F9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031800170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溧水经开</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70,124,459.42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3.40%</w:t>
            </w:r>
          </w:p>
        </w:tc>
      </w:tr>
      <w:tr w:rsidR="009D6F9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031662005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新田投资</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69,925,000.70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3.39%</w:t>
            </w:r>
          </w:p>
        </w:tc>
      </w:tr>
      <w:tr w:rsidR="009D6F9D">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012001189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滨海新城</w:t>
            </w:r>
            <w:r>
              <w:rPr>
                <w:rFonts w:ascii="宋体" w:hAnsi="宋体" w:cs="宋体" w:hint="eastAsia"/>
                <w:color w:val="000000"/>
                <w:kern w:val="0"/>
                <w:sz w:val="24"/>
                <w:szCs w:val="24"/>
              </w:rPr>
              <w:t>SCP001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60,000,001.16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2.91%</w:t>
            </w:r>
          </w:p>
        </w:tc>
      </w:tr>
      <w:tr w:rsidR="009D6F9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9D6F9D" w:rsidRDefault="009A7AEA">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101900449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left"/>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钟楼经开</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59,901,178.76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9D6F9D" w:rsidRDefault="009A7AEA">
            <w:pPr>
              <w:jc w:val="right"/>
              <w:rPr>
                <w:rFonts w:ascii="宋体" w:hAnsi="宋体" w:cs="宋体"/>
                <w:color w:val="000000"/>
                <w:kern w:val="0"/>
                <w:sz w:val="24"/>
                <w:szCs w:val="24"/>
              </w:rPr>
            </w:pPr>
            <w:r>
              <w:rPr>
                <w:rFonts w:ascii="宋体" w:hAnsi="宋体" w:cs="宋体" w:hint="eastAsia"/>
                <w:color w:val="000000"/>
                <w:kern w:val="0"/>
                <w:sz w:val="24"/>
                <w:szCs w:val="24"/>
              </w:rPr>
              <w:t>2.91%</w:t>
            </w:r>
          </w:p>
        </w:tc>
      </w:tr>
    </w:tbl>
    <w:p w:rsidR="009D6F9D" w:rsidRDefault="009D6F9D">
      <w:pPr>
        <w:widowControl/>
        <w:jc w:val="left"/>
        <w:rPr>
          <w:rFonts w:ascii="宋体" w:hAnsi="宋体" w:cs="宋体"/>
          <w:b/>
          <w:sz w:val="24"/>
          <w:szCs w:val="24"/>
          <w:shd w:val="clear" w:color="auto" w:fill="FFFFFF"/>
        </w:rPr>
      </w:pPr>
    </w:p>
    <w:p w:rsidR="009D6F9D" w:rsidRDefault="009A7AEA">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9D6F9D" w:rsidRDefault="009D6F9D">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9D6F9D">
        <w:tc>
          <w:tcPr>
            <w:tcW w:w="709"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风险状况</w:t>
            </w:r>
          </w:p>
        </w:tc>
      </w:tr>
      <w:tr w:rsidR="009D6F9D">
        <w:tc>
          <w:tcPr>
            <w:tcW w:w="70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常熟市交通公有资产经营有限公司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18</w:t>
            </w:r>
            <w:r>
              <w:rPr>
                <w:rFonts w:hint="eastAsia"/>
                <w:shd w:val="clear" w:color="auto" w:fill="FFFFFF"/>
              </w:rPr>
              <w:t>常熟交产</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88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w:t>
            </w:r>
          </w:p>
        </w:tc>
      </w:tr>
      <w:tr w:rsidR="009D6F9D">
        <w:tc>
          <w:tcPr>
            <w:tcW w:w="709"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南通城市建</w:t>
            </w:r>
            <w:bookmarkStart w:id="6" w:name="_GoBack"/>
            <w:bookmarkEnd w:id="6"/>
            <w:r>
              <w:rPr>
                <w:rFonts w:hint="eastAsia"/>
                <w:shd w:val="clear" w:color="auto" w:fill="FFFFFF"/>
              </w:rPr>
              <w:t>设集团有限公司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18</w:t>
            </w:r>
            <w:r>
              <w:rPr>
                <w:rFonts w:hint="eastAsia"/>
                <w:shd w:val="clear" w:color="auto" w:fill="FFFFFF"/>
              </w:rPr>
              <w:t>南通城建</w:t>
            </w:r>
            <w:r>
              <w:rPr>
                <w:rFonts w:hint="eastAsia"/>
                <w:shd w:val="clear" w:color="auto" w:fill="FFFFFF"/>
              </w:rPr>
              <w:t>02</w:t>
            </w:r>
          </w:p>
        </w:tc>
        <w:tc>
          <w:tcPr>
            <w:tcW w:w="1417"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81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9D6F9D" w:rsidRDefault="009A7AEA">
            <w:pPr>
              <w:pStyle w:val="biaogecenter"/>
              <w:wordWrap w:val="0"/>
              <w:rPr>
                <w:shd w:val="clear" w:color="auto" w:fill="FFFFFF"/>
              </w:rPr>
            </w:pPr>
            <w:r>
              <w:rPr>
                <w:rFonts w:hint="eastAsia"/>
                <w:shd w:val="clear" w:color="auto" w:fill="FFFFFF"/>
              </w:rPr>
              <w:t>-</w:t>
            </w:r>
          </w:p>
        </w:tc>
      </w:tr>
    </w:tbl>
    <w:p w:rsidR="009D6F9D" w:rsidRDefault="009D6F9D">
      <w:pPr>
        <w:widowControl/>
        <w:jc w:val="left"/>
        <w:rPr>
          <w:rFonts w:ascii="宋体" w:hAnsi="宋体" w:cs="宋体"/>
          <w:color w:val="000000"/>
          <w:kern w:val="0"/>
          <w:sz w:val="24"/>
          <w:szCs w:val="24"/>
        </w:rPr>
      </w:pPr>
    </w:p>
    <w:p w:rsidR="009D6F9D" w:rsidRDefault="009D6F9D">
      <w:pPr>
        <w:widowControl/>
        <w:jc w:val="left"/>
        <w:rPr>
          <w:rFonts w:ascii="宋体" w:hAnsi="宋体" w:cs="宋体"/>
          <w:color w:val="000000"/>
          <w:kern w:val="0"/>
          <w:sz w:val="24"/>
          <w:szCs w:val="24"/>
        </w:rPr>
      </w:pPr>
    </w:p>
    <w:p w:rsidR="009D6F9D" w:rsidRDefault="009A7AEA">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9D6F9D" w:rsidRDefault="009A7AE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9D6F9D" w:rsidRDefault="009A7AE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31332567.33</w:t>
      </w:r>
      <w:r>
        <w:rPr>
          <w:rFonts w:ascii="宋体" w:hAnsi="宋体" w:cs="宋体" w:hint="eastAsia"/>
          <w:color w:val="000000"/>
          <w:kern w:val="0"/>
          <w:sz w:val="24"/>
          <w:szCs w:val="24"/>
        </w:rPr>
        <w:t>元。</w:t>
      </w:r>
    </w:p>
    <w:p w:rsidR="009D6F9D" w:rsidRDefault="009D6F9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9D6F9D" w:rsidRDefault="009D6F9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9D6F9D" w:rsidRDefault="009D6F9D">
      <w:pPr>
        <w:widowControl/>
        <w:jc w:val="left"/>
        <w:rPr>
          <w:rFonts w:ascii="宋体" w:hAnsi="宋体" w:cs="宋体"/>
          <w:color w:val="000000"/>
          <w:kern w:val="0"/>
          <w:sz w:val="24"/>
          <w:szCs w:val="24"/>
        </w:rPr>
      </w:pPr>
    </w:p>
    <w:p w:rsidR="009D6F9D" w:rsidRDefault="009D6F9D">
      <w:pPr>
        <w:widowControl/>
        <w:jc w:val="left"/>
        <w:rPr>
          <w:rFonts w:ascii="宋体" w:hAnsi="宋体" w:cs="宋体"/>
          <w:color w:val="000000"/>
          <w:kern w:val="0"/>
          <w:sz w:val="24"/>
          <w:szCs w:val="24"/>
        </w:rPr>
      </w:pPr>
    </w:p>
    <w:p w:rsidR="009D6F9D" w:rsidRDefault="009D6F9D">
      <w:pPr>
        <w:widowControl/>
        <w:jc w:val="left"/>
        <w:rPr>
          <w:rFonts w:ascii="宋体" w:hAnsi="宋体" w:cs="宋体"/>
          <w:color w:val="000000"/>
          <w:kern w:val="0"/>
          <w:sz w:val="24"/>
          <w:szCs w:val="24"/>
        </w:rPr>
      </w:pPr>
    </w:p>
    <w:p w:rsidR="009D6F9D" w:rsidRDefault="009D6F9D">
      <w:pPr>
        <w:widowControl/>
        <w:jc w:val="left"/>
        <w:rPr>
          <w:color w:val="000000"/>
        </w:rPr>
      </w:pPr>
    </w:p>
    <w:p w:rsidR="009D6F9D" w:rsidRDefault="009A7AEA">
      <w:pPr>
        <w:pStyle w:val="biaogeright"/>
        <w:rPr>
          <w:b/>
        </w:rPr>
      </w:pPr>
      <w:r>
        <w:rPr>
          <w:rFonts w:hint="eastAsia"/>
          <w:b/>
        </w:rPr>
        <w:lastRenderedPageBreak/>
        <w:t>南京银行股份有限公司</w:t>
      </w:r>
    </w:p>
    <w:p w:rsidR="009D6F9D" w:rsidRDefault="009A7AEA">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9D6F9D" w:rsidRDefault="009D6F9D">
      <w:pPr>
        <w:pStyle w:val="biaogeright"/>
        <w:rPr>
          <w:color w:val="000000"/>
        </w:rPr>
      </w:pPr>
    </w:p>
    <w:sectPr w:rsidR="009D6F9D" w:rsidSect="009D6F9D">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AEA" w:rsidRDefault="009A7AEA" w:rsidP="009D6F9D">
      <w:r>
        <w:separator/>
      </w:r>
    </w:p>
  </w:endnote>
  <w:endnote w:type="continuationSeparator" w:id="1">
    <w:p w:rsidR="009A7AEA" w:rsidRDefault="009A7AEA" w:rsidP="009D6F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F9D" w:rsidRDefault="009D6F9D">
    <w:pPr>
      <w:pStyle w:val="a5"/>
      <w:framePr w:wrap="around" w:vAnchor="text" w:hAnchor="margin" w:xAlign="center" w:y="1"/>
      <w:rPr>
        <w:rStyle w:val="aa"/>
      </w:rPr>
    </w:pPr>
    <w:r>
      <w:fldChar w:fldCharType="begin"/>
    </w:r>
    <w:r w:rsidR="009A7AEA">
      <w:rPr>
        <w:rStyle w:val="aa"/>
      </w:rPr>
      <w:instrText xml:space="preserve">PAGE  </w:instrText>
    </w:r>
    <w:r>
      <w:fldChar w:fldCharType="end"/>
    </w:r>
  </w:p>
  <w:p w:rsidR="009D6F9D" w:rsidRDefault="009D6F9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F9D" w:rsidRDefault="009D6F9D">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860" w:rsidRDefault="008F686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F9D" w:rsidRDefault="009D6F9D">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F9D" w:rsidRDefault="009D6F9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AEA" w:rsidRDefault="009A7AEA" w:rsidP="009D6F9D">
      <w:r>
        <w:separator/>
      </w:r>
    </w:p>
  </w:footnote>
  <w:footnote w:type="continuationSeparator" w:id="1">
    <w:p w:rsidR="009A7AEA" w:rsidRDefault="009A7AEA" w:rsidP="009D6F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860" w:rsidRDefault="008F686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860" w:rsidRDefault="008F686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860" w:rsidRDefault="008F6860">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0C8A"/>
    <w:rsid w:val="00044BFF"/>
    <w:rsid w:val="0004635B"/>
    <w:rsid w:val="0005474A"/>
    <w:rsid w:val="00061725"/>
    <w:rsid w:val="00072777"/>
    <w:rsid w:val="000A3711"/>
    <w:rsid w:val="000D5066"/>
    <w:rsid w:val="000F6191"/>
    <w:rsid w:val="00130CE8"/>
    <w:rsid w:val="001318E8"/>
    <w:rsid w:val="00152201"/>
    <w:rsid w:val="00172A27"/>
    <w:rsid w:val="00176636"/>
    <w:rsid w:val="00183C84"/>
    <w:rsid w:val="001C05F9"/>
    <w:rsid w:val="001C5395"/>
    <w:rsid w:val="001D385F"/>
    <w:rsid w:val="001F038E"/>
    <w:rsid w:val="00211F26"/>
    <w:rsid w:val="002127A1"/>
    <w:rsid w:val="002263FC"/>
    <w:rsid w:val="002A3AE9"/>
    <w:rsid w:val="002A6E81"/>
    <w:rsid w:val="002C196E"/>
    <w:rsid w:val="002D296F"/>
    <w:rsid w:val="002D75D0"/>
    <w:rsid w:val="002E00E8"/>
    <w:rsid w:val="002E795C"/>
    <w:rsid w:val="00305714"/>
    <w:rsid w:val="00313E71"/>
    <w:rsid w:val="00321CB7"/>
    <w:rsid w:val="003379A9"/>
    <w:rsid w:val="00350ADF"/>
    <w:rsid w:val="00355623"/>
    <w:rsid w:val="003A0419"/>
    <w:rsid w:val="003A22E0"/>
    <w:rsid w:val="003C4D3B"/>
    <w:rsid w:val="003E09EA"/>
    <w:rsid w:val="003F0AC3"/>
    <w:rsid w:val="00456251"/>
    <w:rsid w:val="004C1607"/>
    <w:rsid w:val="004C1BE1"/>
    <w:rsid w:val="005069D8"/>
    <w:rsid w:val="00541BA5"/>
    <w:rsid w:val="0056162E"/>
    <w:rsid w:val="00563B93"/>
    <w:rsid w:val="00567DB3"/>
    <w:rsid w:val="00573F59"/>
    <w:rsid w:val="00575BEA"/>
    <w:rsid w:val="005B3434"/>
    <w:rsid w:val="005E2884"/>
    <w:rsid w:val="005E5050"/>
    <w:rsid w:val="005F2A08"/>
    <w:rsid w:val="005F2C7B"/>
    <w:rsid w:val="005F4D04"/>
    <w:rsid w:val="005F7DA9"/>
    <w:rsid w:val="006054F8"/>
    <w:rsid w:val="00632FE4"/>
    <w:rsid w:val="0065419A"/>
    <w:rsid w:val="00654220"/>
    <w:rsid w:val="00663B94"/>
    <w:rsid w:val="0067275E"/>
    <w:rsid w:val="00677F66"/>
    <w:rsid w:val="006C7F31"/>
    <w:rsid w:val="006E4E94"/>
    <w:rsid w:val="007240E9"/>
    <w:rsid w:val="00725906"/>
    <w:rsid w:val="00730BEE"/>
    <w:rsid w:val="0073101E"/>
    <w:rsid w:val="00735153"/>
    <w:rsid w:val="00745421"/>
    <w:rsid w:val="007A4219"/>
    <w:rsid w:val="007A6996"/>
    <w:rsid w:val="007B29AB"/>
    <w:rsid w:val="007B5CA8"/>
    <w:rsid w:val="0080200C"/>
    <w:rsid w:val="00814110"/>
    <w:rsid w:val="0082561A"/>
    <w:rsid w:val="00846B2E"/>
    <w:rsid w:val="00853290"/>
    <w:rsid w:val="0085663C"/>
    <w:rsid w:val="008768AB"/>
    <w:rsid w:val="008926F7"/>
    <w:rsid w:val="008A7510"/>
    <w:rsid w:val="008C78BD"/>
    <w:rsid w:val="008F0FA3"/>
    <w:rsid w:val="008F45C8"/>
    <w:rsid w:val="008F6860"/>
    <w:rsid w:val="00900D90"/>
    <w:rsid w:val="00902FA7"/>
    <w:rsid w:val="009354D6"/>
    <w:rsid w:val="00970A98"/>
    <w:rsid w:val="00985976"/>
    <w:rsid w:val="009A7AEA"/>
    <w:rsid w:val="009B6C0A"/>
    <w:rsid w:val="009C781F"/>
    <w:rsid w:val="009D5296"/>
    <w:rsid w:val="009D6F9D"/>
    <w:rsid w:val="009E6170"/>
    <w:rsid w:val="00A02DDD"/>
    <w:rsid w:val="00A37451"/>
    <w:rsid w:val="00A4484F"/>
    <w:rsid w:val="00A54118"/>
    <w:rsid w:val="00A76D4B"/>
    <w:rsid w:val="00A77C47"/>
    <w:rsid w:val="00A9119C"/>
    <w:rsid w:val="00AA4549"/>
    <w:rsid w:val="00AC5144"/>
    <w:rsid w:val="00B13014"/>
    <w:rsid w:val="00B17559"/>
    <w:rsid w:val="00B33B19"/>
    <w:rsid w:val="00B404E6"/>
    <w:rsid w:val="00B4360D"/>
    <w:rsid w:val="00B61EA9"/>
    <w:rsid w:val="00B670D1"/>
    <w:rsid w:val="00B74DCA"/>
    <w:rsid w:val="00BC02E0"/>
    <w:rsid w:val="00BC3903"/>
    <w:rsid w:val="00BE47E0"/>
    <w:rsid w:val="00BF75C8"/>
    <w:rsid w:val="00C1762E"/>
    <w:rsid w:val="00C22DF9"/>
    <w:rsid w:val="00C25123"/>
    <w:rsid w:val="00C30A48"/>
    <w:rsid w:val="00C375A7"/>
    <w:rsid w:val="00C54F81"/>
    <w:rsid w:val="00C62DF8"/>
    <w:rsid w:val="00C640FB"/>
    <w:rsid w:val="00C65E16"/>
    <w:rsid w:val="00CB054E"/>
    <w:rsid w:val="00CC52D7"/>
    <w:rsid w:val="00D23AB6"/>
    <w:rsid w:val="00D269A6"/>
    <w:rsid w:val="00D42895"/>
    <w:rsid w:val="00D50309"/>
    <w:rsid w:val="00D5178F"/>
    <w:rsid w:val="00D51AA9"/>
    <w:rsid w:val="00D7264A"/>
    <w:rsid w:val="00D84E43"/>
    <w:rsid w:val="00D870DF"/>
    <w:rsid w:val="00DB0C2F"/>
    <w:rsid w:val="00DB3BF6"/>
    <w:rsid w:val="00DC31CC"/>
    <w:rsid w:val="00DC728A"/>
    <w:rsid w:val="00DD2F3C"/>
    <w:rsid w:val="00DF0BD5"/>
    <w:rsid w:val="00E00D88"/>
    <w:rsid w:val="00E1059D"/>
    <w:rsid w:val="00E155DF"/>
    <w:rsid w:val="00E2225B"/>
    <w:rsid w:val="00E246E1"/>
    <w:rsid w:val="00E3470D"/>
    <w:rsid w:val="00E4293E"/>
    <w:rsid w:val="00E560F1"/>
    <w:rsid w:val="00E776BA"/>
    <w:rsid w:val="00E944FA"/>
    <w:rsid w:val="00E9797A"/>
    <w:rsid w:val="00EA6118"/>
    <w:rsid w:val="00EA7ABC"/>
    <w:rsid w:val="00EB2746"/>
    <w:rsid w:val="00EE0436"/>
    <w:rsid w:val="00F1465C"/>
    <w:rsid w:val="00F41324"/>
    <w:rsid w:val="00F57C12"/>
    <w:rsid w:val="00F609FD"/>
    <w:rsid w:val="00F859AB"/>
    <w:rsid w:val="00F950D0"/>
    <w:rsid w:val="00FA2C26"/>
    <w:rsid w:val="00FC3148"/>
    <w:rsid w:val="00FF642F"/>
    <w:rsid w:val="03045A29"/>
    <w:rsid w:val="030F2BA7"/>
    <w:rsid w:val="04207B2C"/>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8A3A2A"/>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F9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D6F9D"/>
    <w:pPr>
      <w:jc w:val="left"/>
    </w:pPr>
  </w:style>
  <w:style w:type="paragraph" w:styleId="a4">
    <w:name w:val="Balloon Text"/>
    <w:basedOn w:val="a"/>
    <w:link w:val="Char0"/>
    <w:uiPriority w:val="99"/>
    <w:unhideWhenUsed/>
    <w:qFormat/>
    <w:rsid w:val="009D6F9D"/>
    <w:rPr>
      <w:sz w:val="18"/>
      <w:szCs w:val="18"/>
    </w:rPr>
  </w:style>
  <w:style w:type="paragraph" w:styleId="a5">
    <w:name w:val="footer"/>
    <w:basedOn w:val="a"/>
    <w:link w:val="Char1"/>
    <w:uiPriority w:val="99"/>
    <w:unhideWhenUsed/>
    <w:qFormat/>
    <w:rsid w:val="009D6F9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9D6F9D"/>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9D6F9D"/>
    <w:pPr>
      <w:snapToGrid w:val="0"/>
      <w:jc w:val="left"/>
    </w:pPr>
    <w:rPr>
      <w:sz w:val="18"/>
    </w:rPr>
  </w:style>
  <w:style w:type="paragraph" w:styleId="a8">
    <w:name w:val="Normal (Web)"/>
    <w:basedOn w:val="a"/>
    <w:qFormat/>
    <w:rsid w:val="009D6F9D"/>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9D6F9D"/>
    <w:rPr>
      <w:b/>
      <w:bCs/>
    </w:rPr>
  </w:style>
  <w:style w:type="character" w:styleId="aa">
    <w:name w:val="page number"/>
    <w:basedOn w:val="a0"/>
    <w:uiPriority w:val="99"/>
    <w:unhideWhenUsed/>
    <w:qFormat/>
    <w:rsid w:val="009D6F9D"/>
  </w:style>
  <w:style w:type="character" w:styleId="ab">
    <w:name w:val="annotation reference"/>
    <w:uiPriority w:val="99"/>
    <w:unhideWhenUsed/>
    <w:qFormat/>
    <w:rsid w:val="009D6F9D"/>
    <w:rPr>
      <w:sz w:val="21"/>
      <w:szCs w:val="21"/>
    </w:rPr>
  </w:style>
  <w:style w:type="character" w:styleId="ac">
    <w:name w:val="footnote reference"/>
    <w:uiPriority w:val="99"/>
    <w:unhideWhenUsed/>
    <w:qFormat/>
    <w:rsid w:val="009D6F9D"/>
    <w:rPr>
      <w:vertAlign w:val="superscript"/>
    </w:rPr>
  </w:style>
  <w:style w:type="character" w:customStyle="1" w:styleId="Char0">
    <w:name w:val="批注框文本 Char"/>
    <w:link w:val="a4"/>
    <w:uiPriority w:val="99"/>
    <w:semiHidden/>
    <w:qFormat/>
    <w:rsid w:val="009D6F9D"/>
    <w:rPr>
      <w:kern w:val="2"/>
      <w:sz w:val="18"/>
      <w:szCs w:val="18"/>
    </w:rPr>
  </w:style>
  <w:style w:type="character" w:customStyle="1" w:styleId="Char2">
    <w:name w:val="页眉 Char"/>
    <w:link w:val="a6"/>
    <w:uiPriority w:val="99"/>
    <w:semiHidden/>
    <w:qFormat/>
    <w:locked/>
    <w:rsid w:val="009D6F9D"/>
    <w:rPr>
      <w:rFonts w:ascii="Times New Roman" w:hAnsi="Times New Roman" w:cs="Times New Roman" w:hint="default"/>
      <w:sz w:val="18"/>
      <w:szCs w:val="18"/>
    </w:rPr>
  </w:style>
  <w:style w:type="character" w:customStyle="1" w:styleId="Char3">
    <w:name w:val="批注主题 Char"/>
    <w:link w:val="a9"/>
    <w:uiPriority w:val="99"/>
    <w:semiHidden/>
    <w:qFormat/>
    <w:rsid w:val="009D6F9D"/>
    <w:rPr>
      <w:b/>
      <w:bCs/>
      <w:kern w:val="2"/>
      <w:sz w:val="21"/>
      <w:szCs w:val="22"/>
    </w:rPr>
  </w:style>
  <w:style w:type="character" w:customStyle="1" w:styleId="Char1">
    <w:name w:val="页脚 Char"/>
    <w:link w:val="a5"/>
    <w:uiPriority w:val="99"/>
    <w:semiHidden/>
    <w:qFormat/>
    <w:locked/>
    <w:rsid w:val="009D6F9D"/>
    <w:rPr>
      <w:rFonts w:ascii="Times New Roman" w:hAnsi="Times New Roman" w:cs="Times New Roman" w:hint="default"/>
      <w:sz w:val="18"/>
      <w:szCs w:val="18"/>
    </w:rPr>
  </w:style>
  <w:style w:type="character" w:customStyle="1" w:styleId="Char">
    <w:name w:val="批注文字 Char"/>
    <w:link w:val="a3"/>
    <w:uiPriority w:val="99"/>
    <w:qFormat/>
    <w:rsid w:val="009D6F9D"/>
    <w:rPr>
      <w:kern w:val="2"/>
      <w:sz w:val="21"/>
      <w:szCs w:val="22"/>
    </w:rPr>
  </w:style>
  <w:style w:type="paragraph" w:customStyle="1" w:styleId="zhongyaotishi">
    <w:name w:val="zhongyaotishi"/>
    <w:basedOn w:val="a"/>
    <w:qFormat/>
    <w:rsid w:val="009D6F9D"/>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9D6F9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9D6F9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D6F9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9D6F9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9D6F9D"/>
    <w:pPr>
      <w:widowControl w:val="0"/>
      <w:jc w:val="center"/>
    </w:pPr>
    <w:rPr>
      <w:kern w:val="2"/>
      <w:sz w:val="33"/>
      <w:szCs w:val="22"/>
    </w:rPr>
  </w:style>
  <w:style w:type="paragraph" w:customStyle="1" w:styleId="biaogeleft">
    <w:name w:val="biaoge_left"/>
    <w:basedOn w:val="a"/>
    <w:qFormat/>
    <w:rsid w:val="009D6F9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9D6F9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9D6F9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9D6F9D"/>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D6F9D"/>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9D6F9D"/>
    <w:pPr>
      <w:widowControl w:val="0"/>
    </w:pPr>
    <w:rPr>
      <w:kern w:val="2"/>
      <w:sz w:val="21"/>
      <w:szCs w:val="22"/>
    </w:rPr>
  </w:style>
  <w:style w:type="paragraph" w:customStyle="1" w:styleId="neirong">
    <w:name w:val="neirong"/>
    <w:basedOn w:val="a"/>
    <w:qFormat/>
    <w:rsid w:val="009D6F9D"/>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11</Pages>
  <Words>927</Words>
  <Characters>5289</Characters>
  <Application>Microsoft Office Word</Application>
  <DocSecurity>0</DocSecurity>
  <Lines>44</Lines>
  <Paragraphs>12</Paragraphs>
  <ScaleCrop>false</ScaleCrop>
  <Company>微软中国</Company>
  <LinksUpToDate>false</LinksUpToDate>
  <CharactersWithSpaces>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33</cp:revision>
  <cp:lastPrinted>2019-09-11T00:56:00Z</cp:lastPrinted>
  <dcterms:created xsi:type="dcterms:W3CDTF">2020-12-16T03:30:00Z</dcterms:created>
  <dcterms:modified xsi:type="dcterms:W3CDTF">2021-03-30T02:17:00Z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2DBF643D531449CB81E9C848764C9137</vt:lpwstr>
  </property>
</Properties>
</file>