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8F5" w:rsidRDefault="003358F5">
      <w:pPr>
        <w:pStyle w:val="dazhangjie"/>
        <w:rPr>
          <w:b/>
          <w:bCs/>
          <w:color w:val="000000"/>
        </w:rPr>
      </w:pPr>
    </w:p>
    <w:p w:rsidR="003358F5" w:rsidRDefault="003358F5">
      <w:pPr>
        <w:pStyle w:val="dazhangjie"/>
        <w:rPr>
          <w:b/>
          <w:bCs/>
          <w:color w:val="000000"/>
        </w:rPr>
      </w:pPr>
    </w:p>
    <w:p w:rsidR="003358F5" w:rsidRDefault="003358F5">
      <w:pPr>
        <w:pStyle w:val="dazhangjie"/>
        <w:rPr>
          <w:b/>
          <w:bCs/>
          <w:color w:val="000000"/>
        </w:rPr>
      </w:pPr>
    </w:p>
    <w:p w:rsidR="003358F5" w:rsidRDefault="000D3361">
      <w:pPr>
        <w:pStyle w:val="dazhangjie"/>
        <w:spacing w:before="240" w:after="120"/>
        <w:rPr>
          <w:rFonts w:ascii="黑体" w:eastAsia="黑体" w:hAnsi="黑体"/>
          <w:b/>
          <w:bCs/>
          <w:sz w:val="36"/>
        </w:rPr>
      </w:pPr>
      <w:r>
        <w:rPr>
          <w:rFonts w:ascii="黑体" w:eastAsia="黑体" w:hAnsi="黑体" w:hint="eastAsia"/>
          <w:b/>
          <w:bCs/>
          <w:sz w:val="36"/>
        </w:rPr>
        <w:t>珠联璧合行稳一年定开</w:t>
      </w:r>
      <w:r>
        <w:rPr>
          <w:rFonts w:ascii="黑体" w:eastAsia="黑体" w:hAnsi="黑体" w:hint="eastAsia"/>
          <w:b/>
          <w:bCs/>
          <w:sz w:val="36"/>
        </w:rPr>
        <w:t>1M</w:t>
      </w:r>
      <w:r>
        <w:rPr>
          <w:rFonts w:ascii="黑体" w:eastAsia="黑体" w:hAnsi="黑体" w:hint="eastAsia"/>
          <w:b/>
          <w:bCs/>
          <w:sz w:val="36"/>
        </w:rPr>
        <w:t>净值型人民币理财产品</w:t>
      </w:r>
    </w:p>
    <w:p w:rsidR="003358F5" w:rsidRDefault="000D3361">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rPr>
          <w:rFonts w:ascii="黑体" w:eastAsia="黑体" w:hAnsi="黑体"/>
          <w:b/>
          <w:bCs/>
          <w:color w:val="000000"/>
          <w:sz w:val="36"/>
        </w:rPr>
      </w:pPr>
    </w:p>
    <w:p w:rsidR="003358F5" w:rsidRDefault="003358F5">
      <w:pPr>
        <w:pStyle w:val="dazhangjie"/>
        <w:spacing w:before="240" w:after="120"/>
        <w:ind w:left="0"/>
        <w:jc w:val="both"/>
        <w:rPr>
          <w:rFonts w:ascii="黑体" w:eastAsia="黑体" w:hAnsi="黑体"/>
          <w:b/>
          <w:bCs/>
          <w:color w:val="000000"/>
          <w:sz w:val="36"/>
        </w:rPr>
      </w:pPr>
    </w:p>
    <w:p w:rsidR="003358F5" w:rsidRDefault="000D3361">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t>南京银行股份有限公司</w:t>
      </w:r>
    </w:p>
    <w:p w:rsidR="003358F5" w:rsidRDefault="000D3361">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3358F5" w:rsidRDefault="003358F5">
      <w:pPr>
        <w:widowControl/>
        <w:jc w:val="left"/>
        <w:rPr>
          <w:rFonts w:ascii="宋体" w:hAnsi="宋体" w:cs="宋体"/>
          <w:color w:val="000000"/>
          <w:kern w:val="0"/>
          <w:sz w:val="24"/>
          <w:szCs w:val="24"/>
        </w:rPr>
        <w:sectPr w:rsidR="003358F5">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3358F5" w:rsidRDefault="003358F5">
      <w:pPr>
        <w:widowControl/>
        <w:jc w:val="left"/>
        <w:rPr>
          <w:rFonts w:ascii="宋体" w:hAnsi="宋体" w:cs="宋体"/>
          <w:color w:val="000000"/>
          <w:kern w:val="0"/>
          <w:sz w:val="24"/>
          <w:szCs w:val="24"/>
        </w:rPr>
      </w:pPr>
    </w:p>
    <w:p w:rsidR="003358F5" w:rsidRDefault="000D3361">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3358F5" w:rsidRDefault="003358F5">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rPr>
              <w:t>珠联璧合行稳一年定开</w:t>
            </w:r>
            <w:r>
              <w:rPr>
                <w:rFonts w:hint="eastAsia"/>
              </w:rPr>
              <w:t>1M</w:t>
            </w:r>
            <w:r>
              <w:rPr>
                <w:rFonts w:hint="eastAsia"/>
              </w:rPr>
              <w:t>净值型人民币理财产品</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pPr>
            <w:r>
              <w:t>C1086919000001</w:t>
            </w:r>
            <w:r>
              <w:rPr>
                <w:rFonts w:hint="eastAsia"/>
              </w:rPr>
              <w:t>（投资者可依据该编码在中国理财网</w:t>
            </w:r>
            <w:r>
              <w:rPr>
                <w:rFonts w:hint="eastAsia"/>
              </w:rPr>
              <w:t>www.chinawealth.com.cn</w:t>
            </w:r>
            <w:r>
              <w:rPr>
                <w:rFonts w:hint="eastAsia"/>
              </w:rPr>
              <w:t>查询理财产品相关信息）</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rPr>
              <w:t>开放式</w:t>
            </w:r>
            <w:r>
              <w:rPr>
                <w:rFonts w:hint="eastAsia"/>
              </w:rPr>
              <w:t>净值型</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5A2978">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rPr>
              <w:t>2019</w:t>
            </w:r>
            <w:r>
              <w:rPr>
                <w:rFonts w:hint="eastAsia"/>
              </w:rPr>
              <w:t>年</w:t>
            </w:r>
            <w:r>
              <w:rPr>
                <w:rFonts w:hint="eastAsia"/>
              </w:rPr>
              <w:t>01</w:t>
            </w:r>
            <w:r>
              <w:rPr>
                <w:rFonts w:hint="eastAsia"/>
              </w:rPr>
              <w:t>月</w:t>
            </w:r>
            <w:r>
              <w:rPr>
                <w:rFonts w:hint="eastAsia"/>
              </w:rPr>
              <w:t>09</w:t>
            </w:r>
            <w:r>
              <w:rPr>
                <w:rFonts w:hint="eastAsia"/>
              </w:rPr>
              <w:t>日</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highlight w:val="yellow"/>
              </w:rPr>
            </w:pPr>
            <w:r>
              <w:rPr>
                <w:rFonts w:hint="eastAsia"/>
              </w:rPr>
              <w:t>3,514,106,880.00</w:t>
            </w:r>
            <w:r>
              <w:rPr>
                <w:rFonts w:hint="eastAsia"/>
              </w:rPr>
              <w:t>份</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104.11%</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t>南京银行股份有限公司</w:t>
            </w:r>
          </w:p>
        </w:tc>
      </w:tr>
      <w:tr w:rsidR="003358F5">
        <w:tc>
          <w:tcPr>
            <w:tcW w:w="281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left"/>
              <w:wordWrap w:val="0"/>
              <w:rPr>
                <w:color w:val="000000"/>
              </w:rPr>
            </w:pPr>
            <w:r>
              <w:rPr>
                <w:rFonts w:hint="eastAsia"/>
              </w:rPr>
              <w:t>南京银行股份有限公司</w:t>
            </w:r>
          </w:p>
        </w:tc>
      </w:tr>
    </w:tbl>
    <w:p w:rsidR="003358F5" w:rsidRDefault="003358F5">
      <w:pPr>
        <w:widowControl/>
        <w:jc w:val="left"/>
        <w:rPr>
          <w:rFonts w:ascii="宋体" w:hAnsi="宋体" w:cs="宋体"/>
          <w:color w:val="000000"/>
          <w:kern w:val="0"/>
          <w:sz w:val="24"/>
          <w:szCs w:val="24"/>
        </w:rPr>
      </w:pPr>
    </w:p>
    <w:p w:rsidR="003358F5" w:rsidRDefault="003358F5">
      <w:pPr>
        <w:pStyle w:val="dazhangjie"/>
        <w:rPr>
          <w:rFonts w:hAnsi="Calibri"/>
          <w:b/>
          <w:color w:val="000000"/>
        </w:rPr>
      </w:pPr>
    </w:p>
    <w:p w:rsidR="003358F5" w:rsidRDefault="000D3361">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3358F5" w:rsidRDefault="003358F5">
      <w:pPr>
        <w:widowControl/>
        <w:jc w:val="left"/>
        <w:rPr>
          <w:rFonts w:ascii="宋体" w:hAnsi="宋体" w:cs="宋体"/>
          <w:color w:val="000000"/>
          <w:kern w:val="0"/>
          <w:sz w:val="24"/>
          <w:szCs w:val="24"/>
        </w:rPr>
      </w:pPr>
    </w:p>
    <w:p w:rsidR="003358F5" w:rsidRDefault="000D3361">
      <w:pPr>
        <w:pStyle w:val="zhangjiep"/>
        <w:rPr>
          <w:color w:val="000000"/>
        </w:rPr>
      </w:pPr>
      <w:r>
        <w:rPr>
          <w:rFonts w:hint="eastAsia"/>
          <w:b/>
          <w:bCs/>
          <w:color w:val="000000"/>
        </w:rPr>
        <w:t xml:space="preserve">2.1 </w:t>
      </w:r>
      <w:r>
        <w:rPr>
          <w:rFonts w:hint="eastAsia"/>
          <w:b/>
          <w:bCs/>
          <w:color w:val="000000"/>
        </w:rPr>
        <w:t>主要财务指标</w:t>
      </w:r>
    </w:p>
    <w:p w:rsidR="003358F5" w:rsidRDefault="000D3361">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3358F5">
        <w:tc>
          <w:tcPr>
            <w:tcW w:w="5220"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3358F5">
        <w:tc>
          <w:tcPr>
            <w:tcW w:w="5220"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right"/>
              <w:jc w:val="center"/>
              <w:rPr>
                <w:color w:val="000000"/>
                <w:highlight w:val="yellow"/>
              </w:rPr>
            </w:pPr>
            <w:r>
              <w:rPr>
                <w:rFonts w:hint="eastAsia"/>
              </w:rPr>
              <w:t>3,687,327,811.82</w:t>
            </w:r>
          </w:p>
        </w:tc>
      </w:tr>
      <w:tr w:rsidR="003358F5">
        <w:tc>
          <w:tcPr>
            <w:tcW w:w="5220"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right"/>
              <w:jc w:val="center"/>
              <w:rPr>
                <w:color w:val="000000"/>
                <w:highlight w:val="yellow"/>
              </w:rPr>
            </w:pPr>
            <w:r>
              <w:rPr>
                <w:rFonts w:hint="eastAsia"/>
              </w:rPr>
              <w:t>1.0493</w:t>
            </w:r>
          </w:p>
        </w:tc>
      </w:tr>
      <w:tr w:rsidR="003358F5">
        <w:tc>
          <w:tcPr>
            <w:tcW w:w="5220"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right"/>
              <w:jc w:val="center"/>
              <w:rPr>
                <w:color w:val="000000"/>
                <w:highlight w:val="yellow"/>
              </w:rPr>
            </w:pPr>
            <w:r>
              <w:rPr>
                <w:color w:val="000000"/>
              </w:rPr>
              <w:t>1.1195</w:t>
            </w:r>
          </w:p>
        </w:tc>
      </w:tr>
      <w:tr w:rsidR="003358F5">
        <w:tc>
          <w:tcPr>
            <w:tcW w:w="5220" w:type="dxa"/>
            <w:vAlign w:val="center"/>
          </w:tcPr>
          <w:p w:rsidR="003358F5" w:rsidRDefault="003358F5">
            <w:pPr>
              <w:widowControl/>
              <w:jc w:val="left"/>
              <w:rPr>
                <w:rFonts w:ascii="宋体" w:hAnsi="宋体" w:cs="宋体"/>
                <w:color w:val="000000"/>
                <w:kern w:val="0"/>
                <w:sz w:val="24"/>
                <w:szCs w:val="24"/>
              </w:rPr>
            </w:pPr>
          </w:p>
        </w:tc>
        <w:tc>
          <w:tcPr>
            <w:tcW w:w="3825" w:type="dxa"/>
            <w:vAlign w:val="center"/>
          </w:tcPr>
          <w:p w:rsidR="003358F5" w:rsidRDefault="003358F5">
            <w:pPr>
              <w:widowControl/>
              <w:jc w:val="left"/>
              <w:rPr>
                <w:color w:val="000000"/>
                <w:kern w:val="0"/>
                <w:sz w:val="20"/>
                <w:szCs w:val="20"/>
              </w:rPr>
            </w:pPr>
          </w:p>
        </w:tc>
      </w:tr>
    </w:tbl>
    <w:p w:rsidR="003358F5" w:rsidRDefault="003358F5">
      <w:pPr>
        <w:pStyle w:val="biaogeleft"/>
        <w:ind w:left="0"/>
        <w:rPr>
          <w:color w:val="000000"/>
        </w:rPr>
      </w:pPr>
    </w:p>
    <w:p w:rsidR="003358F5" w:rsidRDefault="003358F5">
      <w:pPr>
        <w:widowControl/>
        <w:jc w:val="left"/>
        <w:rPr>
          <w:rFonts w:ascii="宋体" w:hAnsi="宋体" w:cs="宋体"/>
          <w:color w:val="000000"/>
          <w:kern w:val="0"/>
          <w:sz w:val="24"/>
          <w:szCs w:val="24"/>
        </w:rPr>
      </w:pPr>
    </w:p>
    <w:p w:rsidR="003358F5" w:rsidRDefault="000D3361">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3358F5" w:rsidRDefault="000D3361">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3358F5" w:rsidRDefault="000D3361">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3358F5" w:rsidRDefault="000D336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3358F5" w:rsidRDefault="000D3361">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3358F5" w:rsidRDefault="000D336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3358F5" w:rsidRDefault="000D3361">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3358F5" w:rsidRDefault="000D336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3358F5" w:rsidRDefault="000D3361">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3358F5" w:rsidRDefault="000D3361">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1.0493</w:t>
      </w:r>
      <w:r>
        <w:rPr>
          <w:rFonts w:hint="eastAsia"/>
          <w:color w:val="000000"/>
        </w:rPr>
        <w:t>元。</w:t>
      </w:r>
    </w:p>
    <w:p w:rsidR="003358F5" w:rsidRDefault="003358F5">
      <w:pPr>
        <w:widowControl/>
        <w:jc w:val="left"/>
        <w:rPr>
          <w:rFonts w:ascii="宋体" w:hAnsi="宋体" w:cs="宋体"/>
          <w:color w:val="000000"/>
          <w:kern w:val="0"/>
          <w:sz w:val="24"/>
          <w:szCs w:val="24"/>
        </w:rPr>
      </w:pPr>
    </w:p>
    <w:p w:rsidR="003358F5" w:rsidRDefault="000D3361">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3358F5" w:rsidRDefault="003358F5">
      <w:pPr>
        <w:pStyle w:val="dazhangjie"/>
        <w:rPr>
          <w:rFonts w:hAnsi="Calibri"/>
          <w:b/>
          <w:color w:val="000000"/>
        </w:rPr>
      </w:pPr>
    </w:p>
    <w:p w:rsidR="003358F5" w:rsidRDefault="000D3361">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3358F5" w:rsidRDefault="000D3361">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3358F5" w:rsidRDefault="000D3361">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3358F5" w:rsidRDefault="000D3361">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358F5" w:rsidRDefault="000D3361">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3358F5" w:rsidRDefault="000D3361">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3358F5" w:rsidRDefault="003358F5">
      <w:pPr>
        <w:pStyle w:val="biaogeleft"/>
        <w:spacing w:line="360" w:lineRule="auto"/>
        <w:ind w:firstLine="480"/>
        <w:rPr>
          <w:color w:val="000000"/>
        </w:rPr>
      </w:pPr>
    </w:p>
    <w:p w:rsidR="003358F5" w:rsidRDefault="000D3361">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3358F5" w:rsidRDefault="003358F5">
      <w:pPr>
        <w:widowControl/>
        <w:jc w:val="left"/>
        <w:rPr>
          <w:rFonts w:ascii="宋体" w:hAnsi="宋体" w:cs="宋体"/>
          <w:kern w:val="0"/>
          <w:sz w:val="24"/>
          <w:szCs w:val="24"/>
        </w:rPr>
      </w:pPr>
    </w:p>
    <w:p w:rsidR="003358F5" w:rsidRDefault="000D3361">
      <w:pPr>
        <w:pStyle w:val="zhangjiep"/>
      </w:pPr>
      <w:bookmarkStart w:id="5" w:name="_Toc61271615"/>
      <w:r>
        <w:rPr>
          <w:rFonts w:hint="eastAsia"/>
          <w:b/>
          <w:bCs/>
        </w:rPr>
        <w:t xml:space="preserve">5.1 </w:t>
      </w:r>
      <w:r>
        <w:rPr>
          <w:rFonts w:hint="eastAsia"/>
          <w:b/>
          <w:bCs/>
        </w:rPr>
        <w:t>资产负债表</w:t>
      </w:r>
      <w:bookmarkEnd w:id="5"/>
    </w:p>
    <w:p w:rsidR="003358F5" w:rsidRDefault="000D3361">
      <w:pPr>
        <w:pStyle w:val="biaogeleft"/>
      </w:pPr>
      <w:r>
        <w:rPr>
          <w:rFonts w:hint="eastAsia"/>
        </w:rPr>
        <w:t>会计主体：珠联璧合行稳一年定开</w:t>
      </w:r>
      <w:r>
        <w:rPr>
          <w:rFonts w:hint="eastAsia"/>
        </w:rPr>
        <w:t>1M</w:t>
      </w:r>
      <w:r>
        <w:rPr>
          <w:rFonts w:hint="eastAsia"/>
        </w:rPr>
        <w:t>净值型人民币理财产品</w:t>
      </w:r>
    </w:p>
    <w:p w:rsidR="003358F5" w:rsidRDefault="000D3361">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358F5" w:rsidRDefault="000D336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Ansi="Calibri" w:hint="eastAsia"/>
                <w:color w:val="000000"/>
              </w:rPr>
              <w:t>本期末</w:t>
            </w:r>
            <w:r>
              <w:rPr>
                <w:rFonts w:hAnsi="Calibri" w:hint="eastAsia"/>
                <w:color w:val="000000"/>
              </w:rPr>
              <w:t> </w:t>
            </w:r>
          </w:p>
          <w:p w:rsidR="003358F5" w:rsidRDefault="000D3361">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Ansi="Calibri" w:hint="eastAsia"/>
                <w:color w:val="000000"/>
              </w:rPr>
              <w:t>上年度末</w:t>
            </w:r>
            <w:r>
              <w:rPr>
                <w:rFonts w:hAnsi="Calibri" w:hint="eastAsia"/>
                <w:color w:val="000000"/>
              </w:rPr>
              <w:t> </w:t>
            </w:r>
          </w:p>
          <w:p w:rsidR="003358F5" w:rsidRDefault="000D3361">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3358F5">
            <w:pPr>
              <w:rPr>
                <w:rFonts w:ascii="宋体" w:hAnsi="宋体" w:cs="宋体"/>
                <w:kern w:val="0"/>
                <w:sz w:val="24"/>
                <w:szCs w:val="24"/>
              </w:rPr>
            </w:pP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1,404,974.03</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5,313,896.84</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lastRenderedPageBreak/>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10.88</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92,367.40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2,986,506,885.00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1,424,828,090.00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pPr>
            <w:r>
              <w:rPr>
                <w:rFonts w:cs="Arial" w:hint="eastAsia"/>
                <w:color w:val="000000"/>
              </w:rPr>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2,926,489,965.00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1,424,828,090.00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60,016,920.00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131,320,156.18</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51,323,985.97</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320,000,000.00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400,000,000.00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3,839,232,026.09</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1,481,558,340.21</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本期末</w:t>
            </w:r>
            <w:r>
              <w:rPr>
                <w:rFonts w:hint="eastAsia"/>
              </w:rPr>
              <w:t> </w:t>
            </w:r>
          </w:p>
          <w:p w:rsidR="003358F5" w:rsidRDefault="000D3361">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上年度末</w:t>
            </w:r>
            <w:r>
              <w:rPr>
                <w:rFonts w:hint="eastAsia"/>
              </w:rPr>
              <w:t> </w:t>
            </w:r>
          </w:p>
          <w:p w:rsidR="003358F5" w:rsidRDefault="000D3361">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 </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123,947,494.08</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88,980,375.06</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lastRenderedPageBreak/>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16,844,963.46</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3,785,835.06</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687,460.24</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252,388.29</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6,874,591.66</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2,523,890.04</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8,241.88</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4,290.14</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3,409,113.03</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672,042.10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132,349.92</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136,016.58</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151,904,214.27</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96,354,837.27</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3358F5">
            <w:pPr>
              <w:rPr>
                <w:rFonts w:ascii="宋体" w:hAnsi="宋体" w:cs="宋体"/>
                <w:kern w:val="0"/>
                <w:sz w:val="24"/>
                <w:szCs w:val="24"/>
              </w:rPr>
            </w:pP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3,514,106,880.00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1,290,224,000.00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0.00</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173,220,931.82</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94,979,502.94</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3,687,327,811.82</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1,385,203,502.94</w:t>
            </w:r>
          </w:p>
        </w:tc>
      </w:tr>
      <w:tr w:rsidR="003358F5">
        <w:tc>
          <w:tcPr>
            <w:tcW w:w="260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3,839,232,026.09</w:t>
            </w:r>
          </w:p>
        </w:tc>
        <w:tc>
          <w:tcPr>
            <w:tcW w:w="2620"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cs="Arial" w:hint="eastAsia"/>
                <w:color w:val="000000"/>
              </w:rPr>
              <w:t>1,481,558,340.21</w:t>
            </w:r>
          </w:p>
        </w:tc>
      </w:tr>
    </w:tbl>
    <w:p w:rsidR="003358F5" w:rsidRDefault="003358F5">
      <w:pPr>
        <w:widowControl/>
        <w:jc w:val="left"/>
        <w:rPr>
          <w:rFonts w:ascii="宋体" w:hAnsi="宋体" w:cs="宋体"/>
          <w:kern w:val="0"/>
          <w:sz w:val="24"/>
          <w:szCs w:val="24"/>
        </w:rPr>
      </w:pPr>
    </w:p>
    <w:p w:rsidR="003358F5" w:rsidRDefault="000D3361">
      <w:pPr>
        <w:pStyle w:val="zhangjiep"/>
      </w:pPr>
      <w:bookmarkStart w:id="6" w:name="_Toc61425968"/>
      <w:r>
        <w:rPr>
          <w:rFonts w:hint="eastAsia"/>
          <w:b/>
          <w:bCs/>
        </w:rPr>
        <w:t xml:space="preserve">5.2 </w:t>
      </w:r>
      <w:r>
        <w:rPr>
          <w:rFonts w:hint="eastAsia"/>
          <w:b/>
          <w:bCs/>
        </w:rPr>
        <w:t>利润表</w:t>
      </w:r>
      <w:bookmarkEnd w:id="6"/>
    </w:p>
    <w:p w:rsidR="003358F5" w:rsidRDefault="000D3361">
      <w:pPr>
        <w:pStyle w:val="biaogeleft"/>
      </w:pPr>
      <w:r>
        <w:rPr>
          <w:rFonts w:hint="eastAsia"/>
        </w:rPr>
        <w:t>会计主体：珠联璧合行稳一年定开</w:t>
      </w:r>
      <w:r>
        <w:rPr>
          <w:rFonts w:hint="eastAsia"/>
        </w:rPr>
        <w:t>1M</w:t>
      </w:r>
      <w:r>
        <w:rPr>
          <w:rFonts w:hint="eastAsia"/>
        </w:rPr>
        <w:t>净值型人民币理财产品</w:t>
      </w:r>
    </w:p>
    <w:p w:rsidR="003358F5" w:rsidRDefault="000D3361">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358F5" w:rsidRDefault="000D336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3358F5">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3358F5">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3358F5" w:rsidRDefault="003358F5">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3358F5" w:rsidRDefault="003358F5">
            <w:pPr>
              <w:widowControl/>
              <w:jc w:val="left"/>
              <w:rPr>
                <w:rFonts w:asciiTheme="minorEastAsia" w:eastAsiaTheme="minorEastAsia" w:hAnsiTheme="minorEastAsia" w:cs="宋体"/>
                <w:kern w:val="0"/>
                <w:sz w:val="24"/>
                <w:szCs w:val="24"/>
              </w:rPr>
            </w:pP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b/>
                <w:bCs/>
                <w:color w:val="000000"/>
              </w:rPr>
              <w:t>197,835,814.68</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210,544,015.25</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2,406,780.67</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204,909,513.66</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3,142,440.18</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85,280.74</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ascii="Arial" w:hAnsi="Arial" w:cs="Arial"/>
                <w:color w:val="000000"/>
              </w:rPr>
              <w:t xml:space="preserve">　</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lastRenderedPageBreak/>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lastRenderedPageBreak/>
              <w:t>1,510,304.43</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1,567,048.99</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-56,744.56</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-14,218,505.00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 xml:space="preserve">　</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b/>
                <w:bCs/>
                <w:color w:val="000000"/>
              </w:rPr>
              <w:t>22,417,796.99</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10,396,490.58</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693,100.56</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6,930,994.86</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15,139.71</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3,614,624.20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3,614,624.20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730,247.08</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color w:val="000000"/>
              </w:rPr>
              <w:t>37,200.00</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b/>
                <w:bCs/>
                <w:color w:val="000000"/>
              </w:rPr>
              <w:t>175,418,017.69</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ascii="Arial" w:hAnsi="Arial" w:cs="Arial"/>
                <w:color w:val="000000"/>
              </w:rPr>
              <w:t xml:space="preserve">　</w:t>
            </w:r>
          </w:p>
        </w:tc>
      </w:tr>
      <w:tr w:rsidR="003358F5">
        <w:tc>
          <w:tcPr>
            <w:tcW w:w="2969"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rPr>
                <w:rFonts w:asciiTheme="minorEastAsia" w:eastAsiaTheme="minorEastAsia" w:hAnsiTheme="minorEastAsia"/>
              </w:rPr>
            </w:pPr>
            <w:r>
              <w:rPr>
                <w:rFonts w:cs="Arial" w:hint="eastAsia"/>
                <w:b/>
                <w:bCs/>
                <w:color w:val="000000"/>
              </w:rPr>
              <w:t>175,418,017.69</w:t>
            </w:r>
          </w:p>
        </w:tc>
      </w:tr>
    </w:tbl>
    <w:p w:rsidR="003358F5" w:rsidRDefault="003358F5">
      <w:pPr>
        <w:widowControl/>
        <w:jc w:val="left"/>
        <w:rPr>
          <w:rFonts w:ascii="宋体" w:hAnsi="宋体" w:cs="宋体"/>
          <w:kern w:val="0"/>
          <w:sz w:val="24"/>
          <w:szCs w:val="24"/>
        </w:rPr>
      </w:pPr>
    </w:p>
    <w:p w:rsidR="003358F5" w:rsidRDefault="000D3361">
      <w:pPr>
        <w:pStyle w:val="zhangjiep"/>
      </w:pPr>
      <w:bookmarkStart w:id="7" w:name="_Toc61425969"/>
      <w:r>
        <w:rPr>
          <w:rFonts w:hint="eastAsia"/>
          <w:b/>
          <w:bCs/>
        </w:rPr>
        <w:lastRenderedPageBreak/>
        <w:t xml:space="preserve">5.3 </w:t>
      </w:r>
      <w:r>
        <w:rPr>
          <w:rFonts w:hint="eastAsia"/>
          <w:b/>
          <w:bCs/>
        </w:rPr>
        <w:t>所有者权益（基金净值）变动表</w:t>
      </w:r>
      <w:bookmarkEnd w:id="7"/>
    </w:p>
    <w:p w:rsidR="003358F5" w:rsidRDefault="000D3361">
      <w:pPr>
        <w:pStyle w:val="biaogeleft"/>
      </w:pPr>
      <w:r>
        <w:rPr>
          <w:rFonts w:hint="eastAsia"/>
        </w:rPr>
        <w:t>会计主体：珠联璧合行稳一年定开</w:t>
      </w:r>
      <w:r>
        <w:rPr>
          <w:rFonts w:hint="eastAsia"/>
        </w:rPr>
        <w:t>1M</w:t>
      </w:r>
      <w:r>
        <w:rPr>
          <w:rFonts w:hint="eastAsia"/>
        </w:rPr>
        <w:t>净值型人民币理财产品</w:t>
      </w:r>
    </w:p>
    <w:p w:rsidR="003358F5" w:rsidRDefault="000D3361">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358F5" w:rsidRDefault="000D336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3358F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本期</w:t>
            </w:r>
            <w:r>
              <w:rPr>
                <w:rFonts w:hint="eastAsia"/>
              </w:rPr>
              <w:t> </w:t>
            </w:r>
          </w:p>
          <w:p w:rsidR="003358F5" w:rsidRDefault="000D3361">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358F5">
        <w:tc>
          <w:tcPr>
            <w:tcW w:w="2116" w:type="dxa"/>
            <w:vMerge/>
            <w:tcBorders>
              <w:top w:val="single" w:sz="8" w:space="0" w:color="000000"/>
              <w:left w:val="single" w:sz="8" w:space="0" w:color="000000"/>
              <w:bottom w:val="single" w:sz="8" w:space="0" w:color="000000"/>
              <w:right w:val="single" w:sz="8" w:space="0" w:color="000000"/>
            </w:tcBorders>
            <w:vAlign w:val="center"/>
          </w:tcPr>
          <w:p w:rsidR="003358F5" w:rsidRDefault="003358F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所有者权益合计</w:t>
            </w:r>
            <w:r>
              <w:rPr>
                <w:rFonts w:hint="eastAsia"/>
              </w:rPr>
              <w:t> </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1,290,224,000.00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94,979,502.94</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1,385,203,502.94</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175,418,017.69</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175,418,017.69</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2,223,882,880.00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2,223,882,880.00</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2,515,538,000.00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2,515,538,000.00</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-291,655,120.00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-291,655,120.00</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-97,176,588.81</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-97,176,588.81</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3,514,106,880.00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173,220,931.82</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3,687,327,811.82</w:t>
            </w:r>
          </w:p>
        </w:tc>
      </w:tr>
      <w:tr w:rsidR="003358F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上年度可比期间</w:t>
            </w:r>
            <w:r>
              <w:rPr>
                <w:rFonts w:hint="eastAsia"/>
              </w:rPr>
              <w:t> </w:t>
            </w:r>
          </w:p>
          <w:p w:rsidR="003358F5" w:rsidRDefault="000D3361">
            <w:pPr>
              <w:pStyle w:val="biaogecenter"/>
              <w:wordWrap w:val="0"/>
            </w:pPr>
            <w:r>
              <w:rPr>
                <w:rFonts w:hint="eastAsia"/>
              </w:rPr>
              <w:t>2019</w:t>
            </w:r>
            <w:r>
              <w:rPr>
                <w:rFonts w:hint="eastAsia"/>
              </w:rPr>
              <w:t>年</w:t>
            </w:r>
            <w:r>
              <w:rPr>
                <w:rFonts w:hint="eastAsia"/>
              </w:rPr>
              <w:t>01</w:t>
            </w:r>
            <w:r>
              <w:rPr>
                <w:rFonts w:hint="eastAsia"/>
              </w:rPr>
              <w:t>月</w:t>
            </w:r>
            <w:r>
              <w:rPr>
                <w:rFonts w:hint="eastAsia"/>
              </w:rPr>
              <w:t>09</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3358F5">
        <w:tc>
          <w:tcPr>
            <w:tcW w:w="2116" w:type="dxa"/>
            <w:vMerge/>
            <w:tcBorders>
              <w:top w:val="single" w:sz="8" w:space="0" w:color="000000"/>
              <w:left w:val="single" w:sz="8" w:space="0" w:color="000000"/>
              <w:bottom w:val="single" w:sz="8" w:space="0" w:color="000000"/>
              <w:right w:val="single" w:sz="8" w:space="0" w:color="000000"/>
            </w:tcBorders>
            <w:vAlign w:val="center"/>
          </w:tcPr>
          <w:p w:rsidR="003358F5" w:rsidRDefault="003358F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所有者权益合计</w:t>
            </w:r>
            <w:r>
              <w:rPr>
                <w:rFonts w:hint="eastAsia"/>
              </w:rPr>
              <w:t> </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1,290,224,000.00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1,290,224,000.00</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二、本期经营活动产生的基金净值</w:t>
            </w:r>
            <w:r>
              <w:rPr>
                <w:rFonts w:hint="eastAsia"/>
              </w:rPr>
              <w:lastRenderedPageBreak/>
              <w:t>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94,979,502.94</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94,979,502.94</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w:t>
            </w:r>
          </w:p>
        </w:tc>
      </w:tr>
      <w:tr w:rsidR="003358F5">
        <w:tc>
          <w:tcPr>
            <w:tcW w:w="211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1,290,224,000.00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94,979,502.94</w:t>
            </w:r>
          </w:p>
        </w:tc>
        <w:tc>
          <w:tcPr>
            <w:tcW w:w="2484"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right"/>
              <w:wordWrap w:val="0"/>
            </w:pPr>
            <w:r>
              <w:rPr>
                <w:rFonts w:hint="eastAsia"/>
              </w:rPr>
              <w:t>1,385,203,502.94</w:t>
            </w:r>
          </w:p>
        </w:tc>
      </w:tr>
    </w:tbl>
    <w:p w:rsidR="003358F5" w:rsidRDefault="003358F5">
      <w:pPr>
        <w:widowControl/>
        <w:autoSpaceDE w:val="0"/>
        <w:autoSpaceDN w:val="0"/>
        <w:adjustRightInd w:val="0"/>
        <w:spacing w:line="288" w:lineRule="auto"/>
        <w:jc w:val="right"/>
        <w:rPr>
          <w:rFonts w:ascii="宋体" w:hAnsi="宋体" w:cs="宋体"/>
          <w:kern w:val="0"/>
          <w:sz w:val="24"/>
          <w:szCs w:val="24"/>
        </w:rPr>
      </w:pPr>
    </w:p>
    <w:p w:rsidR="003358F5" w:rsidRDefault="003358F5">
      <w:pPr>
        <w:pStyle w:val="biaogeleft"/>
        <w:spacing w:line="360" w:lineRule="auto"/>
        <w:ind w:firstLine="480"/>
        <w:rPr>
          <w:color w:val="000000"/>
        </w:rPr>
      </w:pPr>
    </w:p>
    <w:p w:rsidR="003358F5" w:rsidRDefault="000D3361">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3358F5" w:rsidRDefault="003358F5">
      <w:pPr>
        <w:widowControl/>
        <w:jc w:val="left"/>
        <w:rPr>
          <w:rFonts w:ascii="宋体" w:hAnsi="宋体" w:cs="宋体"/>
          <w:color w:val="000000"/>
          <w:kern w:val="0"/>
          <w:sz w:val="24"/>
          <w:szCs w:val="24"/>
        </w:rPr>
      </w:pPr>
    </w:p>
    <w:p w:rsidR="003358F5" w:rsidRDefault="000D3361">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3358F5">
        <w:tc>
          <w:tcPr>
            <w:tcW w:w="891" w:type="dxa"/>
            <w:tcBorders>
              <w:top w:val="single" w:sz="8" w:space="0" w:color="000000"/>
              <w:left w:val="single" w:sz="8" w:space="0" w:color="000000"/>
              <w:bottom w:val="single" w:sz="6" w:space="0" w:color="000000"/>
              <w:right w:val="single" w:sz="8" w:space="0" w:color="000000"/>
            </w:tcBorders>
            <w:vAlign w:val="bottom"/>
          </w:tcPr>
          <w:p w:rsidR="003358F5" w:rsidRDefault="000D3361">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3358F5" w:rsidRDefault="000D3361">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3358F5" w:rsidRDefault="000D3361">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3358F5" w:rsidRDefault="000D3361">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2,926,489,965.00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76.23</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60,016,920.00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1.56</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720,000,000.00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18.75</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1,404,974.03</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0.04</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10.88</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131,320,156.18</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3.42</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3358F5">
        <w:tc>
          <w:tcPr>
            <w:tcW w:w="891"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3,839,232,026.09</w:t>
            </w:r>
          </w:p>
        </w:tc>
        <w:tc>
          <w:tcPr>
            <w:tcW w:w="2395" w:type="dxa"/>
            <w:tcBorders>
              <w:top w:val="single" w:sz="8" w:space="0" w:color="000000"/>
              <w:left w:val="single" w:sz="8" w:space="0" w:color="000000"/>
              <w:bottom w:val="single" w:sz="8" w:space="0" w:color="000000"/>
              <w:right w:val="single" w:sz="8" w:space="0" w:color="000000"/>
            </w:tcBorders>
            <w:vAlign w:val="center"/>
          </w:tcPr>
          <w:p w:rsidR="003358F5" w:rsidRDefault="000D336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3358F5" w:rsidRDefault="003358F5">
      <w:pPr>
        <w:widowControl/>
        <w:jc w:val="left"/>
        <w:rPr>
          <w:rFonts w:ascii="宋体" w:hAnsi="宋体" w:cs="宋体"/>
          <w:color w:val="000000"/>
          <w:kern w:val="0"/>
          <w:sz w:val="24"/>
          <w:szCs w:val="24"/>
        </w:rPr>
      </w:pPr>
    </w:p>
    <w:p w:rsidR="003358F5" w:rsidRDefault="000D3361">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3358F5">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3358F5" w:rsidRDefault="000D3361">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3358F5" w:rsidRDefault="000D3361">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3358F5" w:rsidRDefault="000D3361">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3358F5" w:rsidRDefault="000D3361">
            <w:pPr>
              <w:pStyle w:val="biaogecenter"/>
              <w:wordWrap w:val="0"/>
              <w:rPr>
                <w:color w:val="000000"/>
              </w:rPr>
            </w:pPr>
            <w:r>
              <w:rPr>
                <w:rFonts w:hint="eastAsia"/>
                <w:color w:val="000000"/>
              </w:rPr>
              <w:t>占产品资产净值比例（％）</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color w:val="000000"/>
                <w:sz w:val="24"/>
                <w:szCs w:val="24"/>
              </w:rPr>
              <w:t>000001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招银金融租赁有限公司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400,000,000.00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color w:val="000000"/>
                <w:sz w:val="24"/>
                <w:szCs w:val="24"/>
              </w:rPr>
              <w:t>10.85%</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QTBZZ202001090001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苏海州湾</w:t>
            </w:r>
            <w:r>
              <w:rPr>
                <w:rFonts w:ascii="宋体" w:hAnsi="宋体" w:cs="Arial" w:hint="eastAsia"/>
                <w:color w:val="00000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300,000,000.00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8.14%</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101800010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新田投资</w:t>
            </w:r>
            <w:r>
              <w:rPr>
                <w:rFonts w:ascii="宋体" w:hAnsi="宋体" w:cs="Arial" w:hint="eastAsia"/>
                <w:color w:val="00000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100,616,700.00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2.73%</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162873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镇旅</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100,015,800.00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2.71%</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160403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16</w:t>
            </w:r>
            <w:r>
              <w:rPr>
                <w:rFonts w:ascii="宋体" w:hAnsi="宋体" w:cs="Arial" w:hint="eastAsia"/>
                <w:color w:val="000000"/>
                <w:sz w:val="24"/>
                <w:szCs w:val="24"/>
              </w:rPr>
              <w:t>农发</w:t>
            </w:r>
            <w:r>
              <w:rPr>
                <w:rFonts w:ascii="宋体" w:hAnsi="宋体" w:cs="Arial" w:hint="eastAsia"/>
                <w:color w:val="000000"/>
                <w:sz w:val="24"/>
                <w:szCs w:val="24"/>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100,007,700.00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2.71%</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102000008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浙兴合</w:t>
            </w:r>
            <w:r>
              <w:rPr>
                <w:rFonts w:ascii="宋体" w:hAnsi="宋体" w:cs="Arial" w:hint="eastAsia"/>
                <w:color w:val="00000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99,145,000.00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2.69%</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162275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19</w:t>
            </w:r>
            <w:r>
              <w:rPr>
                <w:rFonts w:ascii="宋体" w:hAnsi="宋体" w:cs="Arial" w:hint="eastAsia"/>
                <w:color w:val="000000"/>
                <w:sz w:val="24"/>
                <w:szCs w:val="24"/>
              </w:rPr>
              <w:t>安国投</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90,241,470.00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2.45%</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012002775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镇江城建</w:t>
            </w:r>
            <w:r>
              <w:rPr>
                <w:rFonts w:ascii="宋体" w:hAnsi="宋体" w:cs="Arial" w:hint="eastAsia"/>
                <w:color w:val="000000"/>
                <w:sz w:val="24"/>
                <w:szCs w:val="24"/>
              </w:rPr>
              <w:t>SCP009</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89,997,840.00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2.44%</w:t>
            </w:r>
          </w:p>
        </w:tc>
      </w:tr>
      <w:tr w:rsidR="003358F5">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1880321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建德停车场债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82,971,600.00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2.25%</w:t>
            </w:r>
          </w:p>
        </w:tc>
      </w:tr>
      <w:tr w:rsidR="003358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58F5" w:rsidRDefault="000D3361">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1880247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桐乡产投债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82,316,720.00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358F5" w:rsidRDefault="000D3361">
            <w:pPr>
              <w:jc w:val="right"/>
              <w:rPr>
                <w:rFonts w:ascii="宋体" w:hAnsi="宋体" w:cs="Arial"/>
                <w:color w:val="000000"/>
                <w:sz w:val="24"/>
                <w:szCs w:val="24"/>
              </w:rPr>
            </w:pPr>
            <w:r>
              <w:rPr>
                <w:rFonts w:ascii="宋体" w:hAnsi="宋体" w:cs="Arial" w:hint="eastAsia"/>
                <w:color w:val="000000"/>
                <w:sz w:val="24"/>
                <w:szCs w:val="24"/>
              </w:rPr>
              <w:t>2.23%</w:t>
            </w:r>
          </w:p>
        </w:tc>
      </w:tr>
    </w:tbl>
    <w:p w:rsidR="003358F5" w:rsidRDefault="003358F5">
      <w:pPr>
        <w:widowControl/>
        <w:jc w:val="left"/>
        <w:rPr>
          <w:rFonts w:ascii="宋体" w:hAnsi="宋体" w:cs="宋体"/>
          <w:b/>
          <w:sz w:val="24"/>
          <w:szCs w:val="24"/>
          <w:shd w:val="clear" w:color="auto" w:fill="FFFFFF"/>
        </w:rPr>
      </w:pPr>
    </w:p>
    <w:p w:rsidR="003358F5" w:rsidRDefault="000D3361">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3358F5" w:rsidRDefault="003358F5">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3358F5">
        <w:tc>
          <w:tcPr>
            <w:tcW w:w="709"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风险状况</w:t>
            </w:r>
          </w:p>
        </w:tc>
      </w:tr>
      <w:tr w:rsidR="003358F5">
        <w:tc>
          <w:tcPr>
            <w:tcW w:w="70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高邮市建设投资发展集团有限公司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18</w:t>
            </w:r>
            <w:r>
              <w:rPr>
                <w:rFonts w:hint="eastAsia"/>
                <w:shd w:val="clear" w:color="auto" w:fill="FFFFFF"/>
              </w:rPr>
              <w:t>苏高邮建投</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w:t>
            </w:r>
          </w:p>
        </w:tc>
      </w:tr>
      <w:tr w:rsidR="003358F5">
        <w:tc>
          <w:tcPr>
            <w:tcW w:w="70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江苏海州湾发展集团有限公司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18</w:t>
            </w:r>
            <w:r>
              <w:rPr>
                <w:rFonts w:hint="eastAsia"/>
                <w:shd w:val="clear" w:color="auto" w:fill="FFFFFF"/>
              </w:rPr>
              <w:t>苏海洲湾</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w:t>
            </w:r>
          </w:p>
        </w:tc>
      </w:tr>
      <w:tr w:rsidR="003358F5">
        <w:tc>
          <w:tcPr>
            <w:tcW w:w="709"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招银金融租赁有限公司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同业借款（招银金租）</w:t>
            </w:r>
            <w:r>
              <w:rPr>
                <w:rFonts w:hint="eastAsia"/>
                <w:shd w:val="clear" w:color="auto" w:fill="FFFFFF"/>
              </w:rPr>
              <w:t>20201109</w:t>
            </w:r>
          </w:p>
        </w:tc>
        <w:tc>
          <w:tcPr>
            <w:tcW w:w="1417"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14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到期一次还本付息</w:t>
            </w:r>
          </w:p>
        </w:tc>
        <w:tc>
          <w:tcPr>
            <w:tcW w:w="1276"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vAlign w:val="center"/>
          </w:tcPr>
          <w:p w:rsidR="003358F5" w:rsidRDefault="000D3361">
            <w:pPr>
              <w:pStyle w:val="biaogecenter"/>
              <w:wordWrap w:val="0"/>
              <w:rPr>
                <w:shd w:val="clear" w:color="auto" w:fill="FFFFFF"/>
              </w:rPr>
            </w:pPr>
            <w:r>
              <w:rPr>
                <w:rFonts w:hint="eastAsia"/>
                <w:shd w:val="clear" w:color="auto" w:fill="FFFFFF"/>
              </w:rPr>
              <w:t>-</w:t>
            </w:r>
          </w:p>
        </w:tc>
      </w:tr>
    </w:tbl>
    <w:p w:rsidR="003358F5" w:rsidRDefault="003358F5">
      <w:pPr>
        <w:widowControl/>
        <w:jc w:val="left"/>
        <w:rPr>
          <w:rFonts w:ascii="宋体" w:hAnsi="宋体" w:cs="宋体"/>
          <w:color w:val="000000"/>
          <w:kern w:val="0"/>
          <w:sz w:val="24"/>
          <w:szCs w:val="24"/>
        </w:rPr>
      </w:pPr>
    </w:p>
    <w:p w:rsidR="003358F5" w:rsidRDefault="003358F5">
      <w:pPr>
        <w:widowControl/>
        <w:jc w:val="left"/>
        <w:rPr>
          <w:rFonts w:ascii="宋体" w:hAnsi="宋体" w:cs="宋体"/>
          <w:color w:val="000000"/>
          <w:kern w:val="0"/>
          <w:sz w:val="24"/>
          <w:szCs w:val="24"/>
        </w:rPr>
      </w:pPr>
    </w:p>
    <w:p w:rsidR="003358F5" w:rsidRDefault="000D3361">
      <w:pPr>
        <w:pStyle w:val="dazhangjie"/>
        <w:rPr>
          <w:color w:val="000000"/>
        </w:rPr>
      </w:pPr>
      <w:r>
        <w:rPr>
          <w:rFonts w:hint="eastAsia"/>
          <w:b/>
          <w:bCs/>
          <w:color w:val="000000"/>
        </w:rPr>
        <w:lastRenderedPageBreak/>
        <w:t>§</w:t>
      </w:r>
      <w:r>
        <w:rPr>
          <w:rFonts w:hint="eastAsia"/>
          <w:b/>
          <w:bCs/>
          <w:color w:val="000000"/>
        </w:rPr>
        <w:t xml:space="preserve">7 </w:t>
      </w:r>
      <w:r>
        <w:rPr>
          <w:rFonts w:hint="eastAsia"/>
          <w:b/>
          <w:bCs/>
          <w:color w:val="000000"/>
        </w:rPr>
        <w:t>关联交易情况</w:t>
      </w:r>
    </w:p>
    <w:p w:rsidR="003358F5" w:rsidRDefault="000D336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3358F5" w:rsidRDefault="000D336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300406550.00</w:t>
      </w:r>
      <w:r>
        <w:rPr>
          <w:rFonts w:ascii="宋体" w:hAnsi="宋体" w:cs="宋体" w:hint="eastAsia"/>
          <w:color w:val="000000"/>
          <w:kern w:val="0"/>
          <w:sz w:val="24"/>
          <w:szCs w:val="24"/>
        </w:rPr>
        <w:t>元。</w:t>
      </w:r>
    </w:p>
    <w:p w:rsidR="003358F5" w:rsidRDefault="003358F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3358F5" w:rsidRDefault="003358F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3358F5" w:rsidRDefault="003358F5">
      <w:pPr>
        <w:widowControl/>
        <w:jc w:val="left"/>
        <w:rPr>
          <w:rFonts w:ascii="宋体" w:hAnsi="宋体" w:cs="宋体"/>
          <w:color w:val="000000"/>
          <w:kern w:val="0"/>
          <w:sz w:val="24"/>
          <w:szCs w:val="24"/>
        </w:rPr>
      </w:pPr>
    </w:p>
    <w:p w:rsidR="003358F5" w:rsidRDefault="003358F5">
      <w:pPr>
        <w:widowControl/>
        <w:jc w:val="left"/>
        <w:rPr>
          <w:rFonts w:ascii="宋体" w:hAnsi="宋体" w:cs="宋体"/>
          <w:color w:val="000000"/>
          <w:kern w:val="0"/>
          <w:sz w:val="24"/>
          <w:szCs w:val="24"/>
        </w:rPr>
      </w:pPr>
    </w:p>
    <w:p w:rsidR="003358F5" w:rsidRDefault="003358F5">
      <w:pPr>
        <w:widowControl/>
        <w:jc w:val="left"/>
        <w:rPr>
          <w:rFonts w:ascii="宋体" w:hAnsi="宋体" w:cs="宋体"/>
          <w:color w:val="000000"/>
          <w:kern w:val="0"/>
          <w:sz w:val="24"/>
          <w:szCs w:val="24"/>
        </w:rPr>
      </w:pPr>
    </w:p>
    <w:p w:rsidR="003358F5" w:rsidRDefault="003358F5">
      <w:pPr>
        <w:widowControl/>
        <w:jc w:val="left"/>
        <w:rPr>
          <w:color w:val="000000"/>
        </w:rPr>
      </w:pPr>
    </w:p>
    <w:p w:rsidR="003358F5" w:rsidRDefault="000D3361">
      <w:pPr>
        <w:pStyle w:val="biaogeright"/>
        <w:rPr>
          <w:b/>
        </w:rPr>
      </w:pPr>
      <w:r>
        <w:rPr>
          <w:b/>
        </w:rPr>
        <w:t>南京银行股份有限公司</w:t>
      </w:r>
    </w:p>
    <w:p w:rsidR="003358F5" w:rsidRDefault="000D3361">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3358F5" w:rsidRDefault="003358F5">
      <w:pPr>
        <w:pStyle w:val="biaogeright"/>
        <w:rPr>
          <w:color w:val="000000"/>
        </w:rPr>
      </w:pPr>
    </w:p>
    <w:sectPr w:rsidR="003358F5" w:rsidSect="003358F5">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361" w:rsidRDefault="000D3361" w:rsidP="003358F5">
      <w:r>
        <w:separator/>
      </w:r>
    </w:p>
  </w:endnote>
  <w:endnote w:type="continuationSeparator" w:id="1">
    <w:p w:rsidR="000D3361" w:rsidRDefault="000D3361" w:rsidP="003358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8F5" w:rsidRDefault="003358F5">
    <w:pPr>
      <w:pStyle w:val="a5"/>
      <w:framePr w:wrap="around" w:vAnchor="text" w:hAnchor="margin" w:xAlign="center" w:y="1"/>
      <w:rPr>
        <w:rStyle w:val="aa"/>
      </w:rPr>
    </w:pPr>
    <w:r>
      <w:fldChar w:fldCharType="begin"/>
    </w:r>
    <w:r w:rsidR="000D3361">
      <w:rPr>
        <w:rStyle w:val="aa"/>
      </w:rPr>
      <w:instrText xml:space="preserve">PAGE  </w:instrText>
    </w:r>
    <w:r>
      <w:fldChar w:fldCharType="end"/>
    </w:r>
  </w:p>
  <w:p w:rsidR="003358F5" w:rsidRDefault="003358F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8F5" w:rsidRDefault="003358F5">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978" w:rsidRDefault="005A2978">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8F5" w:rsidRDefault="003358F5">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8F5" w:rsidRDefault="003358F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361" w:rsidRDefault="000D3361" w:rsidP="003358F5">
      <w:r>
        <w:separator/>
      </w:r>
    </w:p>
  </w:footnote>
  <w:footnote w:type="continuationSeparator" w:id="1">
    <w:p w:rsidR="000D3361" w:rsidRDefault="000D3361" w:rsidP="003358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8F5" w:rsidRDefault="003358F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978" w:rsidRDefault="005A297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978" w:rsidRDefault="005A297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3361"/>
    <w:rsid w:val="000D5066"/>
    <w:rsid w:val="000F6191"/>
    <w:rsid w:val="00130CE8"/>
    <w:rsid w:val="00152201"/>
    <w:rsid w:val="001665C8"/>
    <w:rsid w:val="00172A27"/>
    <w:rsid w:val="00176636"/>
    <w:rsid w:val="00183C84"/>
    <w:rsid w:val="001C05F9"/>
    <w:rsid w:val="001C5395"/>
    <w:rsid w:val="001F4301"/>
    <w:rsid w:val="00211F26"/>
    <w:rsid w:val="002263FC"/>
    <w:rsid w:val="00233F4B"/>
    <w:rsid w:val="002A3AE9"/>
    <w:rsid w:val="002C196E"/>
    <w:rsid w:val="002D296F"/>
    <w:rsid w:val="002D75D0"/>
    <w:rsid w:val="002E795C"/>
    <w:rsid w:val="00305714"/>
    <w:rsid w:val="00313E71"/>
    <w:rsid w:val="00321CB7"/>
    <w:rsid w:val="003358F5"/>
    <w:rsid w:val="003379A9"/>
    <w:rsid w:val="00350ADF"/>
    <w:rsid w:val="00355623"/>
    <w:rsid w:val="003A0419"/>
    <w:rsid w:val="003A2E84"/>
    <w:rsid w:val="003B36A7"/>
    <w:rsid w:val="003C4D3B"/>
    <w:rsid w:val="003E09EA"/>
    <w:rsid w:val="003F0AC3"/>
    <w:rsid w:val="00437FD4"/>
    <w:rsid w:val="00456251"/>
    <w:rsid w:val="0048400C"/>
    <w:rsid w:val="004B6EC0"/>
    <w:rsid w:val="004C1607"/>
    <w:rsid w:val="004C1BE1"/>
    <w:rsid w:val="005069D8"/>
    <w:rsid w:val="00530260"/>
    <w:rsid w:val="0056162E"/>
    <w:rsid w:val="00563B93"/>
    <w:rsid w:val="00567DB3"/>
    <w:rsid w:val="00575BEA"/>
    <w:rsid w:val="005A0A30"/>
    <w:rsid w:val="005A2978"/>
    <w:rsid w:val="005A2E64"/>
    <w:rsid w:val="005B3434"/>
    <w:rsid w:val="005C43B3"/>
    <w:rsid w:val="005E2884"/>
    <w:rsid w:val="005E5050"/>
    <w:rsid w:val="005F2C7B"/>
    <w:rsid w:val="005F4D04"/>
    <w:rsid w:val="005F7DA9"/>
    <w:rsid w:val="00600D03"/>
    <w:rsid w:val="006054F8"/>
    <w:rsid w:val="00643DA8"/>
    <w:rsid w:val="0065419A"/>
    <w:rsid w:val="00654220"/>
    <w:rsid w:val="00663B94"/>
    <w:rsid w:val="00677F66"/>
    <w:rsid w:val="006C7F31"/>
    <w:rsid w:val="006D510D"/>
    <w:rsid w:val="006E1D45"/>
    <w:rsid w:val="006E4E94"/>
    <w:rsid w:val="00713C3B"/>
    <w:rsid w:val="007211A0"/>
    <w:rsid w:val="00730BEE"/>
    <w:rsid w:val="0073101E"/>
    <w:rsid w:val="00735153"/>
    <w:rsid w:val="00745421"/>
    <w:rsid w:val="00782BA1"/>
    <w:rsid w:val="007976E9"/>
    <w:rsid w:val="007A4219"/>
    <w:rsid w:val="007E1A2D"/>
    <w:rsid w:val="0080200C"/>
    <w:rsid w:val="00814110"/>
    <w:rsid w:val="0082561A"/>
    <w:rsid w:val="00846B2E"/>
    <w:rsid w:val="00853290"/>
    <w:rsid w:val="00853A3D"/>
    <w:rsid w:val="0085663C"/>
    <w:rsid w:val="008646D6"/>
    <w:rsid w:val="008768AB"/>
    <w:rsid w:val="008926F7"/>
    <w:rsid w:val="008978EF"/>
    <w:rsid w:val="008A7510"/>
    <w:rsid w:val="008B4631"/>
    <w:rsid w:val="008C78BD"/>
    <w:rsid w:val="008F0FA3"/>
    <w:rsid w:val="008F3ADD"/>
    <w:rsid w:val="00900D90"/>
    <w:rsid w:val="00914E39"/>
    <w:rsid w:val="009354D6"/>
    <w:rsid w:val="00970A98"/>
    <w:rsid w:val="009C781F"/>
    <w:rsid w:val="009D5296"/>
    <w:rsid w:val="009E6170"/>
    <w:rsid w:val="00A14144"/>
    <w:rsid w:val="00A2700C"/>
    <w:rsid w:val="00A37451"/>
    <w:rsid w:val="00A4484F"/>
    <w:rsid w:val="00A76D4B"/>
    <w:rsid w:val="00A77C47"/>
    <w:rsid w:val="00A83F88"/>
    <w:rsid w:val="00A9119C"/>
    <w:rsid w:val="00A931DA"/>
    <w:rsid w:val="00AA4549"/>
    <w:rsid w:val="00AC0EA2"/>
    <w:rsid w:val="00AC5144"/>
    <w:rsid w:val="00B13014"/>
    <w:rsid w:val="00B17559"/>
    <w:rsid w:val="00B33B19"/>
    <w:rsid w:val="00B35C11"/>
    <w:rsid w:val="00B404E6"/>
    <w:rsid w:val="00B4360D"/>
    <w:rsid w:val="00B61EA9"/>
    <w:rsid w:val="00B670D1"/>
    <w:rsid w:val="00B74DCA"/>
    <w:rsid w:val="00B95E16"/>
    <w:rsid w:val="00BB524B"/>
    <w:rsid w:val="00BB5FC8"/>
    <w:rsid w:val="00BC02E0"/>
    <w:rsid w:val="00BC3903"/>
    <w:rsid w:val="00BE47E0"/>
    <w:rsid w:val="00BF75C8"/>
    <w:rsid w:val="00C1762E"/>
    <w:rsid w:val="00C22DF9"/>
    <w:rsid w:val="00C25123"/>
    <w:rsid w:val="00C30A48"/>
    <w:rsid w:val="00C375A7"/>
    <w:rsid w:val="00C62DF8"/>
    <w:rsid w:val="00C640FB"/>
    <w:rsid w:val="00CB054E"/>
    <w:rsid w:val="00CC52D7"/>
    <w:rsid w:val="00D23AB6"/>
    <w:rsid w:val="00D4126F"/>
    <w:rsid w:val="00D42895"/>
    <w:rsid w:val="00D44498"/>
    <w:rsid w:val="00D50309"/>
    <w:rsid w:val="00D51AA9"/>
    <w:rsid w:val="00D7264A"/>
    <w:rsid w:val="00D80AC7"/>
    <w:rsid w:val="00D84E43"/>
    <w:rsid w:val="00D870DF"/>
    <w:rsid w:val="00DA1BA5"/>
    <w:rsid w:val="00DB0C2F"/>
    <w:rsid w:val="00DB3BF6"/>
    <w:rsid w:val="00DC31CC"/>
    <w:rsid w:val="00DC728A"/>
    <w:rsid w:val="00DD2F3C"/>
    <w:rsid w:val="00DF0E67"/>
    <w:rsid w:val="00DF131D"/>
    <w:rsid w:val="00E1059D"/>
    <w:rsid w:val="00E155DF"/>
    <w:rsid w:val="00E16B0E"/>
    <w:rsid w:val="00E246E1"/>
    <w:rsid w:val="00E31B69"/>
    <w:rsid w:val="00E560F1"/>
    <w:rsid w:val="00E944FA"/>
    <w:rsid w:val="00E9797A"/>
    <w:rsid w:val="00EA7ABC"/>
    <w:rsid w:val="00EB2746"/>
    <w:rsid w:val="00EE0436"/>
    <w:rsid w:val="00EE2390"/>
    <w:rsid w:val="00EE3DB6"/>
    <w:rsid w:val="00EE3E29"/>
    <w:rsid w:val="00F1465C"/>
    <w:rsid w:val="00F3090F"/>
    <w:rsid w:val="00F41324"/>
    <w:rsid w:val="00F435BB"/>
    <w:rsid w:val="00F5599E"/>
    <w:rsid w:val="00F57C12"/>
    <w:rsid w:val="00F609FD"/>
    <w:rsid w:val="00F859AB"/>
    <w:rsid w:val="00F950D0"/>
    <w:rsid w:val="00FA2C26"/>
    <w:rsid w:val="00FB2792"/>
    <w:rsid w:val="00FD596C"/>
    <w:rsid w:val="030F2BA7"/>
    <w:rsid w:val="04240CEE"/>
    <w:rsid w:val="065551D3"/>
    <w:rsid w:val="06C37561"/>
    <w:rsid w:val="07B73E90"/>
    <w:rsid w:val="0A236A5A"/>
    <w:rsid w:val="0BA075C8"/>
    <w:rsid w:val="0CAB045E"/>
    <w:rsid w:val="10C60AB9"/>
    <w:rsid w:val="111D4539"/>
    <w:rsid w:val="129E7E42"/>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311FE8"/>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76B4A14"/>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8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358F5"/>
    <w:pPr>
      <w:jc w:val="left"/>
    </w:pPr>
  </w:style>
  <w:style w:type="paragraph" w:styleId="a4">
    <w:name w:val="Balloon Text"/>
    <w:basedOn w:val="a"/>
    <w:link w:val="Char0"/>
    <w:uiPriority w:val="99"/>
    <w:unhideWhenUsed/>
    <w:qFormat/>
    <w:rsid w:val="003358F5"/>
    <w:rPr>
      <w:sz w:val="18"/>
      <w:szCs w:val="18"/>
    </w:rPr>
  </w:style>
  <w:style w:type="paragraph" w:styleId="a5">
    <w:name w:val="footer"/>
    <w:basedOn w:val="a"/>
    <w:link w:val="Char1"/>
    <w:uiPriority w:val="99"/>
    <w:unhideWhenUsed/>
    <w:qFormat/>
    <w:rsid w:val="003358F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358F5"/>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3358F5"/>
    <w:pPr>
      <w:snapToGrid w:val="0"/>
      <w:jc w:val="left"/>
    </w:pPr>
    <w:rPr>
      <w:sz w:val="18"/>
    </w:rPr>
  </w:style>
  <w:style w:type="paragraph" w:styleId="a8">
    <w:name w:val="Normal (Web)"/>
    <w:basedOn w:val="a"/>
    <w:qFormat/>
    <w:rsid w:val="003358F5"/>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3358F5"/>
    <w:rPr>
      <w:b/>
      <w:bCs/>
    </w:rPr>
  </w:style>
  <w:style w:type="character" w:styleId="aa">
    <w:name w:val="page number"/>
    <w:basedOn w:val="a0"/>
    <w:uiPriority w:val="99"/>
    <w:unhideWhenUsed/>
    <w:qFormat/>
    <w:rsid w:val="003358F5"/>
  </w:style>
  <w:style w:type="character" w:styleId="ab">
    <w:name w:val="annotation reference"/>
    <w:uiPriority w:val="99"/>
    <w:unhideWhenUsed/>
    <w:qFormat/>
    <w:rsid w:val="003358F5"/>
    <w:rPr>
      <w:sz w:val="21"/>
      <w:szCs w:val="21"/>
    </w:rPr>
  </w:style>
  <w:style w:type="character" w:styleId="ac">
    <w:name w:val="footnote reference"/>
    <w:uiPriority w:val="99"/>
    <w:unhideWhenUsed/>
    <w:qFormat/>
    <w:rsid w:val="003358F5"/>
    <w:rPr>
      <w:vertAlign w:val="superscript"/>
    </w:rPr>
  </w:style>
  <w:style w:type="character" w:customStyle="1" w:styleId="Char0">
    <w:name w:val="批注框文本 Char"/>
    <w:link w:val="a4"/>
    <w:uiPriority w:val="99"/>
    <w:semiHidden/>
    <w:qFormat/>
    <w:rsid w:val="003358F5"/>
    <w:rPr>
      <w:kern w:val="2"/>
      <w:sz w:val="18"/>
      <w:szCs w:val="18"/>
    </w:rPr>
  </w:style>
  <w:style w:type="character" w:customStyle="1" w:styleId="Char2">
    <w:name w:val="页眉 Char"/>
    <w:link w:val="a6"/>
    <w:uiPriority w:val="99"/>
    <w:semiHidden/>
    <w:qFormat/>
    <w:locked/>
    <w:rsid w:val="003358F5"/>
    <w:rPr>
      <w:rFonts w:ascii="Times New Roman" w:hAnsi="Times New Roman" w:cs="Times New Roman" w:hint="default"/>
      <w:sz w:val="18"/>
      <w:szCs w:val="18"/>
    </w:rPr>
  </w:style>
  <w:style w:type="character" w:customStyle="1" w:styleId="Char3">
    <w:name w:val="批注主题 Char"/>
    <w:link w:val="a9"/>
    <w:uiPriority w:val="99"/>
    <w:semiHidden/>
    <w:qFormat/>
    <w:rsid w:val="003358F5"/>
    <w:rPr>
      <w:b/>
      <w:bCs/>
      <w:kern w:val="2"/>
      <w:sz w:val="21"/>
      <w:szCs w:val="22"/>
    </w:rPr>
  </w:style>
  <w:style w:type="character" w:customStyle="1" w:styleId="Char1">
    <w:name w:val="页脚 Char"/>
    <w:link w:val="a5"/>
    <w:uiPriority w:val="99"/>
    <w:semiHidden/>
    <w:qFormat/>
    <w:locked/>
    <w:rsid w:val="003358F5"/>
    <w:rPr>
      <w:rFonts w:ascii="Times New Roman" w:hAnsi="Times New Roman" w:cs="Times New Roman" w:hint="default"/>
      <w:sz w:val="18"/>
      <w:szCs w:val="18"/>
    </w:rPr>
  </w:style>
  <w:style w:type="character" w:customStyle="1" w:styleId="Char">
    <w:name w:val="批注文字 Char"/>
    <w:link w:val="a3"/>
    <w:uiPriority w:val="99"/>
    <w:qFormat/>
    <w:rsid w:val="003358F5"/>
    <w:rPr>
      <w:kern w:val="2"/>
      <w:sz w:val="21"/>
      <w:szCs w:val="22"/>
    </w:rPr>
  </w:style>
  <w:style w:type="paragraph" w:customStyle="1" w:styleId="zhongyaotishi">
    <w:name w:val="zhongyaotishi"/>
    <w:basedOn w:val="a"/>
    <w:qFormat/>
    <w:rsid w:val="003358F5"/>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358F5"/>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358F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358F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358F5"/>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358F5"/>
    <w:pPr>
      <w:widowControl w:val="0"/>
      <w:jc w:val="center"/>
    </w:pPr>
    <w:rPr>
      <w:kern w:val="2"/>
      <w:sz w:val="33"/>
      <w:szCs w:val="22"/>
    </w:rPr>
  </w:style>
  <w:style w:type="paragraph" w:customStyle="1" w:styleId="biaogeleft">
    <w:name w:val="biaoge_left"/>
    <w:basedOn w:val="a"/>
    <w:qFormat/>
    <w:rsid w:val="003358F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358F5"/>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358F5"/>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358F5"/>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358F5"/>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358F5"/>
    <w:pPr>
      <w:widowControl w:val="0"/>
    </w:pPr>
    <w:rPr>
      <w:kern w:val="2"/>
      <w:sz w:val="21"/>
      <w:szCs w:val="22"/>
    </w:rPr>
  </w:style>
  <w:style w:type="paragraph" w:customStyle="1" w:styleId="neirong">
    <w:name w:val="neirong"/>
    <w:basedOn w:val="a"/>
    <w:qFormat/>
    <w:rsid w:val="003358F5"/>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1013</Words>
  <Characters>5775</Characters>
  <Application>Microsoft Office Word</Application>
  <DocSecurity>0</DocSecurity>
  <Lines>48</Lines>
  <Paragraphs>13</Paragraphs>
  <ScaleCrop>false</ScaleCrop>
  <Company>微软中国</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58</cp:revision>
  <cp:lastPrinted>2019-09-11T00:56:00Z</cp:lastPrinted>
  <dcterms:created xsi:type="dcterms:W3CDTF">2020-12-16T03:30:00Z</dcterms:created>
  <dcterms:modified xsi:type="dcterms:W3CDTF">2021-03-30T02:16:00Z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E49DA2BFCFEF40A686B7F4D5DCC36EC9</vt:lpwstr>
  </property>
</Properties>
</file>