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4E4" w:rsidRDefault="00AA64E4">
      <w:pPr>
        <w:pStyle w:val="dazhangjie"/>
        <w:rPr>
          <w:b/>
          <w:bCs/>
          <w:color w:val="000000"/>
        </w:rPr>
      </w:pPr>
    </w:p>
    <w:p w:rsidR="00AA64E4" w:rsidRDefault="00AA64E4">
      <w:pPr>
        <w:pStyle w:val="dazhangjie"/>
        <w:rPr>
          <w:b/>
          <w:bCs/>
          <w:color w:val="000000"/>
        </w:rPr>
      </w:pPr>
    </w:p>
    <w:p w:rsidR="00AA64E4" w:rsidRDefault="00AA64E4">
      <w:pPr>
        <w:pStyle w:val="dazhangjie"/>
        <w:rPr>
          <w:b/>
          <w:bCs/>
          <w:color w:val="000000"/>
        </w:rPr>
      </w:pPr>
    </w:p>
    <w:p w:rsidR="00AA64E4" w:rsidRDefault="00EE32E0">
      <w:pPr>
        <w:pStyle w:val="dazhangjie"/>
        <w:spacing w:before="240" w:after="120"/>
        <w:rPr>
          <w:rFonts w:ascii="黑体" w:eastAsia="黑体" w:hAnsi="黑体"/>
          <w:b/>
          <w:bCs/>
          <w:sz w:val="36"/>
        </w:rPr>
      </w:pPr>
      <w:r>
        <w:rPr>
          <w:rFonts w:ascii="黑体" w:eastAsia="黑体" w:hAnsi="黑体" w:hint="eastAsia"/>
          <w:b/>
          <w:bCs/>
          <w:sz w:val="36"/>
        </w:rPr>
        <w:t>珠联璧合行稳半年定期开放净值型人民币理财产品</w:t>
      </w:r>
      <w:r>
        <w:rPr>
          <w:rFonts w:ascii="黑体" w:eastAsia="黑体" w:hAnsi="黑体" w:hint="eastAsia"/>
          <w:b/>
          <w:bCs/>
          <w:sz w:val="36"/>
        </w:rPr>
        <w:t>9M</w:t>
      </w:r>
    </w:p>
    <w:p w:rsidR="00AA64E4" w:rsidRDefault="00EE32E0">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AA64E4" w:rsidRDefault="00AA64E4">
      <w:pPr>
        <w:pStyle w:val="dazhangjie"/>
        <w:spacing w:before="240" w:after="120"/>
        <w:rPr>
          <w:rFonts w:ascii="黑体" w:eastAsia="黑体" w:hAnsi="黑体"/>
          <w:b/>
          <w:bCs/>
          <w:color w:val="000000"/>
          <w:sz w:val="36"/>
        </w:rPr>
      </w:pPr>
    </w:p>
    <w:p w:rsidR="00AA64E4" w:rsidRDefault="00AA64E4">
      <w:pPr>
        <w:pStyle w:val="dazhangjie"/>
        <w:spacing w:before="240" w:after="120"/>
        <w:rPr>
          <w:rFonts w:ascii="黑体" w:eastAsia="黑体" w:hAnsi="黑体"/>
          <w:b/>
          <w:bCs/>
          <w:color w:val="000000"/>
          <w:sz w:val="36"/>
        </w:rPr>
      </w:pPr>
    </w:p>
    <w:p w:rsidR="00AA64E4" w:rsidRDefault="00AA64E4">
      <w:pPr>
        <w:pStyle w:val="dazhangjie"/>
        <w:spacing w:before="240" w:after="120"/>
        <w:rPr>
          <w:rFonts w:ascii="黑体" w:eastAsia="黑体" w:hAnsi="黑体"/>
          <w:b/>
          <w:bCs/>
          <w:color w:val="000000"/>
          <w:sz w:val="36"/>
        </w:rPr>
      </w:pPr>
    </w:p>
    <w:p w:rsidR="00AA64E4" w:rsidRDefault="00AA64E4">
      <w:pPr>
        <w:pStyle w:val="dazhangjie"/>
        <w:spacing w:before="240" w:after="120"/>
        <w:rPr>
          <w:rFonts w:ascii="黑体" w:eastAsia="黑体" w:hAnsi="黑体"/>
          <w:b/>
          <w:bCs/>
          <w:color w:val="000000"/>
          <w:sz w:val="36"/>
        </w:rPr>
      </w:pPr>
    </w:p>
    <w:p w:rsidR="00AA64E4" w:rsidRDefault="00AA64E4">
      <w:pPr>
        <w:pStyle w:val="dazhangjie"/>
        <w:spacing w:before="240" w:after="120"/>
        <w:rPr>
          <w:rFonts w:ascii="黑体" w:eastAsia="黑体" w:hAnsi="黑体"/>
          <w:b/>
          <w:bCs/>
          <w:color w:val="000000"/>
          <w:sz w:val="36"/>
        </w:rPr>
      </w:pPr>
    </w:p>
    <w:p w:rsidR="00AA64E4" w:rsidRDefault="00AA64E4">
      <w:pPr>
        <w:pStyle w:val="dazhangjie"/>
        <w:spacing w:before="240" w:after="120"/>
        <w:rPr>
          <w:rFonts w:ascii="黑体" w:eastAsia="黑体" w:hAnsi="黑体"/>
          <w:b/>
          <w:bCs/>
          <w:color w:val="000000"/>
          <w:sz w:val="36"/>
        </w:rPr>
      </w:pPr>
    </w:p>
    <w:p w:rsidR="00AA64E4" w:rsidRDefault="00AA64E4">
      <w:pPr>
        <w:pStyle w:val="dazhangjie"/>
        <w:spacing w:before="240" w:after="120"/>
        <w:rPr>
          <w:rFonts w:ascii="黑体" w:eastAsia="黑体" w:hAnsi="黑体"/>
          <w:b/>
          <w:bCs/>
          <w:color w:val="000000"/>
          <w:sz w:val="36"/>
        </w:rPr>
      </w:pPr>
    </w:p>
    <w:p w:rsidR="00AA64E4" w:rsidRDefault="00AA64E4">
      <w:pPr>
        <w:pStyle w:val="dazhangjie"/>
        <w:spacing w:before="240" w:after="120"/>
        <w:rPr>
          <w:rFonts w:ascii="黑体" w:eastAsia="黑体" w:hAnsi="黑体"/>
          <w:b/>
          <w:bCs/>
          <w:color w:val="000000"/>
          <w:sz w:val="36"/>
        </w:rPr>
      </w:pPr>
    </w:p>
    <w:p w:rsidR="00AA64E4" w:rsidRDefault="00AA64E4">
      <w:pPr>
        <w:pStyle w:val="dazhangjie"/>
        <w:spacing w:before="240" w:after="120"/>
        <w:ind w:left="0"/>
        <w:jc w:val="both"/>
        <w:rPr>
          <w:rFonts w:ascii="黑体" w:eastAsia="黑体" w:hAnsi="黑体"/>
          <w:b/>
          <w:bCs/>
          <w:color w:val="000000"/>
          <w:sz w:val="36"/>
        </w:rPr>
      </w:pPr>
    </w:p>
    <w:p w:rsidR="00AA64E4" w:rsidRDefault="00EE32E0">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AA64E4" w:rsidRDefault="00EE32E0">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AA64E4" w:rsidRDefault="00AA64E4">
      <w:pPr>
        <w:widowControl/>
        <w:jc w:val="left"/>
        <w:rPr>
          <w:rFonts w:ascii="宋体" w:hAnsi="宋体" w:cs="宋体"/>
          <w:color w:val="000000"/>
          <w:kern w:val="0"/>
          <w:sz w:val="24"/>
          <w:szCs w:val="24"/>
        </w:rPr>
        <w:sectPr w:rsidR="00AA64E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AA64E4" w:rsidRDefault="00AA64E4">
      <w:pPr>
        <w:widowControl/>
        <w:jc w:val="left"/>
        <w:rPr>
          <w:rFonts w:ascii="宋体" w:hAnsi="宋体" w:cs="宋体"/>
          <w:color w:val="000000"/>
          <w:kern w:val="0"/>
          <w:sz w:val="24"/>
          <w:szCs w:val="24"/>
        </w:rPr>
      </w:pPr>
    </w:p>
    <w:p w:rsidR="00AA64E4" w:rsidRDefault="00EE32E0">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AA64E4" w:rsidRDefault="00AA64E4">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AA64E4">
        <w:tc>
          <w:tcPr>
            <w:tcW w:w="2811"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left"/>
              <w:wordWrap w:val="0"/>
              <w:rPr>
                <w:color w:val="000000"/>
              </w:rPr>
            </w:pPr>
            <w:r>
              <w:rPr>
                <w:rFonts w:hint="eastAsia"/>
              </w:rPr>
              <w:t>珠联璧合行稳半年定期开放净值型人民币理财产品</w:t>
            </w:r>
            <w:r>
              <w:rPr>
                <w:rFonts w:hint="eastAsia"/>
              </w:rPr>
              <w:t>9M</w:t>
            </w:r>
          </w:p>
        </w:tc>
      </w:tr>
      <w:tr w:rsidR="00AA64E4">
        <w:tc>
          <w:tcPr>
            <w:tcW w:w="2811"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left"/>
              <w:wordWrap w:val="0"/>
            </w:pPr>
            <w:r>
              <w:t>C1086918000016</w:t>
            </w:r>
            <w:r>
              <w:rPr>
                <w:rFonts w:hint="eastAsia"/>
              </w:rPr>
              <w:t>（投资者可依据该编码在中国理财网</w:t>
            </w:r>
            <w:r>
              <w:rPr>
                <w:rFonts w:hint="eastAsia"/>
              </w:rPr>
              <w:t>www.chinawealth.com.cn</w:t>
            </w:r>
            <w:r>
              <w:rPr>
                <w:rFonts w:hint="eastAsia"/>
              </w:rPr>
              <w:t>查询理财产品相关信息）</w:t>
            </w:r>
          </w:p>
        </w:tc>
      </w:tr>
      <w:tr w:rsidR="00AA64E4">
        <w:tc>
          <w:tcPr>
            <w:tcW w:w="2811"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left"/>
              <w:wordWrap w:val="0"/>
              <w:rPr>
                <w:color w:val="000000"/>
              </w:rPr>
            </w:pPr>
            <w:r>
              <w:rPr>
                <w:rFonts w:hint="eastAsia"/>
              </w:rPr>
              <w:t>开放式</w:t>
            </w:r>
            <w:r>
              <w:rPr>
                <w:rFonts w:hint="eastAsia"/>
              </w:rPr>
              <w:t>净值型</w:t>
            </w:r>
          </w:p>
        </w:tc>
      </w:tr>
      <w:tr w:rsidR="00AA64E4">
        <w:tc>
          <w:tcPr>
            <w:tcW w:w="2811" w:type="dxa"/>
            <w:tcBorders>
              <w:top w:val="single" w:sz="8" w:space="0" w:color="000000"/>
              <w:left w:val="single" w:sz="8" w:space="0" w:color="000000"/>
              <w:bottom w:val="single" w:sz="6" w:space="0" w:color="000000"/>
              <w:right w:val="single" w:sz="8" w:space="0" w:color="000000"/>
            </w:tcBorders>
            <w:vAlign w:val="center"/>
          </w:tcPr>
          <w:p w:rsidR="00AA64E4" w:rsidRDefault="009D74BF">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left"/>
              <w:wordWrap w:val="0"/>
              <w:rPr>
                <w:color w:val="000000"/>
              </w:rPr>
            </w:pPr>
            <w:r>
              <w:rPr>
                <w:rFonts w:hint="eastAsia"/>
              </w:rPr>
              <w:t>2018</w:t>
            </w:r>
            <w:r>
              <w:rPr>
                <w:rFonts w:hint="eastAsia"/>
              </w:rPr>
              <w:t>年</w:t>
            </w:r>
            <w:r>
              <w:rPr>
                <w:rFonts w:hint="eastAsia"/>
              </w:rPr>
              <w:t>09</w:t>
            </w:r>
            <w:r>
              <w:rPr>
                <w:rFonts w:hint="eastAsia"/>
              </w:rPr>
              <w:t>月</w:t>
            </w:r>
            <w:r>
              <w:rPr>
                <w:rFonts w:hint="eastAsia"/>
              </w:rPr>
              <w:t>13</w:t>
            </w:r>
            <w:r>
              <w:rPr>
                <w:rFonts w:hint="eastAsia"/>
              </w:rPr>
              <w:t>日</w:t>
            </w:r>
          </w:p>
        </w:tc>
      </w:tr>
      <w:tr w:rsidR="00AA64E4">
        <w:tc>
          <w:tcPr>
            <w:tcW w:w="2811"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left"/>
              <w:wordWrap w:val="0"/>
              <w:rPr>
                <w:color w:val="000000"/>
                <w:highlight w:val="yellow"/>
              </w:rPr>
            </w:pPr>
            <w:r>
              <w:rPr>
                <w:rFonts w:hint="eastAsia"/>
              </w:rPr>
              <w:t>1,928,551,192.00</w:t>
            </w:r>
            <w:r>
              <w:rPr>
                <w:rFonts w:hint="eastAsia"/>
              </w:rPr>
              <w:t>份</w:t>
            </w:r>
          </w:p>
        </w:tc>
      </w:tr>
      <w:tr w:rsidR="00AA64E4">
        <w:tc>
          <w:tcPr>
            <w:tcW w:w="2811"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left"/>
              <w:wordWrap w:val="0"/>
              <w:rPr>
                <w:color w:val="000000"/>
              </w:rPr>
            </w:pPr>
            <w:r>
              <w:rPr>
                <w:rFonts w:hint="eastAsia"/>
                <w:color w:val="000000"/>
              </w:rPr>
              <w:t>105.33%</w:t>
            </w:r>
          </w:p>
        </w:tc>
      </w:tr>
      <w:tr w:rsidR="00AA64E4">
        <w:tc>
          <w:tcPr>
            <w:tcW w:w="2811"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left"/>
              <w:wordWrap w:val="0"/>
              <w:rPr>
                <w:color w:val="000000"/>
              </w:rPr>
            </w:pPr>
            <w:r>
              <w:rPr>
                <w:rFonts w:hint="eastAsia"/>
                <w:color w:val="000000"/>
              </w:rPr>
              <w:t>-</w:t>
            </w:r>
          </w:p>
        </w:tc>
      </w:tr>
      <w:tr w:rsidR="00AA64E4">
        <w:tc>
          <w:tcPr>
            <w:tcW w:w="2811"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left"/>
              <w:wordWrap w:val="0"/>
              <w:rPr>
                <w:color w:val="000000"/>
              </w:rPr>
            </w:pPr>
            <w:r>
              <w:rPr>
                <w:rFonts w:hint="eastAsia"/>
              </w:rPr>
              <w:t>南京银行股份有限公司</w:t>
            </w:r>
          </w:p>
        </w:tc>
      </w:tr>
      <w:tr w:rsidR="00AA64E4">
        <w:tc>
          <w:tcPr>
            <w:tcW w:w="2811"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left"/>
              <w:wordWrap w:val="0"/>
              <w:rPr>
                <w:color w:val="000000"/>
              </w:rPr>
            </w:pPr>
            <w:r>
              <w:rPr>
                <w:rFonts w:hint="eastAsia"/>
              </w:rPr>
              <w:t>南京银行股份有限公司</w:t>
            </w:r>
          </w:p>
        </w:tc>
      </w:tr>
    </w:tbl>
    <w:p w:rsidR="00AA64E4" w:rsidRDefault="00AA64E4">
      <w:pPr>
        <w:widowControl/>
        <w:jc w:val="left"/>
        <w:rPr>
          <w:rFonts w:ascii="宋体" w:hAnsi="宋体" w:cs="宋体"/>
          <w:color w:val="000000"/>
          <w:kern w:val="0"/>
          <w:sz w:val="24"/>
          <w:szCs w:val="24"/>
        </w:rPr>
      </w:pPr>
    </w:p>
    <w:p w:rsidR="00AA64E4" w:rsidRDefault="00AA64E4">
      <w:pPr>
        <w:pStyle w:val="dazhangjie"/>
        <w:rPr>
          <w:rFonts w:hAnsi="Calibri"/>
          <w:b/>
          <w:color w:val="000000"/>
        </w:rPr>
      </w:pPr>
    </w:p>
    <w:p w:rsidR="00AA64E4" w:rsidRDefault="00EE32E0">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AA64E4" w:rsidRDefault="00AA64E4">
      <w:pPr>
        <w:widowControl/>
        <w:jc w:val="left"/>
        <w:rPr>
          <w:rFonts w:ascii="宋体" w:hAnsi="宋体" w:cs="宋体"/>
          <w:color w:val="000000"/>
          <w:kern w:val="0"/>
          <w:sz w:val="24"/>
          <w:szCs w:val="24"/>
        </w:rPr>
      </w:pPr>
    </w:p>
    <w:p w:rsidR="00AA64E4" w:rsidRDefault="00EE32E0">
      <w:pPr>
        <w:pStyle w:val="zhangjiep"/>
        <w:rPr>
          <w:color w:val="000000"/>
        </w:rPr>
      </w:pPr>
      <w:r>
        <w:rPr>
          <w:rFonts w:hint="eastAsia"/>
          <w:b/>
          <w:bCs/>
          <w:color w:val="000000"/>
        </w:rPr>
        <w:t xml:space="preserve">2.1 </w:t>
      </w:r>
      <w:r>
        <w:rPr>
          <w:rFonts w:hint="eastAsia"/>
          <w:b/>
          <w:bCs/>
          <w:color w:val="000000"/>
        </w:rPr>
        <w:t>主要财务指标</w:t>
      </w:r>
    </w:p>
    <w:p w:rsidR="00AA64E4" w:rsidRDefault="00EE32E0">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AA64E4">
        <w:tc>
          <w:tcPr>
            <w:tcW w:w="5220"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dazhangjie"/>
              <w:spacing w:before="240" w:after="120"/>
              <w:rPr>
                <w:color w:val="000000"/>
              </w:rPr>
            </w:pPr>
            <w:r>
              <w:t>报告期（</w:t>
            </w:r>
            <w:r>
              <w:t>2020</w:t>
            </w:r>
            <w:r>
              <w:t>年</w:t>
            </w:r>
            <w:r>
              <w:rPr>
                <w:rFonts w:hint="eastAsia"/>
              </w:rPr>
              <w:t>01</w:t>
            </w:r>
            <w:r>
              <w:t>月</w:t>
            </w:r>
            <w:r>
              <w:t>01</w:t>
            </w:r>
            <w:r>
              <w:t>日</w:t>
            </w:r>
            <w:r>
              <w:t xml:space="preserve"> - 2020</w:t>
            </w:r>
            <w:r>
              <w:t>年</w:t>
            </w:r>
            <w:r>
              <w:t>12</w:t>
            </w:r>
            <w:r>
              <w:t>月</w:t>
            </w:r>
            <w:r>
              <w:t>31</w:t>
            </w:r>
            <w:r>
              <w:t>日）</w:t>
            </w:r>
          </w:p>
        </w:tc>
      </w:tr>
      <w:tr w:rsidR="00AA64E4">
        <w:tc>
          <w:tcPr>
            <w:tcW w:w="5220"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right"/>
              <w:jc w:val="center"/>
              <w:rPr>
                <w:color w:val="000000"/>
                <w:highlight w:val="yellow"/>
              </w:rPr>
            </w:pPr>
            <w:r>
              <w:rPr>
                <w:rFonts w:hint="eastAsia"/>
              </w:rPr>
              <w:t>1,956,244,813.17</w:t>
            </w:r>
          </w:p>
        </w:tc>
      </w:tr>
      <w:tr w:rsidR="00AA64E4">
        <w:tc>
          <w:tcPr>
            <w:tcW w:w="5220"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right"/>
              <w:jc w:val="center"/>
              <w:rPr>
                <w:color w:val="000000"/>
                <w:highlight w:val="yellow"/>
              </w:rPr>
            </w:pPr>
            <w:r>
              <w:rPr>
                <w:rFonts w:hint="eastAsia"/>
              </w:rPr>
              <w:t>1.0144</w:t>
            </w:r>
          </w:p>
        </w:tc>
      </w:tr>
      <w:tr w:rsidR="00AA64E4">
        <w:tc>
          <w:tcPr>
            <w:tcW w:w="5220"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right"/>
              <w:jc w:val="center"/>
              <w:rPr>
                <w:color w:val="000000"/>
                <w:highlight w:val="yellow"/>
              </w:rPr>
            </w:pPr>
            <w:r>
              <w:rPr>
                <w:color w:val="000000"/>
              </w:rPr>
              <w:t>1.1365</w:t>
            </w:r>
          </w:p>
        </w:tc>
      </w:tr>
      <w:tr w:rsidR="00AA64E4">
        <w:tc>
          <w:tcPr>
            <w:tcW w:w="5220" w:type="dxa"/>
            <w:vAlign w:val="center"/>
          </w:tcPr>
          <w:p w:rsidR="00AA64E4" w:rsidRDefault="00AA64E4">
            <w:pPr>
              <w:widowControl/>
              <w:jc w:val="left"/>
              <w:rPr>
                <w:rFonts w:ascii="宋体" w:hAnsi="宋体" w:cs="宋体"/>
                <w:color w:val="000000"/>
                <w:kern w:val="0"/>
                <w:sz w:val="24"/>
                <w:szCs w:val="24"/>
              </w:rPr>
            </w:pPr>
          </w:p>
        </w:tc>
        <w:tc>
          <w:tcPr>
            <w:tcW w:w="3825" w:type="dxa"/>
            <w:vAlign w:val="center"/>
          </w:tcPr>
          <w:p w:rsidR="00AA64E4" w:rsidRDefault="00AA64E4">
            <w:pPr>
              <w:widowControl/>
              <w:jc w:val="left"/>
              <w:rPr>
                <w:color w:val="000000"/>
                <w:kern w:val="0"/>
                <w:sz w:val="20"/>
                <w:szCs w:val="20"/>
              </w:rPr>
            </w:pPr>
          </w:p>
        </w:tc>
      </w:tr>
    </w:tbl>
    <w:p w:rsidR="00AA64E4" w:rsidRDefault="00AA64E4">
      <w:pPr>
        <w:pStyle w:val="biaogeleft"/>
        <w:ind w:left="0"/>
        <w:rPr>
          <w:color w:val="000000"/>
        </w:rPr>
      </w:pPr>
    </w:p>
    <w:p w:rsidR="00AA64E4" w:rsidRDefault="00AA64E4">
      <w:pPr>
        <w:widowControl/>
        <w:jc w:val="left"/>
        <w:rPr>
          <w:rFonts w:ascii="宋体" w:hAnsi="宋体" w:cs="宋体"/>
          <w:color w:val="000000"/>
          <w:kern w:val="0"/>
          <w:sz w:val="24"/>
          <w:szCs w:val="24"/>
        </w:rPr>
      </w:pPr>
    </w:p>
    <w:p w:rsidR="00AA64E4" w:rsidRDefault="00EE32E0">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AA64E4" w:rsidRDefault="00EE32E0">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AA64E4" w:rsidRDefault="00EE32E0">
      <w:pPr>
        <w:spacing w:line="360" w:lineRule="auto"/>
        <w:ind w:firstLineChars="200" w:firstLine="480"/>
        <w:rPr>
          <w:rFonts w:asciiTheme="minorEastAsia" w:eastAsiaTheme="minorEastAsia" w:hAnsiTheme="minorEastAsia"/>
          <w:sz w:val="24"/>
          <w:szCs w:val="24"/>
        </w:rPr>
      </w:pPr>
      <w:bookmarkStart w:id="0" w:name="_Hlk62552692"/>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Theme="minorEastAsia" w:eastAsiaTheme="minorEastAsia" w:hAnsiTheme="minorEastAsia" w:hint="eastAsia"/>
          <w:sz w:val="24"/>
          <w:szCs w:val="24"/>
        </w:rPr>
        <w:t>6.8%</w:t>
      </w:r>
      <w:r>
        <w:rPr>
          <w:rFonts w:asciiTheme="minorEastAsia" w:eastAsiaTheme="minorEastAsia" w:hAnsiTheme="minorEastAsia" w:hint="eastAsia"/>
          <w:sz w:val="24"/>
          <w:szCs w:val="24"/>
        </w:rPr>
        <w:t>。二季度以来，全国疫情防控和复工复产取得明显成效，在宏观政策不断加大力度的背景下，国内经济呈全面复苏态势，并在世界主要经济体中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年国内生产总值</w:t>
      </w:r>
      <w:r>
        <w:rPr>
          <w:rFonts w:asciiTheme="minorEastAsia" w:eastAsiaTheme="minorEastAsia" w:hAnsiTheme="minorEastAsia" w:hint="eastAsia"/>
          <w:sz w:val="24"/>
          <w:szCs w:val="24"/>
        </w:rPr>
        <w:t>101.6</w:t>
      </w:r>
      <w:r>
        <w:rPr>
          <w:rFonts w:asciiTheme="minorEastAsia" w:eastAsiaTheme="minorEastAsia" w:hAnsiTheme="minorEastAsia" w:hint="eastAsia"/>
          <w:sz w:val="24"/>
          <w:szCs w:val="24"/>
        </w:rPr>
        <w:t>万亿元，同比增长</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3.8%</w:t>
      </w:r>
      <w:r>
        <w:rPr>
          <w:rFonts w:asciiTheme="minorEastAsia" w:eastAsiaTheme="minorEastAsia" w:hAnsiTheme="minorEastAsia" w:hint="eastAsia"/>
          <w:sz w:val="24"/>
          <w:szCs w:val="24"/>
        </w:rPr>
        <w:t>；全国规模以上工业增加值累计同比增长</w:t>
      </w:r>
      <w:r>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。全国固定资产投资累计同比</w:t>
      </w:r>
      <w:r>
        <w:rPr>
          <w:rFonts w:asciiTheme="minorEastAsia" w:eastAsiaTheme="minorEastAsia" w:hAnsiTheme="minorEastAsia" w:hint="eastAsia"/>
          <w:sz w:val="24"/>
          <w:szCs w:val="24"/>
        </w:rPr>
        <w:t>增长</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；社会消费品零售总额</w:t>
      </w:r>
      <w:r>
        <w:rPr>
          <w:rFonts w:asciiTheme="minorEastAsia" w:eastAsiaTheme="minorEastAsia" w:hAnsiTheme="minorEastAsia" w:hint="eastAsia"/>
          <w:sz w:val="24"/>
          <w:szCs w:val="24"/>
        </w:rPr>
        <w:t>391,981</w:t>
      </w:r>
      <w:r>
        <w:rPr>
          <w:rFonts w:asciiTheme="minorEastAsia" w:eastAsiaTheme="minorEastAsia" w:hAnsiTheme="minorEastAsia" w:hint="eastAsia"/>
          <w:sz w:val="24"/>
          <w:szCs w:val="24"/>
        </w:rPr>
        <w:t>亿元，比上年下降</w:t>
      </w:r>
      <w:r>
        <w:rPr>
          <w:rFonts w:asciiTheme="minorEastAsia" w:eastAsiaTheme="minorEastAsia" w:hAnsiTheme="minorEastAsia" w:hint="eastAsia"/>
          <w:sz w:val="24"/>
          <w:szCs w:val="24"/>
        </w:rPr>
        <w:t>3.9%</w:t>
      </w:r>
      <w:r>
        <w:rPr>
          <w:rFonts w:asciiTheme="minorEastAsia" w:eastAsiaTheme="minorEastAsia" w:hAnsiTheme="minorEastAsia" w:hint="eastAsia"/>
          <w:sz w:val="24"/>
          <w:szCs w:val="24"/>
        </w:rPr>
        <w:t>。在外需恢复与供给替代驱动下，</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年我国对外贸易实现正增长，同比增长</w:t>
      </w:r>
      <w:r>
        <w:rPr>
          <w:rFonts w:asciiTheme="minorEastAsia" w:eastAsiaTheme="minorEastAsia" w:hAnsiTheme="minorEastAsia" w:hint="eastAsia"/>
          <w:sz w:val="24"/>
          <w:szCs w:val="24"/>
        </w:rPr>
        <w:t>1.9%</w:t>
      </w:r>
      <w:r>
        <w:rPr>
          <w:rFonts w:asciiTheme="minorEastAsia" w:eastAsiaTheme="minorEastAsia" w:hAnsiTheme="minorEastAsia" w:hint="eastAsia"/>
          <w:sz w:val="24"/>
          <w:szCs w:val="24"/>
        </w:rPr>
        <w:t>，其中出口增长</w:t>
      </w:r>
      <w:r>
        <w:rPr>
          <w:rFonts w:asciiTheme="minorEastAsia" w:eastAsiaTheme="minorEastAsia" w:hAnsiTheme="minorEastAsia" w:hint="eastAsia"/>
          <w:sz w:val="24"/>
          <w:szCs w:val="24"/>
        </w:rPr>
        <w:t>4.0%</w:t>
      </w:r>
      <w:r>
        <w:rPr>
          <w:rFonts w:asciiTheme="minorEastAsia" w:eastAsiaTheme="minorEastAsia" w:hAnsiTheme="minorEastAsia" w:hint="eastAsia"/>
          <w:sz w:val="24"/>
          <w:szCs w:val="24"/>
        </w:rPr>
        <w:t>，进口下降</w:t>
      </w:r>
      <w:r>
        <w:rPr>
          <w:rFonts w:asciiTheme="minorEastAsia" w:eastAsiaTheme="minorEastAsia" w:hAnsiTheme="minorEastAsia" w:hint="eastAsia"/>
          <w:sz w:val="24"/>
          <w:szCs w:val="24"/>
        </w:rPr>
        <w:t>0.7%</w:t>
      </w:r>
      <w:r>
        <w:rPr>
          <w:rFonts w:asciiTheme="minorEastAsia" w:eastAsiaTheme="minorEastAsia" w:hAnsiTheme="minorEastAsia" w:hint="eastAsia"/>
          <w:sz w:val="24"/>
          <w:szCs w:val="24"/>
        </w:rPr>
        <w:t>。</w:t>
      </w:r>
    </w:p>
    <w:p w:rsidR="00AA64E4" w:rsidRDefault="00EE32E0">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月起，我国疫情防控逐步常态化，基本面预期企稳，市场风险偏好回升，同时央行货币政策边际收紧，叠加利率债供给放量等因素共振，推升市场益率走高。进入</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月，国企债券违约等信用风险事件导致债券市场出现普遍性调整，信用利差持续走阔。但</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月中央关于政策“不急转弯”的基调，明显提振市场情绪，加之央行连续超预期续作</w:t>
      </w:r>
      <w:r>
        <w:rPr>
          <w:rFonts w:asciiTheme="minorEastAsia" w:eastAsiaTheme="minorEastAsia" w:hAnsiTheme="minorEastAsia" w:hint="eastAsia"/>
          <w:sz w:val="24"/>
          <w:szCs w:val="24"/>
        </w:rPr>
        <w:t>MLF</w:t>
      </w:r>
      <w:r>
        <w:rPr>
          <w:rFonts w:asciiTheme="minorEastAsia" w:eastAsiaTheme="minorEastAsia" w:hAnsiTheme="minorEastAsia" w:hint="eastAsia"/>
          <w:sz w:val="24"/>
          <w:szCs w:val="24"/>
        </w:rPr>
        <w:t>，市场流动性充裕，信用事件冲击逐渐缓和，债市走强。整体来看，全年</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年期国债收益率</w:t>
      </w:r>
      <w:r>
        <w:rPr>
          <w:rFonts w:asciiTheme="minorEastAsia" w:eastAsiaTheme="minorEastAsia" w:hAnsiTheme="minorEastAsia" w:hint="eastAsia"/>
          <w:sz w:val="24"/>
          <w:szCs w:val="24"/>
        </w:rPr>
        <w:t>3.14%</w:t>
      </w:r>
      <w:r>
        <w:rPr>
          <w:rFonts w:asciiTheme="minorEastAsia" w:eastAsiaTheme="minorEastAsia" w:hAnsiTheme="minorEastAsia" w:hint="eastAsia"/>
          <w:sz w:val="24"/>
          <w:szCs w:val="24"/>
        </w:rPr>
        <w:t>，较上年末无变化；</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年期国开债收益率下行</w:t>
      </w:r>
      <w:r>
        <w:rPr>
          <w:rFonts w:asciiTheme="minorEastAsia" w:eastAsiaTheme="minorEastAsia" w:hAnsiTheme="minorEastAsia" w:hint="eastAsia"/>
          <w:sz w:val="24"/>
          <w:szCs w:val="24"/>
        </w:rPr>
        <w:t>4bp</w:t>
      </w:r>
      <w:r>
        <w:rPr>
          <w:rFonts w:asciiTheme="minorEastAsia" w:eastAsiaTheme="minorEastAsia" w:hAnsiTheme="minorEastAsia" w:hint="eastAsia"/>
          <w:sz w:val="24"/>
          <w:szCs w:val="24"/>
        </w:rPr>
        <w:t>至</w:t>
      </w:r>
      <w:r>
        <w:rPr>
          <w:rFonts w:asciiTheme="minorEastAsia" w:eastAsiaTheme="minorEastAsia" w:hAnsiTheme="minorEastAsia" w:hint="eastAsia"/>
          <w:sz w:val="24"/>
          <w:szCs w:val="24"/>
        </w:rPr>
        <w:t>3.53%</w:t>
      </w:r>
      <w:r>
        <w:rPr>
          <w:rFonts w:asciiTheme="minorEastAsia" w:eastAsiaTheme="minorEastAsia" w:hAnsiTheme="minorEastAsia" w:hint="eastAsia"/>
          <w:sz w:val="24"/>
          <w:szCs w:val="24"/>
        </w:rPr>
        <w:t>。</w:t>
      </w:r>
    </w:p>
    <w:p w:rsidR="00AA64E4" w:rsidRDefault="00EE32E0">
      <w:pPr>
        <w:spacing w:line="360" w:lineRule="auto"/>
        <w:ind w:firstLineChars="200" w:firstLine="480"/>
        <w:rPr>
          <w:rFonts w:asciiTheme="minorEastAsia" w:eastAsiaTheme="minorEastAsia" w:hAnsiTheme="minorEastAsia"/>
          <w:sz w:val="24"/>
          <w:szCs w:val="24"/>
        </w:rPr>
      </w:pPr>
      <w:bookmarkStart w:id="1" w:name="_Hlk62552736"/>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bookmarkEnd w:id="1"/>
    </w:p>
    <w:p w:rsidR="00AA64E4" w:rsidRDefault="00EE32E0">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行稳系列产品操作整体稳健，选择相对价值较优的城投信用债及非标资产作为主要底仓，充分利用杠杆与久期增厚收益；同时把握市场走势，在利率下行阶段实现资本利得收益。基于对后市的判断，目前市场流动性充裕，短期将合理运用杠杆套息策略；同时在严格控制风险的基</w:t>
      </w:r>
      <w:r>
        <w:rPr>
          <w:rFonts w:asciiTheme="minorEastAsia" w:eastAsiaTheme="minorEastAsia" w:hAnsiTheme="minorEastAsia" w:hint="eastAsia"/>
          <w:sz w:val="24"/>
          <w:szCs w:val="24"/>
        </w:rPr>
        <w:t>础上，精选绝对收益尚可的信用债增厚底仓收益。目前中长端利率品种相对价值较弱，产品久期将在稳健中性的基础上，在未来市场震荡调整中把握可能的波段交易机会。</w:t>
      </w:r>
      <w:bookmarkEnd w:id="0"/>
    </w:p>
    <w:p w:rsidR="00AA64E4" w:rsidRDefault="00EE32E0">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AA64E4" w:rsidRDefault="00EE32E0">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p>
    <w:p w:rsidR="00AA64E4" w:rsidRDefault="00EE32E0">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AA64E4" w:rsidRDefault="00EE32E0">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1.0144</w:t>
      </w:r>
      <w:r>
        <w:rPr>
          <w:rFonts w:hint="eastAsia"/>
          <w:color w:val="000000"/>
        </w:rPr>
        <w:t>元。</w:t>
      </w:r>
    </w:p>
    <w:p w:rsidR="00AA64E4" w:rsidRDefault="00AA64E4">
      <w:pPr>
        <w:widowControl/>
        <w:jc w:val="left"/>
        <w:rPr>
          <w:rFonts w:ascii="宋体" w:hAnsi="宋体" w:cs="宋体"/>
          <w:color w:val="000000"/>
          <w:kern w:val="0"/>
          <w:sz w:val="24"/>
          <w:szCs w:val="24"/>
        </w:rPr>
      </w:pPr>
    </w:p>
    <w:p w:rsidR="00AA64E4" w:rsidRDefault="00EE32E0">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AA64E4" w:rsidRDefault="00AA64E4">
      <w:pPr>
        <w:pStyle w:val="dazhangjie"/>
        <w:rPr>
          <w:rFonts w:hAnsi="Calibri"/>
          <w:b/>
          <w:color w:val="000000"/>
        </w:rPr>
      </w:pPr>
    </w:p>
    <w:p w:rsidR="00AA64E4" w:rsidRDefault="00EE32E0">
      <w:pPr>
        <w:pStyle w:val="a8"/>
        <w:rPr>
          <w:b/>
          <w:color w:val="000000"/>
        </w:rPr>
      </w:pPr>
      <w:bookmarkStart w:id="2" w:name="_Hlk65779940"/>
      <w:r>
        <w:rPr>
          <w:rFonts w:hint="eastAsia"/>
          <w:b/>
          <w:color w:val="000000"/>
        </w:rPr>
        <w:t>4.1</w:t>
      </w:r>
      <w:r>
        <w:rPr>
          <w:rFonts w:hint="eastAsia"/>
          <w:b/>
          <w:color w:val="000000"/>
        </w:rPr>
        <w:t>报告期内托管人遵规守信情况声明</w:t>
      </w:r>
    </w:p>
    <w:p w:rsidR="00AA64E4" w:rsidRDefault="00EE32E0">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AA64E4" w:rsidRDefault="00EE32E0">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AA64E4" w:rsidRDefault="00EE32E0">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AA64E4" w:rsidRDefault="00EE32E0">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3" w:name="_GoBack"/>
      <w:bookmarkEnd w:id="3"/>
      <w:r>
        <w:rPr>
          <w:rFonts w:cs="Times New Roman" w:hint="eastAsia"/>
          <w:b/>
          <w:color w:val="000000"/>
        </w:rPr>
        <w:t>年度报告中财务信息等内容的真实、准确和完整发表意见</w:t>
      </w:r>
    </w:p>
    <w:p w:rsidR="00AA64E4" w:rsidRDefault="00EE32E0">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w:t>
      </w:r>
      <w:r>
        <w:rPr>
          <w:rFonts w:hint="eastAsia"/>
        </w:rPr>
        <w:t>财务会计报告、投资组合报告等信息真实、准确、完整，未发现有损害产品持有人利益的行为。</w:t>
      </w:r>
      <w:bookmarkEnd w:id="2"/>
    </w:p>
    <w:p w:rsidR="00AA64E4" w:rsidRDefault="00AA64E4">
      <w:pPr>
        <w:pStyle w:val="biaogeleft"/>
        <w:spacing w:line="360" w:lineRule="auto"/>
        <w:ind w:firstLine="480"/>
        <w:rPr>
          <w:color w:val="000000"/>
        </w:rPr>
      </w:pPr>
    </w:p>
    <w:p w:rsidR="00AA64E4" w:rsidRDefault="00EE32E0">
      <w:pPr>
        <w:pStyle w:val="dazhangjie"/>
      </w:pPr>
      <w:bookmarkStart w:id="4"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4"/>
    </w:p>
    <w:p w:rsidR="00AA64E4" w:rsidRDefault="00AA64E4">
      <w:pPr>
        <w:widowControl/>
        <w:jc w:val="left"/>
        <w:rPr>
          <w:rFonts w:ascii="宋体" w:hAnsi="宋体" w:cs="宋体"/>
          <w:kern w:val="0"/>
          <w:sz w:val="24"/>
          <w:szCs w:val="24"/>
        </w:rPr>
      </w:pPr>
    </w:p>
    <w:p w:rsidR="00AA64E4" w:rsidRDefault="00EE32E0">
      <w:pPr>
        <w:pStyle w:val="zhangjiep"/>
      </w:pPr>
      <w:bookmarkStart w:id="5" w:name="_Toc61271615"/>
      <w:r>
        <w:rPr>
          <w:rFonts w:hint="eastAsia"/>
          <w:b/>
          <w:bCs/>
        </w:rPr>
        <w:t xml:space="preserve">5.1 </w:t>
      </w:r>
      <w:r>
        <w:rPr>
          <w:rFonts w:hint="eastAsia"/>
          <w:b/>
          <w:bCs/>
        </w:rPr>
        <w:t>资产负债表</w:t>
      </w:r>
      <w:bookmarkEnd w:id="5"/>
    </w:p>
    <w:p w:rsidR="00AA64E4" w:rsidRDefault="00EE32E0">
      <w:pPr>
        <w:pStyle w:val="biaogeleft"/>
      </w:pPr>
      <w:r>
        <w:rPr>
          <w:rFonts w:hint="eastAsia"/>
        </w:rPr>
        <w:t>会计主体：珠联璧合行稳半年定期开放净值型人民币理财产品</w:t>
      </w:r>
      <w:r>
        <w:rPr>
          <w:rFonts w:hint="eastAsia"/>
        </w:rPr>
        <w:t>9M</w:t>
      </w:r>
    </w:p>
    <w:p w:rsidR="00AA64E4" w:rsidRDefault="00EE32E0">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AA64E4" w:rsidRDefault="00EE32E0">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Ansi="Calibri" w:hint="eastAsia"/>
                <w:color w:val="000000"/>
              </w:rPr>
              <w:t>本期末</w:t>
            </w:r>
            <w:r>
              <w:rPr>
                <w:rFonts w:hAnsi="Calibri" w:hint="eastAsia"/>
                <w:color w:val="000000"/>
              </w:rPr>
              <w:t> </w:t>
            </w:r>
          </w:p>
          <w:p w:rsidR="00AA64E4" w:rsidRDefault="00EE32E0">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Ansi="Calibri" w:hint="eastAsia"/>
                <w:color w:val="000000"/>
              </w:rPr>
              <w:t>上年度末</w:t>
            </w:r>
            <w:r>
              <w:rPr>
                <w:rFonts w:hAnsi="Calibri" w:hint="eastAsia"/>
                <w:color w:val="000000"/>
              </w:rPr>
              <w:t> </w:t>
            </w:r>
          </w:p>
          <w:p w:rsidR="00AA64E4" w:rsidRDefault="00EE32E0">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b/>
                <w:bCs/>
              </w:rPr>
              <w:t>资</w:t>
            </w:r>
            <w:r>
              <w:rPr>
                <w:rFonts w:hint="eastAsia"/>
                <w:b/>
                <w:bCs/>
              </w:rPr>
              <w:t xml:space="preserve"> </w:t>
            </w:r>
            <w:r>
              <w:rPr>
                <w:rFonts w:hint="eastAsia"/>
                <w:b/>
                <w:bCs/>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AA64E4">
            <w:pPr>
              <w:rPr>
                <w:rFonts w:ascii="宋体" w:hAnsi="宋体" w:cs="宋体"/>
                <w:kern w:val="0"/>
                <w:sz w:val="24"/>
                <w:szCs w:val="24"/>
              </w:rPr>
            </w:pP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t>811,990.87</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1,124,772.30</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lastRenderedPageBreak/>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t>3.33</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1,981,370,760.00</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3,215,910,834.00</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ind w:left="750"/>
            </w:pPr>
            <w:r>
              <w:rPr>
                <w:rFonts w:hint="eastAsia"/>
              </w:rPr>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ind w:left="750"/>
            </w:pPr>
            <w:r>
              <w:rPr>
                <w:rFonts w:hint="eastAsia"/>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1,981,370,760.00</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3,215,910,834.00</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ind w:left="750"/>
            </w:pPr>
            <w:r>
              <w:rPr>
                <w:rFonts w:hint="eastAsia"/>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ind w:left="750"/>
            </w:pPr>
            <w:r>
              <w:rPr>
                <w:rFonts w:hint="eastAsia"/>
              </w:rPr>
              <w:t>贵金属投资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衍生金融资产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78,520,298.81</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91,135,713.28</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 </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递延所得税资产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2,060,703,053.01</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3,308,171,319.58</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int="eastAsia"/>
              </w:rPr>
              <w:t>本期末</w:t>
            </w:r>
            <w:r>
              <w:rPr>
                <w:rFonts w:hint="eastAsia"/>
              </w:rPr>
              <w:t> </w:t>
            </w:r>
          </w:p>
          <w:p w:rsidR="00AA64E4" w:rsidRDefault="00EE32E0">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int="eastAsia"/>
              </w:rPr>
              <w:t>上年度末</w:t>
            </w:r>
            <w:r>
              <w:rPr>
                <w:rFonts w:hint="eastAsia"/>
              </w:rPr>
              <w:t> </w:t>
            </w:r>
          </w:p>
          <w:p w:rsidR="00AA64E4" w:rsidRDefault="00EE32E0">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b/>
                <w:bCs/>
              </w:rPr>
              <w:t>负</w:t>
            </w:r>
            <w:r>
              <w:rPr>
                <w:rFonts w:hint="eastAsia"/>
                <w:b/>
                <w:bCs/>
              </w:rPr>
              <w:t xml:space="preserve"> </w:t>
            </w:r>
            <w:r>
              <w:rPr>
                <w:rFonts w:hint="eastAsia"/>
                <w:b/>
                <w:bCs/>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int="eastAsia"/>
              </w:rPr>
              <w:t> </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89,849,465.22</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102,935,605.60</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10,462,591.15</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2,892,942.08</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107,492.70</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192,862.88</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1,074,930.06</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1,928,628.80</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7,258.53</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3,375.57</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2,831,762.05</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1,436,365.49</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124,740.13</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51,949.64</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lastRenderedPageBreak/>
              <w:t>递延所得税负债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104,458,239.84</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109,441,730.06</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AA64E4">
            <w:pPr>
              <w:rPr>
                <w:rFonts w:ascii="宋体" w:hAnsi="宋体" w:cs="宋体"/>
                <w:kern w:val="0"/>
                <w:sz w:val="24"/>
                <w:szCs w:val="24"/>
              </w:rPr>
            </w:pP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1,928,551,192.00</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3,142,631,000.00</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27,693,621.17</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56,098,589.52</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1,956,244,813.17</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3,198,729,589.52</w:t>
            </w:r>
          </w:p>
        </w:tc>
      </w:tr>
      <w:tr w:rsidR="00AA64E4">
        <w:tc>
          <w:tcPr>
            <w:tcW w:w="260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2,060,703,053.01</w:t>
            </w:r>
          </w:p>
        </w:tc>
        <w:tc>
          <w:tcPr>
            <w:tcW w:w="2620"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3,308,171,319.58</w:t>
            </w:r>
          </w:p>
        </w:tc>
      </w:tr>
    </w:tbl>
    <w:p w:rsidR="00AA64E4" w:rsidRDefault="00AA64E4">
      <w:pPr>
        <w:widowControl/>
        <w:jc w:val="left"/>
        <w:rPr>
          <w:rFonts w:ascii="宋体" w:hAnsi="宋体" w:cs="宋体"/>
          <w:kern w:val="0"/>
          <w:sz w:val="24"/>
          <w:szCs w:val="24"/>
        </w:rPr>
      </w:pPr>
    </w:p>
    <w:p w:rsidR="00AA64E4" w:rsidRDefault="00EE32E0">
      <w:pPr>
        <w:pStyle w:val="zhangjiep"/>
      </w:pPr>
      <w:bookmarkStart w:id="6" w:name="_Toc61426160"/>
      <w:r>
        <w:rPr>
          <w:rFonts w:hint="eastAsia"/>
          <w:b/>
          <w:bCs/>
        </w:rPr>
        <w:t xml:space="preserve">5.2 </w:t>
      </w:r>
      <w:r>
        <w:rPr>
          <w:rFonts w:hint="eastAsia"/>
          <w:b/>
          <w:bCs/>
        </w:rPr>
        <w:t>利润表</w:t>
      </w:r>
      <w:bookmarkEnd w:id="6"/>
    </w:p>
    <w:p w:rsidR="00AA64E4" w:rsidRDefault="00EE32E0">
      <w:pPr>
        <w:pStyle w:val="biaogeleft"/>
      </w:pPr>
      <w:r>
        <w:rPr>
          <w:rFonts w:hint="eastAsia"/>
        </w:rPr>
        <w:t>会计主体：珠联璧合行稳半年定期开放净值型人民币理财产品</w:t>
      </w:r>
      <w:r>
        <w:rPr>
          <w:rFonts w:hint="eastAsia"/>
        </w:rPr>
        <w:t>9M</w:t>
      </w:r>
    </w:p>
    <w:p w:rsidR="00AA64E4" w:rsidRDefault="00EE32E0">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AA64E4" w:rsidRDefault="00EE32E0">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AA64E4">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AA64E4">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AA64E4" w:rsidRDefault="00AA64E4">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AA64E4" w:rsidRDefault="00AA64E4">
            <w:pPr>
              <w:widowControl/>
              <w:jc w:val="left"/>
              <w:rPr>
                <w:rFonts w:asciiTheme="minorEastAsia" w:eastAsiaTheme="minorEastAsia" w:hAnsiTheme="minorEastAsia" w:cs="宋体"/>
                <w:kern w:val="0"/>
                <w:sz w:val="24"/>
                <w:szCs w:val="24"/>
              </w:rPr>
            </w:pP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b/>
                <w:bCs/>
                <w:color w:val="000000"/>
              </w:rPr>
              <w:t>173,202,736.91</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186,509,283.07</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28,077.06</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186,078,915.19</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0.00</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402,290.82</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ascii="Arial" w:hAnsi="Arial" w:cs="Arial"/>
                <w:color w:val="000000"/>
              </w:rPr>
              <w:t xml:space="preserve">　</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6,678,779.54</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0.00</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0.00</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6,912,493.75</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0.00</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0.00</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0.00</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0.00</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0.00</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-233,714.21</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-19,985,325.70</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 xml:space="preserve">　</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0.00</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b/>
                <w:bCs/>
                <w:color w:val="000000"/>
              </w:rPr>
              <w:t>23,886,686.00</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9,327,454.31</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621,828.73</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6,218,303.34</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26,000.06</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6,977,681.31</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6,977,681.31</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678,218.25</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color w:val="000000"/>
              </w:rPr>
              <w:t>37,200.00</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b/>
                <w:bCs/>
                <w:color w:val="000000"/>
              </w:rPr>
              <w:t>149,316,050.91</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ascii="Arial" w:hAnsi="Arial" w:cs="Arial"/>
                <w:color w:val="000000"/>
              </w:rPr>
              <w:t xml:space="preserve">　</w:t>
            </w:r>
          </w:p>
        </w:tc>
      </w:tr>
      <w:tr w:rsidR="00AA64E4">
        <w:tc>
          <w:tcPr>
            <w:tcW w:w="2969" w:type="dxa"/>
            <w:tcBorders>
              <w:top w:val="single" w:sz="8" w:space="0" w:color="000000"/>
              <w:left w:val="single" w:sz="8" w:space="0" w:color="000000"/>
              <w:bottom w:val="single" w:sz="8" w:space="0" w:color="000000"/>
              <w:right w:val="single" w:sz="8" w:space="0" w:color="000000"/>
            </w:tcBorders>
            <w:vAlign w:val="center"/>
          </w:tcPr>
          <w:p w:rsidR="00AA64E4" w:rsidRDefault="00EE32E0">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rPr>
                <w:rFonts w:asciiTheme="minorEastAsia" w:eastAsiaTheme="minorEastAsia" w:hAnsiTheme="minorEastAsia"/>
              </w:rPr>
            </w:pPr>
            <w:r>
              <w:rPr>
                <w:rFonts w:cs="Arial" w:hint="eastAsia"/>
                <w:b/>
                <w:bCs/>
                <w:color w:val="000000"/>
              </w:rPr>
              <w:t>149,316,050.91</w:t>
            </w:r>
          </w:p>
        </w:tc>
      </w:tr>
    </w:tbl>
    <w:p w:rsidR="00AA64E4" w:rsidRDefault="00AA64E4">
      <w:pPr>
        <w:widowControl/>
        <w:jc w:val="left"/>
        <w:rPr>
          <w:rFonts w:ascii="宋体" w:hAnsi="宋体" w:cs="宋体"/>
          <w:kern w:val="0"/>
          <w:sz w:val="24"/>
          <w:szCs w:val="24"/>
        </w:rPr>
      </w:pPr>
    </w:p>
    <w:p w:rsidR="00AA64E4" w:rsidRDefault="00EE32E0">
      <w:pPr>
        <w:pStyle w:val="zhangjiep"/>
      </w:pPr>
      <w:bookmarkStart w:id="7" w:name="_Toc61426161"/>
      <w:r>
        <w:rPr>
          <w:rFonts w:hint="eastAsia"/>
          <w:b/>
          <w:bCs/>
        </w:rPr>
        <w:t xml:space="preserve">5.3 </w:t>
      </w:r>
      <w:r>
        <w:rPr>
          <w:rFonts w:hint="eastAsia"/>
          <w:b/>
          <w:bCs/>
        </w:rPr>
        <w:t>所有者权益（基金净值）变动表</w:t>
      </w:r>
      <w:bookmarkEnd w:id="7"/>
    </w:p>
    <w:p w:rsidR="00AA64E4" w:rsidRDefault="00EE32E0">
      <w:pPr>
        <w:pStyle w:val="biaogeleft"/>
      </w:pPr>
      <w:r>
        <w:rPr>
          <w:rFonts w:hint="eastAsia"/>
        </w:rPr>
        <w:t>会计主体：珠联璧合行稳半年定期开放净值型人民币理财产品</w:t>
      </w:r>
      <w:r>
        <w:rPr>
          <w:rFonts w:hint="eastAsia"/>
        </w:rPr>
        <w:t>9M</w:t>
      </w:r>
    </w:p>
    <w:p w:rsidR="00AA64E4" w:rsidRDefault="00EE32E0">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AA64E4" w:rsidRDefault="00EE32E0">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AA64E4">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int="eastAsia"/>
              </w:rPr>
              <w:t>本期</w:t>
            </w:r>
            <w:r>
              <w:rPr>
                <w:rFonts w:hint="eastAsia"/>
              </w:rPr>
              <w:t> </w:t>
            </w:r>
          </w:p>
          <w:p w:rsidR="00AA64E4" w:rsidRDefault="00EE32E0">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AA64E4">
        <w:tc>
          <w:tcPr>
            <w:tcW w:w="2116" w:type="dxa"/>
            <w:vMerge/>
            <w:tcBorders>
              <w:top w:val="single" w:sz="8" w:space="0" w:color="000000"/>
              <w:left w:val="single" w:sz="8" w:space="0" w:color="000000"/>
              <w:bottom w:val="single" w:sz="8" w:space="0" w:color="000000"/>
              <w:right w:val="single" w:sz="8" w:space="0" w:color="000000"/>
            </w:tcBorders>
            <w:vAlign w:val="center"/>
          </w:tcPr>
          <w:p w:rsidR="00AA64E4" w:rsidRDefault="00AA64E4">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int="eastAsia"/>
              </w:rPr>
              <w:t>所有者权益合计</w:t>
            </w:r>
            <w:r>
              <w:rPr>
                <w:rFonts w:hint="eastAsia"/>
              </w:rPr>
              <w:t> </w:t>
            </w:r>
          </w:p>
        </w:tc>
      </w:tr>
      <w:tr w:rsidR="00AA64E4">
        <w:tc>
          <w:tcPr>
            <w:tcW w:w="2116"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一、期初所有者权</w:t>
            </w:r>
            <w:r>
              <w:rPr>
                <w:rFonts w:hint="eastAsia"/>
              </w:rPr>
              <w:lastRenderedPageBreak/>
              <w:t>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lastRenderedPageBreak/>
              <w:t>3,142,631,000.00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56,098,589.52</w:t>
            </w:r>
          </w:p>
        </w:tc>
        <w:tc>
          <w:tcPr>
            <w:tcW w:w="2484"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3,198,729,589.52</w:t>
            </w:r>
          </w:p>
        </w:tc>
      </w:tr>
      <w:tr w:rsidR="00AA64E4">
        <w:tc>
          <w:tcPr>
            <w:tcW w:w="2116"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149,316,050.91</w:t>
            </w:r>
          </w:p>
        </w:tc>
        <w:tc>
          <w:tcPr>
            <w:tcW w:w="2484"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149,316,050.91</w:t>
            </w:r>
          </w:p>
        </w:tc>
      </w:tr>
      <w:tr w:rsidR="00AA64E4">
        <w:tc>
          <w:tcPr>
            <w:tcW w:w="2116"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-1,214,079,808.00</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-1,214,079,808.00</w:t>
            </w:r>
          </w:p>
        </w:tc>
      </w:tr>
      <w:tr w:rsidR="00AA64E4">
        <w:tc>
          <w:tcPr>
            <w:tcW w:w="2116"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1,606,848,000.00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1,606,848,000.00</w:t>
            </w:r>
          </w:p>
        </w:tc>
      </w:tr>
      <w:tr w:rsidR="00AA64E4">
        <w:tc>
          <w:tcPr>
            <w:tcW w:w="2116"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-2,820,927,808.00</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-2,820,927,808.00</w:t>
            </w:r>
          </w:p>
        </w:tc>
      </w:tr>
      <w:tr w:rsidR="00AA64E4">
        <w:tc>
          <w:tcPr>
            <w:tcW w:w="2116"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-177,721,019.26</w:t>
            </w:r>
          </w:p>
        </w:tc>
        <w:tc>
          <w:tcPr>
            <w:tcW w:w="2484"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-177,721,019.26</w:t>
            </w:r>
          </w:p>
        </w:tc>
      </w:tr>
      <w:tr w:rsidR="00AA64E4">
        <w:tc>
          <w:tcPr>
            <w:tcW w:w="2116"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1,928,551,192.00</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27,693,621.17</w:t>
            </w:r>
          </w:p>
        </w:tc>
        <w:tc>
          <w:tcPr>
            <w:tcW w:w="2484"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1,956,244,813.17</w:t>
            </w:r>
          </w:p>
        </w:tc>
      </w:tr>
      <w:tr w:rsidR="00AA64E4">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int="eastAsia"/>
              </w:rPr>
              <w:t>上年度可比期间</w:t>
            </w:r>
            <w:r>
              <w:rPr>
                <w:rFonts w:hint="eastAsia"/>
              </w:rPr>
              <w:t> </w:t>
            </w:r>
          </w:p>
          <w:p w:rsidR="00AA64E4" w:rsidRDefault="00EE32E0">
            <w:pPr>
              <w:pStyle w:val="biaogecenter"/>
              <w:wordWrap w:val="0"/>
            </w:pPr>
            <w:r>
              <w:rPr>
                <w:rFonts w:hint="eastAsia"/>
              </w:rPr>
              <w:t>2019</w:t>
            </w:r>
            <w:r>
              <w:rPr>
                <w:rFonts w:hint="eastAsia"/>
              </w:rPr>
              <w:t>年</w:t>
            </w:r>
            <w:r>
              <w:rPr>
                <w:rFonts w:hint="eastAsia"/>
              </w:rPr>
              <w:t>01</w:t>
            </w:r>
            <w:r>
              <w:rPr>
                <w:rFonts w:hint="eastAsia"/>
              </w:rPr>
              <w:t>月</w:t>
            </w:r>
            <w:r>
              <w:rPr>
                <w:rFonts w:hint="eastAsia"/>
              </w:rPr>
              <w:t>01</w:t>
            </w:r>
            <w:r>
              <w:rPr>
                <w:rFonts w:hint="eastAsia"/>
              </w:rPr>
              <w:t>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AA64E4">
        <w:tc>
          <w:tcPr>
            <w:tcW w:w="2116" w:type="dxa"/>
            <w:vMerge/>
            <w:tcBorders>
              <w:top w:val="single" w:sz="8" w:space="0" w:color="000000"/>
              <w:left w:val="single" w:sz="8" w:space="0" w:color="000000"/>
              <w:bottom w:val="single" w:sz="8" w:space="0" w:color="000000"/>
              <w:right w:val="single" w:sz="8" w:space="0" w:color="000000"/>
            </w:tcBorders>
            <w:vAlign w:val="center"/>
          </w:tcPr>
          <w:p w:rsidR="00AA64E4" w:rsidRDefault="00AA64E4">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pPr>
            <w:r>
              <w:rPr>
                <w:rFonts w:hint="eastAsia"/>
              </w:rPr>
              <w:t>所有者权益合计</w:t>
            </w:r>
            <w:r>
              <w:rPr>
                <w:rFonts w:hint="eastAsia"/>
              </w:rPr>
              <w:t> </w:t>
            </w:r>
          </w:p>
        </w:tc>
      </w:tr>
      <w:tr w:rsidR="00AA64E4">
        <w:tc>
          <w:tcPr>
            <w:tcW w:w="2116"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1,000,000,000.00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27,665,013.04</w:t>
            </w:r>
          </w:p>
        </w:tc>
        <w:tc>
          <w:tcPr>
            <w:tcW w:w="2484"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1,027,665,013.04</w:t>
            </w:r>
          </w:p>
        </w:tc>
      </w:tr>
      <w:tr w:rsidR="00AA64E4">
        <w:tc>
          <w:tcPr>
            <w:tcW w:w="2116"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118,591,593.41</w:t>
            </w:r>
          </w:p>
        </w:tc>
        <w:tc>
          <w:tcPr>
            <w:tcW w:w="2484"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118,591,593.41</w:t>
            </w:r>
          </w:p>
        </w:tc>
      </w:tr>
      <w:tr w:rsidR="00AA64E4">
        <w:tc>
          <w:tcPr>
            <w:tcW w:w="2116"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2,142,631,000.00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2,142,631,000.00</w:t>
            </w:r>
          </w:p>
        </w:tc>
      </w:tr>
      <w:tr w:rsidR="00AA64E4">
        <w:tc>
          <w:tcPr>
            <w:tcW w:w="2116"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其中：</w:t>
            </w:r>
            <w:r>
              <w:rPr>
                <w:rFonts w:hint="eastAsia"/>
              </w:rPr>
              <w:t>1.</w:t>
            </w:r>
            <w:r>
              <w:rPr>
                <w:rFonts w:hint="eastAsia"/>
              </w:rPr>
              <w:t>基金申购</w:t>
            </w:r>
            <w:r>
              <w:rPr>
                <w:rFonts w:hint="eastAsia"/>
              </w:rPr>
              <w:lastRenderedPageBreak/>
              <w:t>款</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lastRenderedPageBreak/>
              <w:t>2,500,000,000.00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2,500,000,000.00</w:t>
            </w:r>
          </w:p>
        </w:tc>
      </w:tr>
      <w:tr w:rsidR="00AA64E4">
        <w:tc>
          <w:tcPr>
            <w:tcW w:w="2116"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ind w:left="750"/>
            </w:pPr>
            <w:r>
              <w:rPr>
                <w:rFonts w:hint="eastAsia"/>
              </w:rPr>
              <w:lastRenderedPageBreak/>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-357,369,000.00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-357,369,000.00</w:t>
            </w:r>
          </w:p>
        </w:tc>
      </w:tr>
      <w:tr w:rsidR="00AA64E4">
        <w:tc>
          <w:tcPr>
            <w:tcW w:w="2116"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-90,158,016.93</w:t>
            </w:r>
          </w:p>
        </w:tc>
        <w:tc>
          <w:tcPr>
            <w:tcW w:w="2484"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-90,158,016.93</w:t>
            </w:r>
          </w:p>
        </w:tc>
      </w:tr>
      <w:tr w:rsidR="00AA64E4">
        <w:tc>
          <w:tcPr>
            <w:tcW w:w="2116"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3,142,631,000.00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56,098,589.52</w:t>
            </w:r>
          </w:p>
        </w:tc>
        <w:tc>
          <w:tcPr>
            <w:tcW w:w="2484"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wordWrap w:val="0"/>
            </w:pPr>
            <w:r>
              <w:rPr>
                <w:rFonts w:hint="eastAsia"/>
              </w:rPr>
              <w:t>3,198,729,589.52</w:t>
            </w:r>
          </w:p>
        </w:tc>
      </w:tr>
    </w:tbl>
    <w:p w:rsidR="00AA64E4" w:rsidRDefault="00AA64E4">
      <w:pPr>
        <w:widowControl/>
        <w:autoSpaceDE w:val="0"/>
        <w:autoSpaceDN w:val="0"/>
        <w:adjustRightInd w:val="0"/>
        <w:spacing w:line="288" w:lineRule="auto"/>
        <w:jc w:val="right"/>
        <w:rPr>
          <w:rFonts w:ascii="宋体" w:hAnsi="宋体" w:cs="宋体"/>
          <w:kern w:val="0"/>
          <w:sz w:val="24"/>
          <w:szCs w:val="24"/>
        </w:rPr>
      </w:pPr>
    </w:p>
    <w:p w:rsidR="00AA64E4" w:rsidRDefault="00AA64E4">
      <w:pPr>
        <w:pStyle w:val="biaogeleft"/>
        <w:spacing w:line="360" w:lineRule="auto"/>
        <w:ind w:firstLine="480"/>
        <w:rPr>
          <w:color w:val="000000"/>
        </w:rPr>
      </w:pPr>
    </w:p>
    <w:p w:rsidR="00AA64E4" w:rsidRDefault="00EE32E0">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AA64E4" w:rsidRDefault="00AA64E4">
      <w:pPr>
        <w:widowControl/>
        <w:jc w:val="left"/>
        <w:rPr>
          <w:rFonts w:ascii="宋体" w:hAnsi="宋体" w:cs="宋体"/>
          <w:color w:val="000000"/>
          <w:kern w:val="0"/>
          <w:sz w:val="24"/>
          <w:szCs w:val="24"/>
        </w:rPr>
      </w:pPr>
    </w:p>
    <w:p w:rsidR="00AA64E4" w:rsidRDefault="00EE32E0">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AA64E4">
        <w:tc>
          <w:tcPr>
            <w:tcW w:w="891" w:type="dxa"/>
            <w:tcBorders>
              <w:top w:val="single" w:sz="8" w:space="0" w:color="000000"/>
              <w:left w:val="single" w:sz="8" w:space="0" w:color="000000"/>
              <w:bottom w:val="single" w:sz="6" w:space="0" w:color="000000"/>
              <w:right w:val="single" w:sz="8" w:space="0" w:color="000000"/>
            </w:tcBorders>
            <w:vAlign w:val="bottom"/>
          </w:tcPr>
          <w:p w:rsidR="00AA64E4" w:rsidRDefault="00EE32E0">
            <w:pPr>
              <w:widowControl/>
              <w:jc w:val="center"/>
              <w:textAlignment w:val="bottom"/>
              <w:rPr>
                <w:color w:val="000000"/>
              </w:rPr>
            </w:pPr>
            <w:r>
              <w:rPr>
                <w:rFonts w:ascii="宋体" w:hAnsi="宋体" w:cs="宋体" w:hint="eastAsia"/>
                <w:color w:val="000000"/>
                <w:kern w:val="0"/>
                <w:sz w:val="24"/>
                <w:szCs w:val="24"/>
                <w:lang/>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AA64E4" w:rsidRDefault="00EE32E0">
            <w:pPr>
              <w:widowControl/>
              <w:jc w:val="center"/>
              <w:textAlignment w:val="bottom"/>
              <w:rPr>
                <w:color w:val="000000"/>
              </w:rPr>
            </w:pPr>
            <w:r>
              <w:rPr>
                <w:rFonts w:ascii="宋体" w:hAnsi="宋体" w:cs="宋体" w:hint="eastAsia"/>
                <w:color w:val="000000"/>
                <w:kern w:val="0"/>
                <w:sz w:val="24"/>
                <w:szCs w:val="24"/>
                <w:lang/>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AA64E4" w:rsidRDefault="00EE32E0">
            <w:pPr>
              <w:widowControl/>
              <w:jc w:val="center"/>
              <w:textAlignment w:val="bottom"/>
              <w:rPr>
                <w:color w:val="000000"/>
              </w:rPr>
            </w:pPr>
            <w:r>
              <w:rPr>
                <w:rFonts w:ascii="宋体" w:hAnsi="宋体" w:cs="宋体" w:hint="eastAsia"/>
                <w:color w:val="000000"/>
                <w:kern w:val="0"/>
                <w:sz w:val="24"/>
                <w:szCs w:val="24"/>
                <w:lang/>
              </w:rPr>
              <w:t>金额</w:t>
            </w:r>
            <w:r>
              <w:rPr>
                <w:rFonts w:ascii="宋体" w:hAnsi="宋体" w:cs="宋体" w:hint="eastAsia"/>
                <w:color w:val="000000"/>
                <w:kern w:val="0"/>
                <w:sz w:val="24"/>
                <w:szCs w:val="24"/>
                <w:lang/>
              </w:rPr>
              <w:t>(</w:t>
            </w:r>
            <w:r>
              <w:rPr>
                <w:rFonts w:ascii="宋体" w:hAnsi="宋体" w:cs="宋体" w:hint="eastAsia"/>
                <w:color w:val="000000"/>
                <w:kern w:val="0"/>
                <w:sz w:val="24"/>
                <w:szCs w:val="24"/>
                <w:lang/>
              </w:rPr>
              <w:t>元</w:t>
            </w:r>
            <w:r>
              <w:rPr>
                <w:rFonts w:ascii="宋体" w:hAnsi="宋体" w:cs="宋体" w:hint="eastAsia"/>
                <w:color w:val="000000"/>
                <w:kern w:val="0"/>
                <w:sz w:val="24"/>
                <w:szCs w:val="24"/>
                <w:lang/>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AA64E4" w:rsidRDefault="00EE32E0">
            <w:pPr>
              <w:widowControl/>
              <w:jc w:val="center"/>
              <w:textAlignment w:val="bottom"/>
              <w:rPr>
                <w:color w:val="000000"/>
              </w:rPr>
            </w:pPr>
            <w:r>
              <w:rPr>
                <w:rFonts w:ascii="宋体" w:hAnsi="宋体" w:cs="宋体" w:hint="eastAsia"/>
                <w:color w:val="000000"/>
                <w:kern w:val="0"/>
                <w:sz w:val="24"/>
                <w:szCs w:val="24"/>
                <w:lang/>
              </w:rPr>
              <w:t>占产品总资产的比例（</w:t>
            </w:r>
            <w:r>
              <w:rPr>
                <w:rFonts w:ascii="宋体" w:hAnsi="宋体" w:cs="宋体" w:hint="eastAsia"/>
                <w:color w:val="000000"/>
                <w:kern w:val="0"/>
                <w:sz w:val="24"/>
                <w:szCs w:val="24"/>
                <w:lang/>
              </w:rPr>
              <w:t>%</w:t>
            </w:r>
            <w:r>
              <w:rPr>
                <w:rFonts w:ascii="宋体" w:hAnsi="宋体" w:cs="宋体" w:hint="eastAsia"/>
                <w:color w:val="000000"/>
                <w:kern w:val="0"/>
                <w:sz w:val="24"/>
                <w:szCs w:val="24"/>
                <w:lang/>
              </w:rPr>
              <w:t>）</w:t>
            </w:r>
          </w:p>
        </w:tc>
      </w:tr>
      <w:tr w:rsidR="00AA64E4">
        <w:tc>
          <w:tcPr>
            <w:tcW w:w="89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AA64E4" w:rsidRDefault="00EE32E0">
            <w:pPr>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AA64E4" w:rsidRDefault="00EE32E0">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A64E4" w:rsidRDefault="00EE32E0">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AA64E4">
        <w:tc>
          <w:tcPr>
            <w:tcW w:w="89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AA64E4">
        <w:tc>
          <w:tcPr>
            <w:tcW w:w="89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1,981,370,760.00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96.15</w:t>
            </w:r>
          </w:p>
        </w:tc>
      </w:tr>
      <w:tr w:rsidR="00AA64E4">
        <w:tc>
          <w:tcPr>
            <w:tcW w:w="89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AA64E4">
        <w:tc>
          <w:tcPr>
            <w:tcW w:w="89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AA64E4">
        <w:tc>
          <w:tcPr>
            <w:tcW w:w="89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left"/>
              <w:textAlignment w:val="bottom"/>
              <w:rPr>
                <w:rFonts w:ascii="宋体" w:hAnsi="宋体" w:cs="宋体"/>
                <w:color w:val="000000"/>
                <w:kern w:val="0"/>
                <w:sz w:val="24"/>
                <w:szCs w:val="24"/>
                <w:lang/>
              </w:rPr>
            </w:pPr>
            <w:r>
              <w:rPr>
                <w:rFonts w:ascii="宋体" w:hAnsi="宋体" w:cs="宋体"/>
                <w:color w:val="000000"/>
                <w:kern w:val="0"/>
                <w:sz w:val="24"/>
                <w:szCs w:val="24"/>
                <w:lang/>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AA64E4">
        <w:tc>
          <w:tcPr>
            <w:tcW w:w="89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AA64E4">
        <w:tc>
          <w:tcPr>
            <w:tcW w:w="89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AA64E4">
        <w:tc>
          <w:tcPr>
            <w:tcW w:w="89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811,990.87</w:t>
            </w:r>
          </w:p>
        </w:tc>
        <w:tc>
          <w:tcPr>
            <w:tcW w:w="2395"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0.04</w:t>
            </w:r>
          </w:p>
        </w:tc>
      </w:tr>
      <w:tr w:rsidR="00AA64E4">
        <w:tc>
          <w:tcPr>
            <w:tcW w:w="89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3.33</w:t>
            </w:r>
          </w:p>
        </w:tc>
        <w:tc>
          <w:tcPr>
            <w:tcW w:w="2395"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AA64E4">
        <w:tc>
          <w:tcPr>
            <w:tcW w:w="89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78,520,298.81</w:t>
            </w:r>
          </w:p>
        </w:tc>
        <w:tc>
          <w:tcPr>
            <w:tcW w:w="2395"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3.81</w:t>
            </w:r>
          </w:p>
        </w:tc>
      </w:tr>
      <w:tr w:rsidR="00AA64E4">
        <w:tc>
          <w:tcPr>
            <w:tcW w:w="89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AA64E4">
        <w:tc>
          <w:tcPr>
            <w:tcW w:w="89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AA64E4">
        <w:tc>
          <w:tcPr>
            <w:tcW w:w="89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AA64E4">
        <w:tc>
          <w:tcPr>
            <w:tcW w:w="891" w:type="dxa"/>
            <w:tcBorders>
              <w:top w:val="single" w:sz="8" w:space="0" w:color="000000"/>
              <w:left w:val="single" w:sz="8" w:space="0" w:color="000000"/>
              <w:bottom w:val="single" w:sz="8" w:space="0" w:color="000000"/>
              <w:right w:val="single" w:sz="8" w:space="0" w:color="000000"/>
            </w:tcBorders>
            <w:vAlign w:val="center"/>
          </w:tcPr>
          <w:p w:rsidR="00AA64E4" w:rsidRDefault="00EE32E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AA64E4" w:rsidRDefault="00EE32E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AA64E4">
        <w:tc>
          <w:tcPr>
            <w:tcW w:w="891" w:type="dxa"/>
            <w:tcBorders>
              <w:top w:val="single" w:sz="8" w:space="0" w:color="000000"/>
              <w:left w:val="single" w:sz="8" w:space="0" w:color="000000"/>
              <w:bottom w:val="single" w:sz="8" w:space="0" w:color="000000"/>
              <w:right w:val="single" w:sz="8" w:space="0" w:color="000000"/>
            </w:tcBorders>
            <w:vAlign w:val="center"/>
          </w:tcPr>
          <w:p w:rsidR="00AA64E4" w:rsidRDefault="00EE32E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AA64E4" w:rsidRDefault="00EE32E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2,060,703,053.01</w:t>
            </w:r>
          </w:p>
        </w:tc>
        <w:tc>
          <w:tcPr>
            <w:tcW w:w="2395" w:type="dxa"/>
            <w:tcBorders>
              <w:top w:val="single" w:sz="8" w:space="0" w:color="000000"/>
              <w:left w:val="single" w:sz="8" w:space="0" w:color="000000"/>
              <w:bottom w:val="single" w:sz="8" w:space="0" w:color="000000"/>
              <w:right w:val="single" w:sz="8" w:space="0" w:color="000000"/>
            </w:tcBorders>
            <w:vAlign w:val="center"/>
          </w:tcPr>
          <w:p w:rsidR="00AA64E4" w:rsidRDefault="00EE32E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100.00</w:t>
            </w:r>
          </w:p>
        </w:tc>
      </w:tr>
    </w:tbl>
    <w:p w:rsidR="00AA64E4" w:rsidRDefault="00AA64E4">
      <w:pPr>
        <w:widowControl/>
        <w:jc w:val="left"/>
        <w:rPr>
          <w:rFonts w:ascii="宋体" w:hAnsi="宋体" w:cs="宋体"/>
          <w:color w:val="000000"/>
          <w:kern w:val="0"/>
          <w:sz w:val="24"/>
          <w:szCs w:val="24"/>
        </w:rPr>
      </w:pPr>
    </w:p>
    <w:p w:rsidR="00AA64E4" w:rsidRDefault="00EE32E0">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AA64E4">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AA64E4" w:rsidRDefault="00EE32E0">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AA64E4" w:rsidRDefault="00EE32E0">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AA64E4" w:rsidRDefault="00EE32E0">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AA64E4" w:rsidRDefault="00EE32E0">
            <w:pPr>
              <w:pStyle w:val="biaogecenter"/>
              <w:wordWrap w:val="0"/>
              <w:rPr>
                <w:color w:val="000000"/>
              </w:rPr>
            </w:pPr>
            <w:r>
              <w:rPr>
                <w:rFonts w:hint="eastAsia"/>
                <w:color w:val="000000"/>
              </w:rPr>
              <w:t>占产品资产净值比例（％）</w:t>
            </w:r>
          </w:p>
        </w:tc>
      </w:tr>
      <w:tr w:rsidR="00AA64E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A64E4" w:rsidRDefault="00EE32E0">
            <w:pPr>
              <w:pStyle w:val="biaogecenter"/>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A64E4" w:rsidRDefault="00EE32E0">
            <w:pPr>
              <w:pStyle w:val="biaogecenter"/>
              <w:wordWrap w:val="0"/>
              <w:jc w:val="left"/>
              <w:rPr>
                <w:color w:val="000000"/>
              </w:rPr>
            </w:pPr>
            <w:r>
              <w:rPr>
                <w:rFonts w:hint="eastAsia"/>
                <w:color w:val="000000"/>
              </w:rPr>
              <w:t>150076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left"/>
              <w:rPr>
                <w:color w:val="000000"/>
              </w:rPr>
            </w:pPr>
            <w:r>
              <w:rPr>
                <w:rFonts w:hint="eastAsia"/>
                <w:color w:val="000000"/>
              </w:rPr>
              <w:t>18</w:t>
            </w:r>
            <w:r>
              <w:rPr>
                <w:rFonts w:hint="eastAsia"/>
                <w:color w:val="000000"/>
              </w:rPr>
              <w:t>惠金债</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100,053,200.00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5.11%</w:t>
            </w:r>
          </w:p>
        </w:tc>
      </w:tr>
      <w:tr w:rsidR="00AA64E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A64E4" w:rsidRDefault="00EE32E0">
            <w:pPr>
              <w:pStyle w:val="biaogecenter"/>
              <w:wordWrap w:val="0"/>
            </w:pPr>
            <w:r>
              <w:rPr>
                <w:rFonts w:hint="eastAsia"/>
                <w:color w:val="000000"/>
              </w:rPr>
              <w:lastRenderedPageBreak/>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A64E4" w:rsidRDefault="00EE32E0">
            <w:pPr>
              <w:pStyle w:val="biaogecenter"/>
              <w:wordWrap w:val="0"/>
              <w:jc w:val="left"/>
              <w:rPr>
                <w:color w:val="000000"/>
              </w:rPr>
            </w:pPr>
            <w:r>
              <w:rPr>
                <w:rFonts w:hint="eastAsia"/>
                <w:color w:val="000000"/>
              </w:rPr>
              <w:t>101800172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left"/>
              <w:rPr>
                <w:color w:val="000000"/>
              </w:rPr>
            </w:pPr>
            <w:r>
              <w:rPr>
                <w:rFonts w:hint="eastAsia"/>
                <w:color w:val="000000"/>
              </w:rPr>
              <w:t>18</w:t>
            </w:r>
            <w:r>
              <w:rPr>
                <w:rFonts w:hint="eastAsia"/>
                <w:color w:val="000000"/>
              </w:rPr>
              <w:t>淮安开发</w:t>
            </w:r>
            <w:r>
              <w:rPr>
                <w:rFonts w:hint="eastAsia"/>
                <w:color w:val="000000"/>
              </w:rPr>
              <w:t>MTN003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90,458,460.00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4.62%</w:t>
            </w:r>
          </w:p>
        </w:tc>
      </w:tr>
      <w:tr w:rsidR="00AA64E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A64E4" w:rsidRDefault="00EE32E0">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A64E4" w:rsidRDefault="00EE32E0">
            <w:pPr>
              <w:pStyle w:val="biaogecenter"/>
              <w:wordWrap w:val="0"/>
              <w:jc w:val="left"/>
              <w:rPr>
                <w:color w:val="000000"/>
              </w:rPr>
            </w:pPr>
            <w:r>
              <w:rPr>
                <w:rFonts w:hint="eastAsia"/>
                <w:color w:val="000000"/>
              </w:rPr>
              <w:t>101901179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left"/>
              <w:rPr>
                <w:color w:val="000000"/>
              </w:rPr>
            </w:pPr>
            <w:r>
              <w:rPr>
                <w:rFonts w:hint="eastAsia"/>
                <w:color w:val="000000"/>
              </w:rPr>
              <w:t>19</w:t>
            </w:r>
            <w:r>
              <w:rPr>
                <w:rFonts w:hint="eastAsia"/>
                <w:color w:val="000000"/>
              </w:rPr>
              <w:t>润企投资</w:t>
            </w:r>
            <w:r>
              <w:rPr>
                <w:rFonts w:hint="eastAsia"/>
                <w:color w:val="000000"/>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51,300,100.00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2.62%</w:t>
            </w:r>
          </w:p>
        </w:tc>
      </w:tr>
      <w:tr w:rsidR="00AA64E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A64E4" w:rsidRDefault="00EE32E0">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A64E4" w:rsidRDefault="00EE32E0">
            <w:pPr>
              <w:pStyle w:val="biaogecenter"/>
              <w:wordWrap w:val="0"/>
              <w:jc w:val="left"/>
              <w:rPr>
                <w:color w:val="000000"/>
              </w:rPr>
            </w:pPr>
            <w:r>
              <w:rPr>
                <w:rFonts w:hint="eastAsia"/>
                <w:color w:val="000000"/>
              </w:rPr>
              <w:t>1980369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left"/>
              <w:rPr>
                <w:color w:val="000000"/>
              </w:rPr>
            </w:pPr>
            <w:r>
              <w:rPr>
                <w:rFonts w:hint="eastAsia"/>
                <w:color w:val="000000"/>
              </w:rPr>
              <w:t>19</w:t>
            </w:r>
            <w:r>
              <w:rPr>
                <w:rFonts w:hint="eastAsia"/>
                <w:color w:val="000000"/>
              </w:rPr>
              <w:t>新天地债</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51,174,350.00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2.62%</w:t>
            </w:r>
          </w:p>
        </w:tc>
      </w:tr>
      <w:tr w:rsidR="00AA64E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A64E4" w:rsidRDefault="00EE32E0">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A64E4" w:rsidRDefault="00EE32E0">
            <w:pPr>
              <w:pStyle w:val="biaogecenter"/>
              <w:wordWrap w:val="0"/>
              <w:jc w:val="left"/>
              <w:rPr>
                <w:color w:val="000000"/>
              </w:rPr>
            </w:pPr>
            <w:r>
              <w:rPr>
                <w:rFonts w:hint="eastAsia"/>
                <w:color w:val="000000"/>
              </w:rPr>
              <w:t>031900162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left"/>
              <w:rPr>
                <w:color w:val="000000"/>
              </w:rPr>
            </w:pPr>
            <w:r>
              <w:rPr>
                <w:rFonts w:hint="eastAsia"/>
                <w:color w:val="000000"/>
              </w:rPr>
              <w:t>19</w:t>
            </w:r>
            <w:r>
              <w:rPr>
                <w:rFonts w:hint="eastAsia"/>
                <w:color w:val="000000"/>
              </w:rPr>
              <w:t>安市淮阴</w:t>
            </w:r>
            <w:r>
              <w:rPr>
                <w:rFonts w:hint="eastAsia"/>
                <w:color w:val="000000"/>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50,727,700.00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2.59%</w:t>
            </w:r>
          </w:p>
        </w:tc>
      </w:tr>
      <w:tr w:rsidR="00AA64E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A64E4" w:rsidRDefault="00EE32E0">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A64E4" w:rsidRDefault="00EE32E0">
            <w:pPr>
              <w:pStyle w:val="biaogecenter"/>
              <w:wordWrap w:val="0"/>
              <w:jc w:val="left"/>
              <w:rPr>
                <w:color w:val="000000"/>
              </w:rPr>
            </w:pPr>
            <w:r>
              <w:rPr>
                <w:rFonts w:hint="eastAsia"/>
                <w:color w:val="000000"/>
              </w:rPr>
              <w:t>101800929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left"/>
              <w:rPr>
                <w:color w:val="000000"/>
              </w:rPr>
            </w:pPr>
            <w:r>
              <w:rPr>
                <w:rFonts w:hint="eastAsia"/>
                <w:color w:val="000000"/>
              </w:rPr>
              <w:t>18</w:t>
            </w:r>
            <w:r>
              <w:rPr>
                <w:rFonts w:hint="eastAsia"/>
                <w:color w:val="000000"/>
              </w:rPr>
              <w:t>高淳建设</w:t>
            </w:r>
            <w:r>
              <w:rPr>
                <w:rFonts w:hint="eastAsia"/>
                <w:color w:val="000000"/>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50,716,400.00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2.59%</w:t>
            </w:r>
          </w:p>
        </w:tc>
      </w:tr>
      <w:tr w:rsidR="00AA64E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A64E4" w:rsidRDefault="00EE32E0">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A64E4" w:rsidRDefault="00EE32E0">
            <w:pPr>
              <w:pStyle w:val="biaogecenter"/>
              <w:wordWrap w:val="0"/>
              <w:jc w:val="left"/>
              <w:rPr>
                <w:color w:val="000000"/>
              </w:rPr>
            </w:pPr>
            <w:r>
              <w:rPr>
                <w:rFonts w:hint="eastAsia"/>
                <w:color w:val="000000"/>
              </w:rPr>
              <w:t>162985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left"/>
              <w:rPr>
                <w:color w:val="000000"/>
              </w:rPr>
            </w:pPr>
            <w:r>
              <w:rPr>
                <w:rFonts w:hint="eastAsia"/>
                <w:color w:val="000000"/>
              </w:rPr>
              <w:t>20</w:t>
            </w:r>
            <w:r>
              <w:rPr>
                <w:rFonts w:hint="eastAsia"/>
                <w:color w:val="000000"/>
              </w:rPr>
              <w:t>句容</w:t>
            </w:r>
            <w:r>
              <w:rPr>
                <w:rFonts w:hint="eastAsia"/>
                <w:color w:val="000000"/>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50,670,950.00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2.59%</w:t>
            </w:r>
          </w:p>
        </w:tc>
      </w:tr>
      <w:tr w:rsidR="00AA64E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A64E4" w:rsidRDefault="00EE32E0">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A64E4" w:rsidRDefault="00EE32E0">
            <w:pPr>
              <w:pStyle w:val="biaogecenter"/>
              <w:wordWrap w:val="0"/>
              <w:jc w:val="left"/>
              <w:rPr>
                <w:color w:val="000000"/>
              </w:rPr>
            </w:pPr>
            <w:r>
              <w:rPr>
                <w:rFonts w:hint="eastAsia"/>
                <w:color w:val="000000"/>
              </w:rPr>
              <w:t>101800537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left"/>
              <w:rPr>
                <w:color w:val="000000"/>
              </w:rPr>
            </w:pPr>
            <w:r>
              <w:rPr>
                <w:rFonts w:hint="eastAsia"/>
                <w:color w:val="000000"/>
              </w:rPr>
              <w:t>18</w:t>
            </w:r>
            <w:r>
              <w:rPr>
                <w:rFonts w:hint="eastAsia"/>
                <w:color w:val="000000"/>
              </w:rPr>
              <w:t>盛裕投资</w:t>
            </w:r>
            <w:r>
              <w:rPr>
                <w:rFonts w:hint="eastAsia"/>
                <w:color w:val="000000"/>
              </w:rPr>
              <w:t>MTN002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50,445,750.00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2.58%</w:t>
            </w:r>
          </w:p>
        </w:tc>
      </w:tr>
      <w:tr w:rsidR="00AA64E4">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A64E4" w:rsidRDefault="00EE32E0">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A64E4" w:rsidRDefault="00EE32E0">
            <w:pPr>
              <w:pStyle w:val="biaogecenter"/>
              <w:wordWrap w:val="0"/>
              <w:jc w:val="left"/>
              <w:rPr>
                <w:color w:val="000000"/>
              </w:rPr>
            </w:pPr>
            <w:r>
              <w:rPr>
                <w:rFonts w:hint="eastAsia"/>
                <w:color w:val="000000"/>
              </w:rPr>
              <w:t>031800311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left"/>
              <w:rPr>
                <w:color w:val="000000"/>
              </w:rPr>
            </w:pPr>
            <w:r>
              <w:rPr>
                <w:rFonts w:hint="eastAsia"/>
                <w:color w:val="000000"/>
              </w:rPr>
              <w:t>18</w:t>
            </w:r>
            <w:r>
              <w:rPr>
                <w:rFonts w:hint="eastAsia"/>
                <w:color w:val="000000"/>
              </w:rPr>
              <w:t>溧水经开</w:t>
            </w:r>
            <w:r>
              <w:rPr>
                <w:rFonts w:hint="eastAsia"/>
                <w:color w:val="000000"/>
              </w:rPr>
              <w:t>PPN003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50,414,200.00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2.58%</w:t>
            </w:r>
          </w:p>
        </w:tc>
      </w:tr>
      <w:tr w:rsidR="00AA64E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A64E4" w:rsidRDefault="00EE32E0">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A64E4" w:rsidRDefault="00EE32E0">
            <w:pPr>
              <w:pStyle w:val="biaogecenter"/>
              <w:wordWrap w:val="0"/>
              <w:jc w:val="left"/>
              <w:rPr>
                <w:color w:val="000000"/>
              </w:rPr>
            </w:pPr>
            <w:r>
              <w:rPr>
                <w:rFonts w:hint="eastAsia"/>
                <w:color w:val="000000"/>
              </w:rPr>
              <w:t>102000262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left"/>
              <w:rPr>
                <w:color w:val="000000"/>
              </w:rPr>
            </w:pPr>
            <w:r>
              <w:rPr>
                <w:rFonts w:hint="eastAsia"/>
                <w:color w:val="000000"/>
              </w:rPr>
              <w:t>20</w:t>
            </w:r>
            <w:r>
              <w:rPr>
                <w:rFonts w:hint="eastAsia"/>
                <w:color w:val="000000"/>
              </w:rPr>
              <w:t>柯桥国资</w:t>
            </w:r>
            <w:r>
              <w:rPr>
                <w:rFonts w:hint="eastAsia"/>
                <w:color w:val="000000"/>
              </w:rPr>
              <w:t>(</w:t>
            </w:r>
            <w:r>
              <w:rPr>
                <w:rFonts w:hint="eastAsia"/>
                <w:color w:val="000000"/>
              </w:rPr>
              <w:t>疫情防控债</w:t>
            </w:r>
            <w:r>
              <w:rPr>
                <w:rFonts w:hint="eastAsia"/>
                <w:color w:val="000000"/>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50,312,600.00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A64E4" w:rsidRDefault="00EE32E0">
            <w:pPr>
              <w:pStyle w:val="biaogecenter"/>
              <w:wordWrap w:val="0"/>
              <w:jc w:val="right"/>
              <w:rPr>
                <w:color w:val="000000"/>
              </w:rPr>
            </w:pPr>
            <w:r>
              <w:rPr>
                <w:rFonts w:hint="eastAsia"/>
                <w:color w:val="000000"/>
              </w:rPr>
              <w:t>2.57%</w:t>
            </w:r>
          </w:p>
        </w:tc>
      </w:tr>
    </w:tbl>
    <w:p w:rsidR="00AA64E4" w:rsidRDefault="00AA64E4">
      <w:pPr>
        <w:widowControl/>
        <w:jc w:val="left"/>
        <w:rPr>
          <w:rFonts w:ascii="宋体" w:hAnsi="宋体" w:cs="宋体"/>
          <w:b/>
          <w:sz w:val="24"/>
          <w:szCs w:val="24"/>
          <w:shd w:val="clear" w:color="auto" w:fill="FFFFFF"/>
        </w:rPr>
      </w:pPr>
    </w:p>
    <w:p w:rsidR="00AA64E4" w:rsidRDefault="00EE32E0">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AA64E4" w:rsidRDefault="00AA64E4">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AA64E4">
        <w:tc>
          <w:tcPr>
            <w:tcW w:w="709"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AA64E4" w:rsidRDefault="00EE32E0">
            <w:pPr>
              <w:pStyle w:val="biaogecenter"/>
              <w:wordWrap w:val="0"/>
              <w:rPr>
                <w:shd w:val="clear" w:color="auto" w:fill="FFFFFF"/>
              </w:rPr>
            </w:pPr>
            <w:r>
              <w:rPr>
                <w:rFonts w:hint="eastAsia"/>
                <w:shd w:val="clear" w:color="auto" w:fill="FFFFFF"/>
              </w:rPr>
              <w:t>风险状况</w:t>
            </w:r>
          </w:p>
        </w:tc>
      </w:tr>
      <w:tr w:rsidR="00AA64E4">
        <w:tc>
          <w:tcPr>
            <w:tcW w:w="709"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center"/>
              <w:wordWrap w:val="0"/>
              <w:rPr>
                <w:shd w:val="clear" w:color="auto" w:fill="FFFFFF"/>
              </w:rPr>
            </w:pPr>
            <w:r>
              <w:rPr>
                <w:rFonts w:hint="eastAsia"/>
              </w:rPr>
              <w:t>-</w:t>
            </w:r>
          </w:p>
        </w:tc>
        <w:tc>
          <w:tcPr>
            <w:tcW w:w="1276"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jc w:val="center"/>
              <w:rPr>
                <w:shd w:val="clear" w:color="auto" w:fill="FFFFFF"/>
              </w:rPr>
            </w:pPr>
            <w:r>
              <w:rPr>
                <w:rFonts w:hint="eastAsia"/>
                <w:shd w:val="clear" w:color="auto" w:fill="FFFFFF"/>
              </w:rPr>
              <w:t>-</w:t>
            </w:r>
          </w:p>
        </w:tc>
        <w:tc>
          <w:tcPr>
            <w:tcW w:w="1701"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jc w:val="center"/>
              <w:rPr>
                <w:shd w:val="clear" w:color="auto" w:fill="FFFFFF"/>
              </w:rPr>
            </w:pPr>
            <w:r>
              <w:rPr>
                <w:rFonts w:hint="eastAsia"/>
                <w:shd w:val="clear" w:color="auto" w:fill="FFFFFF"/>
              </w:rPr>
              <w:t>-</w:t>
            </w:r>
          </w:p>
        </w:tc>
        <w:tc>
          <w:tcPr>
            <w:tcW w:w="1417"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jc w:val="center"/>
              <w:rPr>
                <w:shd w:val="clear" w:color="auto" w:fill="FFFFFF"/>
              </w:rPr>
            </w:pPr>
            <w:r>
              <w:rPr>
                <w:rFonts w:hint="eastAsia"/>
                <w:shd w:val="clear" w:color="auto" w:fill="FFFFFF"/>
              </w:rPr>
              <w:t>-</w:t>
            </w:r>
          </w:p>
        </w:tc>
        <w:tc>
          <w:tcPr>
            <w:tcW w:w="1701"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jc w:val="center"/>
              <w:rPr>
                <w:shd w:val="clear" w:color="auto" w:fill="FFFFFF"/>
              </w:rPr>
            </w:pPr>
            <w:r>
              <w:rPr>
                <w:rFonts w:hint="eastAsia"/>
                <w:shd w:val="clear" w:color="auto" w:fill="FFFFFF"/>
              </w:rPr>
              <w:t>-</w:t>
            </w:r>
          </w:p>
        </w:tc>
        <w:tc>
          <w:tcPr>
            <w:tcW w:w="1276"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jc w:val="center"/>
              <w:rPr>
                <w:shd w:val="clear" w:color="auto" w:fill="FFFFFF"/>
              </w:rPr>
            </w:pPr>
            <w:r>
              <w:rPr>
                <w:rFonts w:hint="eastAsia"/>
                <w:shd w:val="clear" w:color="auto" w:fill="FFFFFF"/>
              </w:rPr>
              <w:t>-</w:t>
            </w:r>
          </w:p>
        </w:tc>
        <w:tc>
          <w:tcPr>
            <w:tcW w:w="851" w:type="dxa"/>
            <w:tcBorders>
              <w:top w:val="single" w:sz="8" w:space="0" w:color="000000"/>
              <w:left w:val="single" w:sz="8" w:space="0" w:color="000000"/>
              <w:bottom w:val="single" w:sz="8" w:space="0" w:color="000000"/>
              <w:right w:val="single" w:sz="8" w:space="0" w:color="000000"/>
            </w:tcBorders>
            <w:vAlign w:val="center"/>
          </w:tcPr>
          <w:p w:rsidR="00AA64E4" w:rsidRDefault="00EE32E0">
            <w:pPr>
              <w:pStyle w:val="biaogeright"/>
              <w:jc w:val="center"/>
              <w:rPr>
                <w:shd w:val="clear" w:color="auto" w:fill="FFFFFF"/>
              </w:rPr>
            </w:pPr>
            <w:r>
              <w:rPr>
                <w:rFonts w:hint="eastAsia"/>
                <w:shd w:val="clear" w:color="auto" w:fill="FFFFFF"/>
              </w:rPr>
              <w:t>-</w:t>
            </w:r>
          </w:p>
        </w:tc>
      </w:tr>
    </w:tbl>
    <w:p w:rsidR="00AA64E4" w:rsidRDefault="00AA64E4">
      <w:pPr>
        <w:widowControl/>
        <w:jc w:val="left"/>
        <w:rPr>
          <w:rFonts w:ascii="宋体" w:hAnsi="宋体" w:cs="宋体"/>
          <w:color w:val="000000"/>
          <w:kern w:val="0"/>
          <w:sz w:val="24"/>
          <w:szCs w:val="24"/>
        </w:rPr>
      </w:pPr>
    </w:p>
    <w:p w:rsidR="00AA64E4" w:rsidRDefault="00AA64E4">
      <w:pPr>
        <w:widowControl/>
        <w:jc w:val="left"/>
        <w:rPr>
          <w:rFonts w:ascii="宋体" w:hAnsi="宋体" w:cs="宋体"/>
          <w:color w:val="000000"/>
          <w:kern w:val="0"/>
          <w:sz w:val="24"/>
          <w:szCs w:val="24"/>
        </w:rPr>
      </w:pPr>
    </w:p>
    <w:p w:rsidR="00AA64E4" w:rsidRDefault="00EE32E0">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AA64E4" w:rsidRDefault="00EE32E0">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AA64E4" w:rsidRDefault="00EE32E0">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20025920.00</w:t>
      </w:r>
      <w:r>
        <w:rPr>
          <w:rFonts w:ascii="宋体" w:hAnsi="宋体" w:cs="宋体" w:hint="eastAsia"/>
          <w:color w:val="000000"/>
          <w:kern w:val="0"/>
          <w:sz w:val="24"/>
          <w:szCs w:val="24"/>
        </w:rPr>
        <w:t>元。</w:t>
      </w:r>
    </w:p>
    <w:p w:rsidR="00AA64E4" w:rsidRDefault="00AA64E4">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AA64E4" w:rsidRDefault="00AA64E4">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AA64E4" w:rsidRDefault="00AA64E4">
      <w:pPr>
        <w:widowControl/>
        <w:jc w:val="left"/>
        <w:rPr>
          <w:rFonts w:ascii="宋体" w:hAnsi="宋体" w:cs="宋体"/>
          <w:color w:val="000000"/>
          <w:kern w:val="0"/>
          <w:sz w:val="24"/>
          <w:szCs w:val="24"/>
        </w:rPr>
      </w:pPr>
    </w:p>
    <w:p w:rsidR="00AA64E4" w:rsidRDefault="00AA64E4">
      <w:pPr>
        <w:widowControl/>
        <w:jc w:val="left"/>
        <w:rPr>
          <w:rFonts w:ascii="宋体" w:hAnsi="宋体" w:cs="宋体"/>
          <w:color w:val="000000"/>
          <w:kern w:val="0"/>
          <w:sz w:val="24"/>
          <w:szCs w:val="24"/>
        </w:rPr>
      </w:pPr>
    </w:p>
    <w:p w:rsidR="00AA64E4" w:rsidRDefault="00AA64E4">
      <w:pPr>
        <w:widowControl/>
        <w:jc w:val="left"/>
        <w:rPr>
          <w:rFonts w:ascii="宋体" w:hAnsi="宋体" w:cs="宋体"/>
          <w:color w:val="000000"/>
          <w:kern w:val="0"/>
          <w:sz w:val="24"/>
          <w:szCs w:val="24"/>
        </w:rPr>
      </w:pPr>
    </w:p>
    <w:p w:rsidR="00AA64E4" w:rsidRDefault="00AA64E4">
      <w:pPr>
        <w:widowControl/>
        <w:jc w:val="left"/>
        <w:rPr>
          <w:color w:val="000000"/>
        </w:rPr>
      </w:pPr>
    </w:p>
    <w:p w:rsidR="00AA64E4" w:rsidRDefault="00EE32E0">
      <w:pPr>
        <w:pStyle w:val="biaogeright"/>
        <w:rPr>
          <w:b/>
        </w:rPr>
      </w:pPr>
      <w:r>
        <w:rPr>
          <w:rFonts w:hint="eastAsia"/>
          <w:b/>
        </w:rPr>
        <w:t>南京银行股份有限公司</w:t>
      </w:r>
    </w:p>
    <w:p w:rsidR="00AA64E4" w:rsidRDefault="00EE32E0">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AA64E4" w:rsidRDefault="00AA64E4">
      <w:pPr>
        <w:pStyle w:val="biaogeright"/>
        <w:rPr>
          <w:color w:val="000000"/>
        </w:rPr>
      </w:pPr>
    </w:p>
    <w:sectPr w:rsidR="00AA64E4" w:rsidSect="00AA64E4">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2E0" w:rsidRDefault="00EE32E0" w:rsidP="00AA64E4">
      <w:r>
        <w:separator/>
      </w:r>
    </w:p>
  </w:endnote>
  <w:endnote w:type="continuationSeparator" w:id="1">
    <w:p w:rsidR="00EE32E0" w:rsidRDefault="00EE32E0" w:rsidP="00AA64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4E4" w:rsidRDefault="00AA64E4">
    <w:pPr>
      <w:pStyle w:val="a5"/>
      <w:framePr w:wrap="around" w:vAnchor="text" w:hAnchor="margin" w:xAlign="center" w:y="1"/>
      <w:rPr>
        <w:rStyle w:val="aa"/>
      </w:rPr>
    </w:pPr>
    <w:r>
      <w:fldChar w:fldCharType="begin"/>
    </w:r>
    <w:r w:rsidR="00EE32E0">
      <w:rPr>
        <w:rStyle w:val="aa"/>
      </w:rPr>
      <w:instrText xml:space="preserve">PAGE  </w:instrText>
    </w:r>
    <w:r>
      <w:fldChar w:fldCharType="end"/>
    </w:r>
  </w:p>
  <w:p w:rsidR="00AA64E4" w:rsidRDefault="00AA64E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4E4" w:rsidRDefault="00AA64E4">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4BF" w:rsidRDefault="009D74BF">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4E4" w:rsidRDefault="00AA64E4">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4E4" w:rsidRDefault="00AA64E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2E0" w:rsidRDefault="00EE32E0" w:rsidP="00AA64E4">
      <w:r>
        <w:separator/>
      </w:r>
    </w:p>
  </w:footnote>
  <w:footnote w:type="continuationSeparator" w:id="1">
    <w:p w:rsidR="00EE32E0" w:rsidRDefault="00EE32E0" w:rsidP="00AA64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4BF" w:rsidRDefault="009D74BF">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4BF" w:rsidRDefault="009D74BF">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4BF" w:rsidRDefault="009D74BF">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2C86"/>
    <w:rsid w:val="0005474A"/>
    <w:rsid w:val="00061725"/>
    <w:rsid w:val="00072777"/>
    <w:rsid w:val="000A3711"/>
    <w:rsid w:val="000D5066"/>
    <w:rsid w:val="000F1ACE"/>
    <w:rsid w:val="000F6191"/>
    <w:rsid w:val="00106F1F"/>
    <w:rsid w:val="00130CE8"/>
    <w:rsid w:val="00152201"/>
    <w:rsid w:val="00172A27"/>
    <w:rsid w:val="00176636"/>
    <w:rsid w:val="00183C84"/>
    <w:rsid w:val="001A1D67"/>
    <w:rsid w:val="001C05F9"/>
    <w:rsid w:val="001C5395"/>
    <w:rsid w:val="00211F26"/>
    <w:rsid w:val="002263FC"/>
    <w:rsid w:val="00257188"/>
    <w:rsid w:val="002A3AE9"/>
    <w:rsid w:val="002B083C"/>
    <w:rsid w:val="002C196E"/>
    <w:rsid w:val="002D296F"/>
    <w:rsid w:val="002D75D0"/>
    <w:rsid w:val="002E795C"/>
    <w:rsid w:val="00305714"/>
    <w:rsid w:val="00313E71"/>
    <w:rsid w:val="00321CB7"/>
    <w:rsid w:val="003379A9"/>
    <w:rsid w:val="00350ADF"/>
    <w:rsid w:val="00355623"/>
    <w:rsid w:val="003676E0"/>
    <w:rsid w:val="003A0419"/>
    <w:rsid w:val="003C4D3B"/>
    <w:rsid w:val="003E09EA"/>
    <w:rsid w:val="003F0AC3"/>
    <w:rsid w:val="00456251"/>
    <w:rsid w:val="004C1607"/>
    <w:rsid w:val="004C1BE1"/>
    <w:rsid w:val="005069D8"/>
    <w:rsid w:val="005178A5"/>
    <w:rsid w:val="0056162E"/>
    <w:rsid w:val="00563B93"/>
    <w:rsid w:val="00567DB3"/>
    <w:rsid w:val="00575BEA"/>
    <w:rsid w:val="00592B23"/>
    <w:rsid w:val="005B3434"/>
    <w:rsid w:val="005B3CE3"/>
    <w:rsid w:val="005E2884"/>
    <w:rsid w:val="005E5050"/>
    <w:rsid w:val="005F2C7B"/>
    <w:rsid w:val="005F4D04"/>
    <w:rsid w:val="005F7DA9"/>
    <w:rsid w:val="006054F8"/>
    <w:rsid w:val="00610DBB"/>
    <w:rsid w:val="0065419A"/>
    <w:rsid w:val="00654220"/>
    <w:rsid w:val="00663B94"/>
    <w:rsid w:val="00677F66"/>
    <w:rsid w:val="006A1CFE"/>
    <w:rsid w:val="006C7F31"/>
    <w:rsid w:val="006E4E94"/>
    <w:rsid w:val="00730BEE"/>
    <w:rsid w:val="0073101E"/>
    <w:rsid w:val="00731DB4"/>
    <w:rsid w:val="00735153"/>
    <w:rsid w:val="00745421"/>
    <w:rsid w:val="0075474D"/>
    <w:rsid w:val="007A0700"/>
    <w:rsid w:val="007A4219"/>
    <w:rsid w:val="0080200C"/>
    <w:rsid w:val="00813AEF"/>
    <w:rsid w:val="00814110"/>
    <w:rsid w:val="0082561A"/>
    <w:rsid w:val="00846B2E"/>
    <w:rsid w:val="00853290"/>
    <w:rsid w:val="0085663C"/>
    <w:rsid w:val="008768AB"/>
    <w:rsid w:val="008926F7"/>
    <w:rsid w:val="008A7510"/>
    <w:rsid w:val="008C78BD"/>
    <w:rsid w:val="008F0FA3"/>
    <w:rsid w:val="008F2062"/>
    <w:rsid w:val="00900D90"/>
    <w:rsid w:val="009125FB"/>
    <w:rsid w:val="009354D6"/>
    <w:rsid w:val="00957D1A"/>
    <w:rsid w:val="00970A98"/>
    <w:rsid w:val="009C0132"/>
    <w:rsid w:val="009C781F"/>
    <w:rsid w:val="009D5296"/>
    <w:rsid w:val="009D74BF"/>
    <w:rsid w:val="009E6170"/>
    <w:rsid w:val="00A37451"/>
    <w:rsid w:val="00A4484F"/>
    <w:rsid w:val="00A76D4B"/>
    <w:rsid w:val="00A77C47"/>
    <w:rsid w:val="00A84E0B"/>
    <w:rsid w:val="00A9119C"/>
    <w:rsid w:val="00AA4549"/>
    <w:rsid w:val="00AA64E4"/>
    <w:rsid w:val="00AC5144"/>
    <w:rsid w:val="00B13014"/>
    <w:rsid w:val="00B17559"/>
    <w:rsid w:val="00B33B19"/>
    <w:rsid w:val="00B404E6"/>
    <w:rsid w:val="00B4360D"/>
    <w:rsid w:val="00B46EA1"/>
    <w:rsid w:val="00B61EA9"/>
    <w:rsid w:val="00B670D1"/>
    <w:rsid w:val="00B74DCA"/>
    <w:rsid w:val="00B97A07"/>
    <w:rsid w:val="00BC02E0"/>
    <w:rsid w:val="00BC3903"/>
    <w:rsid w:val="00BE47E0"/>
    <w:rsid w:val="00BF75C8"/>
    <w:rsid w:val="00C1762E"/>
    <w:rsid w:val="00C22DF9"/>
    <w:rsid w:val="00C25123"/>
    <w:rsid w:val="00C30A48"/>
    <w:rsid w:val="00C375A7"/>
    <w:rsid w:val="00C62DF8"/>
    <w:rsid w:val="00C640FB"/>
    <w:rsid w:val="00CB054E"/>
    <w:rsid w:val="00CC4407"/>
    <w:rsid w:val="00CC52D7"/>
    <w:rsid w:val="00D0456F"/>
    <w:rsid w:val="00D23AB6"/>
    <w:rsid w:val="00D42895"/>
    <w:rsid w:val="00D50309"/>
    <w:rsid w:val="00D51AA9"/>
    <w:rsid w:val="00D7264A"/>
    <w:rsid w:val="00D84E43"/>
    <w:rsid w:val="00D870DF"/>
    <w:rsid w:val="00DB0C2F"/>
    <w:rsid w:val="00DB211C"/>
    <w:rsid w:val="00DB3BF6"/>
    <w:rsid w:val="00DC31CC"/>
    <w:rsid w:val="00DC728A"/>
    <w:rsid w:val="00DD2F3C"/>
    <w:rsid w:val="00E1059D"/>
    <w:rsid w:val="00E155DF"/>
    <w:rsid w:val="00E246E1"/>
    <w:rsid w:val="00E477D7"/>
    <w:rsid w:val="00E560F1"/>
    <w:rsid w:val="00E70220"/>
    <w:rsid w:val="00E944FA"/>
    <w:rsid w:val="00E9797A"/>
    <w:rsid w:val="00EA7ABC"/>
    <w:rsid w:val="00EB2746"/>
    <w:rsid w:val="00EC1630"/>
    <w:rsid w:val="00ED5611"/>
    <w:rsid w:val="00EE0436"/>
    <w:rsid w:val="00EE07A6"/>
    <w:rsid w:val="00EE32E0"/>
    <w:rsid w:val="00EF3A8C"/>
    <w:rsid w:val="00F1465C"/>
    <w:rsid w:val="00F41324"/>
    <w:rsid w:val="00F57C12"/>
    <w:rsid w:val="00F609FD"/>
    <w:rsid w:val="00F6702A"/>
    <w:rsid w:val="00F859AB"/>
    <w:rsid w:val="00F9348B"/>
    <w:rsid w:val="00F950D0"/>
    <w:rsid w:val="00FA2C26"/>
    <w:rsid w:val="00FC3410"/>
    <w:rsid w:val="00FC677D"/>
    <w:rsid w:val="030F2BA7"/>
    <w:rsid w:val="04240CEE"/>
    <w:rsid w:val="065551D3"/>
    <w:rsid w:val="06C37561"/>
    <w:rsid w:val="0A236A5A"/>
    <w:rsid w:val="0BA075C8"/>
    <w:rsid w:val="0CAB045E"/>
    <w:rsid w:val="10C60AB9"/>
    <w:rsid w:val="111D4539"/>
    <w:rsid w:val="13297F9C"/>
    <w:rsid w:val="134727C6"/>
    <w:rsid w:val="141A5102"/>
    <w:rsid w:val="14DF5B27"/>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4683BA2"/>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AEB1787"/>
    <w:rsid w:val="5BE61B5E"/>
    <w:rsid w:val="5CA05A23"/>
    <w:rsid w:val="5EC71EB3"/>
    <w:rsid w:val="5F066DA5"/>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9466AB"/>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4E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AA64E4"/>
    <w:pPr>
      <w:jc w:val="left"/>
    </w:pPr>
  </w:style>
  <w:style w:type="paragraph" w:styleId="a4">
    <w:name w:val="Balloon Text"/>
    <w:basedOn w:val="a"/>
    <w:link w:val="Char0"/>
    <w:uiPriority w:val="99"/>
    <w:unhideWhenUsed/>
    <w:qFormat/>
    <w:rsid w:val="00AA64E4"/>
    <w:rPr>
      <w:sz w:val="18"/>
      <w:szCs w:val="18"/>
    </w:rPr>
  </w:style>
  <w:style w:type="paragraph" w:styleId="a5">
    <w:name w:val="footer"/>
    <w:basedOn w:val="a"/>
    <w:link w:val="Char1"/>
    <w:uiPriority w:val="99"/>
    <w:unhideWhenUsed/>
    <w:qFormat/>
    <w:rsid w:val="00AA64E4"/>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AA64E4"/>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AA64E4"/>
    <w:pPr>
      <w:snapToGrid w:val="0"/>
      <w:jc w:val="left"/>
    </w:pPr>
    <w:rPr>
      <w:sz w:val="18"/>
    </w:rPr>
  </w:style>
  <w:style w:type="paragraph" w:styleId="a8">
    <w:name w:val="Normal (Web)"/>
    <w:basedOn w:val="a"/>
    <w:qFormat/>
    <w:rsid w:val="00AA64E4"/>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AA64E4"/>
    <w:rPr>
      <w:b/>
      <w:bCs/>
    </w:rPr>
  </w:style>
  <w:style w:type="character" w:styleId="aa">
    <w:name w:val="page number"/>
    <w:basedOn w:val="a0"/>
    <w:uiPriority w:val="99"/>
    <w:unhideWhenUsed/>
    <w:qFormat/>
    <w:rsid w:val="00AA64E4"/>
  </w:style>
  <w:style w:type="character" w:styleId="ab">
    <w:name w:val="annotation reference"/>
    <w:uiPriority w:val="99"/>
    <w:unhideWhenUsed/>
    <w:qFormat/>
    <w:rsid w:val="00AA64E4"/>
    <w:rPr>
      <w:sz w:val="21"/>
      <w:szCs w:val="21"/>
    </w:rPr>
  </w:style>
  <w:style w:type="character" w:styleId="ac">
    <w:name w:val="footnote reference"/>
    <w:uiPriority w:val="99"/>
    <w:unhideWhenUsed/>
    <w:qFormat/>
    <w:rsid w:val="00AA64E4"/>
    <w:rPr>
      <w:vertAlign w:val="superscript"/>
    </w:rPr>
  </w:style>
  <w:style w:type="character" w:customStyle="1" w:styleId="Char0">
    <w:name w:val="批注框文本 Char"/>
    <w:link w:val="a4"/>
    <w:uiPriority w:val="99"/>
    <w:semiHidden/>
    <w:qFormat/>
    <w:rsid w:val="00AA64E4"/>
    <w:rPr>
      <w:kern w:val="2"/>
      <w:sz w:val="18"/>
      <w:szCs w:val="18"/>
    </w:rPr>
  </w:style>
  <w:style w:type="character" w:customStyle="1" w:styleId="Char2">
    <w:name w:val="页眉 Char"/>
    <w:link w:val="a6"/>
    <w:uiPriority w:val="99"/>
    <w:semiHidden/>
    <w:qFormat/>
    <w:locked/>
    <w:rsid w:val="00AA64E4"/>
    <w:rPr>
      <w:rFonts w:ascii="Times New Roman" w:hAnsi="Times New Roman" w:cs="Times New Roman" w:hint="default"/>
      <w:sz w:val="18"/>
      <w:szCs w:val="18"/>
    </w:rPr>
  </w:style>
  <w:style w:type="character" w:customStyle="1" w:styleId="Char3">
    <w:name w:val="批注主题 Char"/>
    <w:link w:val="a9"/>
    <w:uiPriority w:val="99"/>
    <w:semiHidden/>
    <w:qFormat/>
    <w:rsid w:val="00AA64E4"/>
    <w:rPr>
      <w:b/>
      <w:bCs/>
      <w:kern w:val="2"/>
      <w:sz w:val="21"/>
      <w:szCs w:val="22"/>
    </w:rPr>
  </w:style>
  <w:style w:type="character" w:customStyle="1" w:styleId="Char1">
    <w:name w:val="页脚 Char"/>
    <w:link w:val="a5"/>
    <w:uiPriority w:val="99"/>
    <w:semiHidden/>
    <w:qFormat/>
    <w:locked/>
    <w:rsid w:val="00AA64E4"/>
    <w:rPr>
      <w:rFonts w:ascii="Times New Roman" w:hAnsi="Times New Roman" w:cs="Times New Roman" w:hint="default"/>
      <w:sz w:val="18"/>
      <w:szCs w:val="18"/>
    </w:rPr>
  </w:style>
  <w:style w:type="character" w:customStyle="1" w:styleId="Char">
    <w:name w:val="批注文字 Char"/>
    <w:link w:val="a3"/>
    <w:uiPriority w:val="99"/>
    <w:qFormat/>
    <w:rsid w:val="00AA64E4"/>
    <w:rPr>
      <w:kern w:val="2"/>
      <w:sz w:val="21"/>
      <w:szCs w:val="22"/>
    </w:rPr>
  </w:style>
  <w:style w:type="paragraph" w:customStyle="1" w:styleId="zhongyaotishi">
    <w:name w:val="zhongyaotishi"/>
    <w:basedOn w:val="a"/>
    <w:qFormat/>
    <w:rsid w:val="00AA64E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AA64E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AA64E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AA64E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AA64E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AA64E4"/>
    <w:pPr>
      <w:widowControl w:val="0"/>
      <w:jc w:val="center"/>
    </w:pPr>
    <w:rPr>
      <w:kern w:val="2"/>
      <w:sz w:val="33"/>
      <w:szCs w:val="22"/>
    </w:rPr>
  </w:style>
  <w:style w:type="paragraph" w:customStyle="1" w:styleId="biaogeleft">
    <w:name w:val="biaoge_left"/>
    <w:basedOn w:val="a"/>
    <w:qFormat/>
    <w:rsid w:val="00AA64E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AA64E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AA64E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AA64E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AA64E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AA64E4"/>
    <w:pPr>
      <w:widowControl w:val="0"/>
    </w:pPr>
    <w:rPr>
      <w:kern w:val="2"/>
      <w:sz w:val="21"/>
      <w:szCs w:val="22"/>
    </w:rPr>
  </w:style>
  <w:style w:type="paragraph" w:customStyle="1" w:styleId="neirong">
    <w:name w:val="neirong"/>
    <w:basedOn w:val="a"/>
    <w:qFormat/>
    <w:rsid w:val="00AA64E4"/>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10</Pages>
  <Words>942</Words>
  <Characters>5375</Characters>
  <Application>Microsoft Office Word</Application>
  <DocSecurity>0</DocSecurity>
  <Lines>44</Lines>
  <Paragraphs>12</Paragraphs>
  <ScaleCrop>false</ScaleCrop>
  <Company>微软中国</Company>
  <LinksUpToDate>false</LinksUpToDate>
  <CharactersWithSpaces>6305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30</cp:revision>
  <cp:lastPrinted>2019-09-11T00:56:00Z</cp:lastPrinted>
  <dcterms:created xsi:type="dcterms:W3CDTF">2020-12-16T03:30:00Z</dcterms:created>
  <dcterms:modified xsi:type="dcterms:W3CDTF">2021-03-30T02:15:00Z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7D4C74069B98463281F614AD1941AC8F</vt:lpwstr>
  </property>
</Properties>
</file>