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MQ6GH796A059GRYR8ZL0D7NZMOYYREU06WJDWXGPRTFWT60BJQC0CFYRTPB6RXUM6COL5ZI778INJQFFTKFFA89C0WMCB8OODRHB346E70D790E0A863A0C4BB1A18CF51537" Type="http://schemas.microsoft.com/office/2006/relationships/officeDocumentMain" Target="docProps/core.xml"/><Relationship Id="SKWMY6GP7RYA0TTG9GR8YL0J7NMMOXPR9S0XOJDWXGPRTE5TN0BR6CJAFSUTPDRRXNM69OZFZH078LNJQNFTQF8O8RZ0WOWBAOODPHB3B25A9E8877DFEABF42606DAE241970E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4F" w:rsidRDefault="001D7BC5">
      <w:pPr>
        <w:spacing w:line="0" w:lineRule="atLeast"/>
        <w:jc w:val="center"/>
        <w:rPr>
          <w:b/>
          <w:bCs/>
          <w:kern w:val="0"/>
          <w:sz w:val="24"/>
          <w:szCs w:val="24"/>
        </w:rPr>
      </w:pPr>
      <w:r>
        <w:rPr>
          <w:rFonts w:hint="eastAsia"/>
          <w:b/>
          <w:bCs/>
          <w:kern w:val="0"/>
          <w:sz w:val="24"/>
          <w:szCs w:val="24"/>
        </w:rPr>
        <w:t>理财产品风险揭示书</w:t>
      </w:r>
    </w:p>
    <w:p w:rsidR="0009194F" w:rsidRDefault="001D7BC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9194F" w:rsidRDefault="001D7BC5">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9194F" w:rsidRDefault="001D7BC5">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9194F" w:rsidRDefault="001D7BC5">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09194F" w:rsidRDefault="001D7BC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9194F" w:rsidRDefault="001D7BC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9194F" w:rsidRDefault="001D7BC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9194F" w:rsidRDefault="001D7BC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9194F" w:rsidRDefault="001D7BC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9194F" w:rsidRDefault="001D7BC5">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9194F" w:rsidRDefault="001D7BC5">
      <w:pPr>
        <w:pStyle w:val="Normalc1c9fa1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9194F" w:rsidRDefault="001D7BC5">
      <w:pPr>
        <w:spacing w:line="200" w:lineRule="exact"/>
      </w:pPr>
      <w:r>
        <w:rPr>
          <w:rFonts w:cs="宋体"/>
          <w:b/>
          <w:sz w:val="13"/>
          <w:szCs w:val="20"/>
        </w:rPr>
        <w:t xml:space="preserve">    1.</w:t>
      </w:r>
      <w:r>
        <w:rPr>
          <w:rFonts w:cs="宋体"/>
          <w:b/>
          <w:sz w:val="13"/>
          <w:szCs w:val="20"/>
        </w:rPr>
        <w:t>债券类资产投资风险</w:t>
      </w:r>
    </w:p>
    <w:p w:rsidR="0009194F" w:rsidRDefault="001D7BC5">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9194F" w:rsidRDefault="001D7BC5">
      <w:pPr>
        <w:spacing w:line="200" w:lineRule="exact"/>
      </w:pPr>
      <w:r>
        <w:rPr>
          <w:rFonts w:cs="宋体"/>
          <w:b/>
          <w:sz w:val="13"/>
          <w:szCs w:val="20"/>
        </w:rPr>
        <w:t xml:space="preserve">    2.</w:t>
      </w:r>
      <w:r>
        <w:rPr>
          <w:rFonts w:cs="宋体"/>
          <w:b/>
          <w:sz w:val="13"/>
          <w:szCs w:val="20"/>
        </w:rPr>
        <w:t>非标准化债权类资产投资风险</w:t>
      </w:r>
    </w:p>
    <w:p w:rsidR="0009194F" w:rsidRDefault="001D7BC5">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9194F" w:rsidRDefault="001D7BC5">
      <w:pPr>
        <w:spacing w:line="200" w:lineRule="exact"/>
      </w:pPr>
      <w:r>
        <w:rPr>
          <w:rFonts w:cs="宋体"/>
          <w:b/>
          <w:sz w:val="13"/>
          <w:szCs w:val="20"/>
        </w:rPr>
        <w:lastRenderedPageBreak/>
        <w:t xml:space="preserve">    3.</w:t>
      </w:r>
      <w:r>
        <w:rPr>
          <w:rFonts w:cs="宋体"/>
          <w:b/>
          <w:sz w:val="13"/>
          <w:szCs w:val="20"/>
        </w:rPr>
        <w:t>资产管理产品投资风险</w:t>
      </w:r>
    </w:p>
    <w:p w:rsidR="0009194F" w:rsidRDefault="001D7BC5">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9194F" w:rsidRDefault="001D7BC5">
      <w:pPr>
        <w:pStyle w:val="Normalc1c9fa1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09194F" w:rsidRDefault="001D7BC5">
      <w:pPr>
        <w:pStyle w:val="Normalc1c9fa1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09194F" w:rsidRDefault="001D7BC5">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09194F" w:rsidRDefault="001D7BC5">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9194F" w:rsidRDefault="001D7BC5">
      <w:pPr>
        <w:pStyle w:val="Normalc1c9fa1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9194F" w:rsidRDefault="001D7BC5">
      <w:pPr>
        <w:pStyle w:val="Normalc1c9fa1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9194F" w:rsidRDefault="001D7BC5">
      <w:pPr>
        <w:pStyle w:val="Normalc1c9fa1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9194F" w:rsidRDefault="001D7BC5">
      <w:pPr>
        <w:pStyle w:val="Normalc1c9fa1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9194F" w:rsidRDefault="0009194F">
      <w:pPr>
        <w:pStyle w:val="Normalc1c9fa13"/>
        <w:widowControl/>
        <w:spacing w:line="200" w:lineRule="exact"/>
        <w:ind w:firstLine="260"/>
        <w:rPr>
          <w:b/>
          <w:color w:val="3D3D3D"/>
          <w:kern w:val="0"/>
          <w:sz w:val="13"/>
          <w:szCs w:val="13"/>
        </w:rPr>
      </w:pPr>
    </w:p>
    <w:p w:rsidR="0009194F" w:rsidRDefault="001D7BC5">
      <w:pPr>
        <w:pStyle w:val="Normalc1c9fa1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9194F" w:rsidRDefault="0009194F">
      <w:pPr>
        <w:pStyle w:val="Normalc1c9fa13"/>
        <w:widowControl/>
        <w:spacing w:line="200" w:lineRule="exact"/>
        <w:ind w:firstLine="260"/>
        <w:jc w:val="center"/>
        <w:rPr>
          <w:b/>
          <w:color w:val="3D3D3D"/>
          <w:kern w:val="0"/>
          <w:sz w:val="15"/>
          <w:szCs w:val="15"/>
          <w:u w:val="single"/>
        </w:rPr>
      </w:pPr>
    </w:p>
    <w:p w:rsidR="0009194F" w:rsidRDefault="001D7BC5">
      <w:pPr>
        <w:pStyle w:val="Normalc1c9fa1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9194F" w:rsidRDefault="001D7BC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09194F" w:rsidRDefault="001D7BC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9194F" w:rsidRDefault="001D7BC5">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9194F" w:rsidRDefault="001D7BC5">
      <w:pPr>
        <w:widowControl/>
        <w:spacing w:line="200" w:lineRule="exact"/>
        <w:ind w:firstLine="210"/>
        <w:rPr>
          <w:color w:val="3D3D3D"/>
          <w:kern w:val="0"/>
          <w:sz w:val="15"/>
          <w:szCs w:val="15"/>
        </w:rPr>
      </w:pPr>
      <w:r>
        <w:rPr>
          <w:rFonts w:hint="eastAsia"/>
          <w:color w:val="3D3D3D"/>
          <w:kern w:val="0"/>
          <w:sz w:val="15"/>
          <w:szCs w:val="15"/>
        </w:rPr>
        <w:t xml:space="preserve">         </w:t>
      </w:r>
    </w:p>
    <w:p w:rsidR="0009194F" w:rsidRDefault="0009194F">
      <w:pPr>
        <w:widowControl/>
        <w:spacing w:line="200" w:lineRule="exact"/>
        <w:ind w:firstLine="210"/>
        <w:rPr>
          <w:color w:val="3D3D3D"/>
          <w:kern w:val="0"/>
          <w:sz w:val="15"/>
          <w:szCs w:val="15"/>
        </w:rPr>
      </w:pPr>
    </w:p>
    <w:p w:rsidR="0009194F" w:rsidRDefault="001D7BC5">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9194F" w:rsidRDefault="0009194F">
      <w:pPr>
        <w:widowControl/>
        <w:spacing w:line="200" w:lineRule="exact"/>
        <w:ind w:firstLine="210"/>
        <w:rPr>
          <w:color w:val="3D3D3D"/>
          <w:kern w:val="0"/>
          <w:sz w:val="13"/>
          <w:szCs w:val="13"/>
        </w:rPr>
      </w:pPr>
    </w:p>
    <w:p w:rsidR="0009194F" w:rsidRDefault="0009194F">
      <w:pPr>
        <w:widowControl/>
        <w:spacing w:line="200" w:lineRule="exact"/>
        <w:ind w:firstLine="210"/>
        <w:jc w:val="left"/>
        <w:rPr>
          <w:color w:val="3D3D3D"/>
          <w:kern w:val="0"/>
          <w:sz w:val="13"/>
          <w:szCs w:val="13"/>
        </w:rPr>
      </w:pPr>
    </w:p>
    <w:p w:rsidR="0009194F" w:rsidRDefault="0009194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09194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400" w:lineRule="exact"/>
              <w:jc w:val="center"/>
              <w:rPr>
                <w:b/>
                <w:sz w:val="15"/>
                <w:szCs w:val="15"/>
              </w:rPr>
            </w:pPr>
            <w:r>
              <w:rPr>
                <w:rFonts w:hint="eastAsia"/>
                <w:b/>
                <w:sz w:val="15"/>
                <w:szCs w:val="15"/>
              </w:rPr>
              <w:t>个人投资者</w:t>
            </w:r>
          </w:p>
        </w:tc>
      </w:tr>
      <w:tr w:rsidR="0009194F">
        <w:tc>
          <w:tcPr>
            <w:tcW w:w="9287" w:type="dxa"/>
            <w:tcBorders>
              <w:top w:val="single" w:sz="4" w:space="0" w:color="auto"/>
              <w:left w:val="single" w:sz="4" w:space="0" w:color="auto"/>
              <w:bottom w:val="single" w:sz="4" w:space="0" w:color="auto"/>
              <w:right w:val="single" w:sz="4" w:space="0" w:color="auto"/>
              <w:tl2br w:val="nil"/>
              <w:tr2bl w:val="nil"/>
            </w:tcBorders>
          </w:tcPr>
          <w:p w:rsidR="0009194F" w:rsidRDefault="001D7BC5">
            <w:pPr>
              <w:widowControl/>
              <w:spacing w:line="360" w:lineRule="auto"/>
              <w:rPr>
                <w:color w:val="3D3D3D"/>
                <w:kern w:val="0"/>
                <w:sz w:val="13"/>
                <w:szCs w:val="13"/>
              </w:rPr>
            </w:pPr>
            <w:r>
              <w:rPr>
                <w:rFonts w:hint="eastAsia"/>
                <w:sz w:val="15"/>
                <w:szCs w:val="15"/>
              </w:rPr>
              <w:t>签名：</w:t>
            </w:r>
          </w:p>
          <w:p w:rsidR="0009194F" w:rsidRDefault="001D7BC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9194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400" w:lineRule="exact"/>
              <w:jc w:val="center"/>
              <w:rPr>
                <w:sz w:val="15"/>
                <w:szCs w:val="15"/>
              </w:rPr>
            </w:pPr>
            <w:r>
              <w:rPr>
                <w:rFonts w:hint="eastAsia"/>
                <w:b/>
                <w:bCs/>
                <w:color w:val="3D3D3D"/>
                <w:kern w:val="0"/>
                <w:sz w:val="15"/>
                <w:szCs w:val="15"/>
              </w:rPr>
              <w:t>机构投资者</w:t>
            </w:r>
          </w:p>
        </w:tc>
      </w:tr>
      <w:tr w:rsidR="0009194F">
        <w:tc>
          <w:tcPr>
            <w:tcW w:w="9287" w:type="dxa"/>
            <w:tcBorders>
              <w:top w:val="single" w:sz="4" w:space="0" w:color="auto"/>
              <w:left w:val="single" w:sz="4" w:space="0" w:color="auto"/>
              <w:bottom w:val="single" w:sz="4" w:space="0" w:color="auto"/>
              <w:right w:val="single" w:sz="4" w:space="0" w:color="auto"/>
              <w:tl2br w:val="nil"/>
              <w:tr2bl w:val="nil"/>
            </w:tcBorders>
          </w:tcPr>
          <w:p w:rsidR="0009194F" w:rsidRDefault="0009194F">
            <w:pPr>
              <w:widowControl/>
              <w:spacing w:line="200" w:lineRule="exact"/>
              <w:jc w:val="left"/>
              <w:rPr>
                <w:b/>
                <w:bCs/>
                <w:color w:val="3D3D3D"/>
                <w:kern w:val="0"/>
                <w:sz w:val="15"/>
                <w:szCs w:val="15"/>
              </w:rPr>
            </w:pPr>
          </w:p>
          <w:p w:rsidR="0009194F" w:rsidRDefault="001D7BC5">
            <w:pPr>
              <w:widowControl/>
              <w:spacing w:line="200" w:lineRule="exact"/>
              <w:jc w:val="left"/>
              <w:rPr>
                <w:b/>
                <w:bCs/>
                <w:color w:val="3D3D3D"/>
                <w:kern w:val="0"/>
                <w:sz w:val="15"/>
                <w:szCs w:val="15"/>
              </w:rPr>
            </w:pPr>
            <w:r>
              <w:rPr>
                <w:rFonts w:hint="eastAsia"/>
                <w:b/>
                <w:bCs/>
                <w:color w:val="3D3D3D"/>
                <w:kern w:val="0"/>
                <w:sz w:val="15"/>
                <w:szCs w:val="15"/>
              </w:rPr>
              <w:t>盖章（公章）</w:t>
            </w:r>
          </w:p>
          <w:p w:rsidR="0009194F" w:rsidRDefault="0009194F">
            <w:pPr>
              <w:widowControl/>
              <w:spacing w:line="200" w:lineRule="exact"/>
              <w:jc w:val="left"/>
              <w:rPr>
                <w:b/>
                <w:bCs/>
                <w:color w:val="3D3D3D"/>
                <w:kern w:val="0"/>
                <w:sz w:val="15"/>
                <w:szCs w:val="15"/>
              </w:rPr>
            </w:pPr>
          </w:p>
          <w:p w:rsidR="0009194F" w:rsidRDefault="001D7BC5">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9194F" w:rsidRDefault="0009194F">
            <w:pPr>
              <w:widowControl/>
              <w:spacing w:line="200" w:lineRule="exact"/>
              <w:jc w:val="left"/>
              <w:rPr>
                <w:color w:val="3D3D3D"/>
                <w:kern w:val="0"/>
                <w:sz w:val="13"/>
                <w:szCs w:val="13"/>
              </w:rPr>
            </w:pPr>
          </w:p>
          <w:p w:rsidR="0009194F" w:rsidRDefault="001D7BC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9194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9194F">
        <w:tc>
          <w:tcPr>
            <w:tcW w:w="9287" w:type="dxa"/>
            <w:tcBorders>
              <w:top w:val="single" w:sz="4" w:space="0" w:color="auto"/>
              <w:left w:val="single" w:sz="4" w:space="0" w:color="auto"/>
              <w:bottom w:val="single" w:sz="4" w:space="0" w:color="auto"/>
              <w:right w:val="single" w:sz="4" w:space="0" w:color="auto"/>
              <w:tl2br w:val="nil"/>
              <w:tr2bl w:val="nil"/>
            </w:tcBorders>
          </w:tcPr>
          <w:p w:rsidR="0009194F" w:rsidRDefault="001D7BC5">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09194F" w:rsidRDefault="001D7BC5">
      <w:r>
        <w:br w:type="page"/>
      </w:r>
    </w:p>
    <w:p w:rsidR="0009194F" w:rsidRDefault="001D7BC5">
      <w:pPr>
        <w:pStyle w:val="Normala1053338"/>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09194F" w:rsidRDefault="001D7BC5">
      <w:pPr>
        <w:pStyle w:val="Normala105333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9194F" w:rsidRDefault="001D7BC5">
      <w:pPr>
        <w:pStyle w:val="NormalWeb2ce52ce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09194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南银理财鼎瑞安稳一年定开</w:t>
            </w:r>
            <w:r>
              <w:rPr>
                <w:rFonts w:hint="eastAsia"/>
                <w:kern w:val="0"/>
                <w:sz w:val="18"/>
                <w:szCs w:val="18"/>
              </w:rPr>
              <w:t>2025</w:t>
            </w:r>
            <w:r>
              <w:rPr>
                <w:rFonts w:hint="eastAsia"/>
                <w:kern w:val="0"/>
                <w:sz w:val="18"/>
                <w:szCs w:val="18"/>
              </w:rPr>
              <w:t>第</w:t>
            </w:r>
            <w:r>
              <w:rPr>
                <w:rFonts w:hint="eastAsia"/>
                <w:kern w:val="0"/>
                <w:sz w:val="18"/>
                <w:szCs w:val="18"/>
              </w:rPr>
              <w:t>2</w:t>
            </w:r>
            <w:r>
              <w:rPr>
                <w:rFonts w:hint="eastAsia"/>
                <w:kern w:val="0"/>
                <w:sz w:val="18"/>
                <w:szCs w:val="18"/>
              </w:rPr>
              <w:t>期公募人民币理财产品</w:t>
            </w:r>
          </w:p>
        </w:tc>
      </w:tr>
      <w:tr w:rsidR="0009194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9194F" w:rsidRDefault="001D7BC5">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9194F" w:rsidRDefault="001D7BC5">
            <w:pPr>
              <w:widowControl/>
              <w:spacing w:line="200" w:lineRule="exact"/>
              <w:jc w:val="left"/>
              <w:rPr>
                <w:kern w:val="0"/>
                <w:sz w:val="18"/>
                <w:szCs w:val="18"/>
              </w:rPr>
            </w:pPr>
            <w:r>
              <w:rPr>
                <w:rFonts w:hint="eastAsia"/>
                <w:kern w:val="0"/>
                <w:sz w:val="18"/>
                <w:szCs w:val="18"/>
              </w:rPr>
              <w:t>定期开放式、固定收益类、公募、净值型</w:t>
            </w:r>
          </w:p>
        </w:tc>
      </w:tr>
      <w:tr w:rsidR="0009194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9194F" w:rsidRDefault="001D7BC5">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9194F" w:rsidRDefault="001D7BC5">
            <w:pPr>
              <w:widowControl/>
              <w:spacing w:line="200" w:lineRule="exact"/>
              <w:jc w:val="left"/>
              <w:rPr>
                <w:kern w:val="0"/>
                <w:sz w:val="18"/>
                <w:szCs w:val="18"/>
              </w:rPr>
            </w:pPr>
            <w:r>
              <w:rPr>
                <w:rFonts w:hint="eastAsia"/>
                <w:kern w:val="0"/>
                <w:sz w:val="18"/>
                <w:szCs w:val="18"/>
              </w:rPr>
              <w:t>公开募集</w:t>
            </w:r>
          </w:p>
        </w:tc>
      </w:tr>
      <w:tr w:rsidR="0009194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ZZ700322500118</w:t>
            </w:r>
          </w:p>
        </w:tc>
      </w:tr>
      <w:tr w:rsidR="0009194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cs="宋体" w:hint="eastAsia"/>
                <w:kern w:val="0"/>
                <w:sz w:val="18"/>
                <w:szCs w:val="18"/>
              </w:rPr>
              <w:t>Z7003225000077(</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0919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widowControl/>
              <w:spacing w:line="200" w:lineRule="exact"/>
              <w:jc w:val="left"/>
              <w:textAlignment w:val="center"/>
              <w:rPr>
                <w:sz w:val="18"/>
                <w:szCs w:val="18"/>
              </w:rPr>
            </w:pPr>
            <w:r>
              <w:rPr>
                <w:rFonts w:hint="eastAsia"/>
                <w:kern w:val="0"/>
                <w:sz w:val="18"/>
                <w:szCs w:val="18"/>
              </w:rPr>
              <w:t>Z30012</w:t>
            </w:r>
          </w:p>
        </w:tc>
      </w:tr>
      <w:tr w:rsidR="000919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0919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全国</w:t>
            </w:r>
          </w:p>
        </w:tc>
      </w:tr>
      <w:tr w:rsidR="000919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widowControl/>
              <w:spacing w:line="200" w:lineRule="exact"/>
              <w:jc w:val="left"/>
              <w:textAlignment w:val="center"/>
              <w:rPr>
                <w:kern w:val="0"/>
                <w:sz w:val="18"/>
                <w:szCs w:val="18"/>
              </w:rPr>
            </w:pPr>
            <w:r>
              <w:rPr>
                <w:rFonts w:hint="eastAsia"/>
                <w:kern w:val="0"/>
                <w:sz w:val="18"/>
                <w:szCs w:val="18"/>
              </w:rPr>
              <w:t>人民币</w:t>
            </w:r>
          </w:p>
        </w:tc>
      </w:tr>
      <w:tr w:rsidR="0009194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09194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09194F" w:rsidRDefault="001D7BC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9194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color w:val="000000"/>
                <w:sz w:val="18"/>
                <w:szCs w:val="18"/>
              </w:rPr>
              <w:t>符合相关法律法规、监管规定要求的，经销售机构的风险承受能力评估体系评定为适合的个人和机构投资者。</w:t>
            </w:r>
          </w:p>
          <w:p w:rsidR="0009194F" w:rsidRDefault="0009194F">
            <w:pPr>
              <w:spacing w:line="200" w:lineRule="exact"/>
            </w:pPr>
          </w:p>
        </w:tc>
      </w:tr>
      <w:tr w:rsidR="0009194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09194F" w:rsidRDefault="001D7BC5">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09194F" w:rsidRDefault="001D7BC5">
            <w:pPr>
              <w:spacing w:line="200" w:lineRule="exact"/>
            </w:pPr>
            <w:r>
              <w:rPr>
                <w:rFonts w:cs="宋体"/>
                <w:sz w:val="18"/>
                <w:szCs w:val="18"/>
              </w:rPr>
              <w:t>后续在符合监管政策规定的条件下，理财产品管理人有权对上述投资起点金额和递增金额进行调整，并进行信息披露。</w:t>
            </w:r>
          </w:p>
          <w:p w:rsidR="0009194F" w:rsidRDefault="001D7BC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9194F" w:rsidRDefault="001D7BC5">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03</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w:t>
            </w:r>
            <w:r>
              <w:rPr>
                <w:rFonts w:cs="宋体"/>
                <w:color w:val="000000"/>
                <w:sz w:val="18"/>
                <w:szCs w:val="18"/>
              </w:rPr>
              <w:t>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02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919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本理财产品每期封闭期为一年，当期封闭期起止时间以信息披露为准</w:t>
            </w:r>
            <w:r>
              <w:rPr>
                <w:rFonts w:cs="宋体"/>
                <w:color w:val="000000"/>
                <w:sz w:val="18"/>
                <w:szCs w:val="18"/>
              </w:rPr>
              <w:t>。</w:t>
            </w:r>
          </w:p>
        </w:tc>
      </w:tr>
      <w:tr w:rsidR="000919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rPr>
                <w:color w:val="000000"/>
                <w:kern w:val="0"/>
                <w:sz w:val="18"/>
                <w:szCs w:val="18"/>
              </w:rPr>
            </w:pPr>
            <w:r>
              <w:rPr>
                <w:rFonts w:hint="eastAsia"/>
                <w:color w:val="000000"/>
                <w:kern w:val="0"/>
                <w:sz w:val="18"/>
                <w:szCs w:val="18"/>
              </w:rPr>
              <w:t>同产品成立日</w:t>
            </w:r>
          </w:p>
        </w:tc>
      </w:tr>
      <w:tr w:rsidR="000919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03</w:t>
            </w:r>
            <w:r>
              <w:rPr>
                <w:rFonts w:hint="eastAsia"/>
                <w:kern w:val="0"/>
                <w:sz w:val="18"/>
                <w:szCs w:val="18"/>
              </w:rPr>
              <w:t>日</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03</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09194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2035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09194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本理财产品存续期内按年开放申购，如遇节假日调整，申购开放日和申购确认日以公告为准。</w:t>
            </w:r>
          </w:p>
        </w:tc>
      </w:tr>
      <w:tr w:rsidR="0009194F">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本理财产品存续期内按年开放赎回，如遇节假日调整，赎回开放日和赎回确认日以公告为准，投资者可提交赎回申请，系统不自动赎回。产品终止时，产品将对所有份额进行强制赎回。</w:t>
            </w:r>
          </w:p>
        </w:tc>
      </w:tr>
      <w:tr w:rsidR="0009194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09194F" w:rsidRDefault="001D7BC5">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09194F" w:rsidRDefault="001D7BC5">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09194F" w:rsidRDefault="001D7BC5">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09194F" w:rsidRDefault="001D7BC5">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09194F">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0919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0919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09194F" w:rsidRDefault="001D7BC5">
            <w:pPr>
              <w:spacing w:line="200" w:lineRule="exact"/>
            </w:pPr>
            <w:r>
              <w:rPr>
                <w:rFonts w:cs="宋体"/>
                <w:sz w:val="18"/>
                <w:szCs w:val="18"/>
              </w:rPr>
              <w:t>产品到期后，理财产品管理人和代销机构将根据理财资金所投资资产实际运作情况向投资者分配到期款项。</w:t>
            </w:r>
          </w:p>
        </w:tc>
      </w:tr>
      <w:tr w:rsidR="0009194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09194F" w:rsidRDefault="001D7BC5">
            <w:pPr>
              <w:spacing w:line="200" w:lineRule="exact"/>
              <w:jc w:val="left"/>
            </w:pPr>
            <w:r>
              <w:rPr>
                <w:rFonts w:cs="宋体"/>
                <w:sz w:val="18"/>
                <w:szCs w:val="18"/>
              </w:rPr>
              <w:t>分红权益登记日指管理人确认投资者所持份额是否享受本次分红的日期。</w:t>
            </w:r>
          </w:p>
        </w:tc>
      </w:tr>
      <w:tr w:rsidR="0009194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sz w:val="18"/>
                <w:szCs w:val="18"/>
              </w:rPr>
              <w:t>本理财产品募集的资金投资于以下金融资产和金融工具，包括但不限于：</w:t>
            </w:r>
          </w:p>
          <w:p w:rsidR="0009194F" w:rsidRDefault="001D7BC5">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9194F" w:rsidRDefault="001D7BC5">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09194F" w:rsidRDefault="001D7BC5">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9194F" w:rsidRDefault="001D7BC5">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09194F" w:rsidRDefault="001D7BC5">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9194F" w:rsidRDefault="001D7BC5">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919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9194F" w:rsidRDefault="001D7BC5">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919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通过对宏观经济、政策环境、市场状况和资金供求的深入分析，对所投资产行业和品种的深入分析，自上而下进行积极主动的资产配置，构建合理的投资组合方案。力争控制回撤幅度，追求稳健的投资回报。</w:t>
            </w:r>
          </w:p>
        </w:tc>
      </w:tr>
      <w:tr w:rsidR="0009194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b/>
                <w:sz w:val="18"/>
                <w:szCs w:val="18"/>
              </w:rPr>
              <w:t>本理财产品拟投资以下备选非标准化债权类资产：</w:t>
            </w:r>
          </w:p>
          <w:p w:rsidR="0009194F" w:rsidRDefault="001D7BC5">
            <w:pPr>
              <w:spacing w:line="200" w:lineRule="exact"/>
            </w:pPr>
            <w:r>
              <w:rPr>
                <w:rFonts w:cs="宋体"/>
                <w:sz w:val="18"/>
                <w:szCs w:val="18"/>
              </w:rPr>
              <w:t>（</w:t>
            </w:r>
            <w:r>
              <w:rPr>
                <w:rFonts w:cs="宋体"/>
                <w:sz w:val="18"/>
                <w:szCs w:val="18"/>
              </w:rPr>
              <w:t>1</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rsidR="0009194F" w:rsidRDefault="001D7BC5">
            <w:pPr>
              <w:spacing w:line="200" w:lineRule="exact"/>
            </w:pPr>
            <w:r>
              <w:rPr>
                <w:rFonts w:cs="宋体"/>
                <w:sz w:val="18"/>
                <w:szCs w:val="18"/>
              </w:rPr>
              <w:t>（</w:t>
            </w:r>
            <w:r>
              <w:rPr>
                <w:rFonts w:cs="宋体"/>
                <w:sz w:val="18"/>
                <w:szCs w:val="18"/>
              </w:rPr>
              <w:t>2</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w:t>
            </w:r>
            <w:r>
              <w:rPr>
                <w:rFonts w:cs="宋体"/>
                <w:sz w:val="18"/>
                <w:szCs w:val="18"/>
              </w:rPr>
              <w:lastRenderedPageBreak/>
              <w:t>日。</w:t>
            </w:r>
          </w:p>
          <w:p w:rsidR="0009194F" w:rsidRDefault="001D7BC5">
            <w:pPr>
              <w:spacing w:line="200" w:lineRule="exact"/>
            </w:pPr>
            <w:r>
              <w:rPr>
                <w:rFonts w:cs="宋体"/>
                <w:sz w:val="18"/>
                <w:szCs w:val="18"/>
              </w:rPr>
              <w:t>（</w:t>
            </w:r>
            <w:r>
              <w:rPr>
                <w:rFonts w:cs="宋体"/>
                <w:sz w:val="18"/>
                <w:szCs w:val="18"/>
              </w:rPr>
              <w:t>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rsidR="0009194F" w:rsidRDefault="001D7BC5">
            <w:pPr>
              <w:spacing w:line="200" w:lineRule="exact"/>
            </w:pPr>
            <w:r>
              <w:rPr>
                <w:rFonts w:cs="宋体"/>
                <w:sz w:val="18"/>
                <w:szCs w:val="18"/>
              </w:rPr>
              <w:t>（</w:t>
            </w:r>
            <w:r>
              <w:rPr>
                <w:rFonts w:cs="宋体"/>
                <w:sz w:val="18"/>
                <w:szCs w:val="18"/>
              </w:rPr>
              <w:t>4</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w:t>
            </w:r>
          </w:p>
          <w:p w:rsidR="0009194F" w:rsidRDefault="001D7BC5">
            <w:pPr>
              <w:spacing w:line="200" w:lineRule="exact"/>
            </w:pPr>
            <w:r>
              <w:rPr>
                <w:rFonts w:cs="宋体"/>
                <w:sz w:val="18"/>
                <w:szCs w:val="18"/>
              </w:rPr>
              <w:t>（</w:t>
            </w: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个人消</w:t>
            </w:r>
            <w:r>
              <w:rPr>
                <w:rFonts w:cs="宋体"/>
                <w:sz w:val="18"/>
                <w:szCs w:val="18"/>
              </w:rPr>
              <w:t>费贷款债权，资产到期日不超过理财产品最近一次开放日。</w:t>
            </w:r>
          </w:p>
          <w:p w:rsidR="0009194F" w:rsidRDefault="001D7BC5">
            <w:pPr>
              <w:spacing w:line="200" w:lineRule="exact"/>
            </w:pPr>
            <w:r>
              <w:rPr>
                <w:rFonts w:cs="宋体"/>
                <w:b/>
                <w:sz w:val="18"/>
                <w:szCs w:val="18"/>
              </w:rPr>
              <w:t>以上资产剩余期限均不超过产品期限。</w:t>
            </w:r>
            <w:r>
              <w:br/>
            </w:r>
            <w:r>
              <w:rPr>
                <w:rFonts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业绩比较基准为年化</w:t>
            </w:r>
            <w:r>
              <w:rPr>
                <w:rFonts w:cs="宋体"/>
                <w:sz w:val="18"/>
                <w:szCs w:val="18"/>
              </w:rPr>
              <w:t xml:space="preserve">2.7%-3.3% </w:t>
            </w:r>
            <w:r>
              <w:rPr>
                <w:rFonts w:cs="宋体"/>
                <w:sz w:val="18"/>
                <w:szCs w:val="18"/>
              </w:rPr>
              <w:t>。</w:t>
            </w:r>
          </w:p>
          <w:p w:rsidR="0009194F" w:rsidRDefault="001D7BC5">
            <w:pPr>
              <w:spacing w:line="200" w:lineRule="exact"/>
              <w:jc w:val="lef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。结合债券市场和拟投资的非标准化债权类资产的收益和波动水平预判，在本理财产品约定的投资策略基础上，管理人设定了本理财产品投资周期内业绩比较基准。</w:t>
            </w:r>
          </w:p>
          <w:p w:rsidR="0009194F" w:rsidRDefault="001D7BC5">
            <w:pPr>
              <w:spacing w:line="200" w:lineRule="exact"/>
              <w:jc w:val="left"/>
            </w:pPr>
            <w:r>
              <w:rPr>
                <w:rFonts w:cs="宋体"/>
                <w:sz w:val="18"/>
                <w:szCs w:val="18"/>
              </w:rPr>
              <w:t>注：管理人可根据市场情况对业绩比较基准进行适当调整，如有调整，将至少于调整前</w:t>
            </w:r>
            <w:r>
              <w:rPr>
                <w:rFonts w:cs="宋体"/>
                <w:sz w:val="18"/>
                <w:szCs w:val="18"/>
              </w:rPr>
              <w:t>3</w:t>
            </w:r>
            <w:r>
              <w:rPr>
                <w:rFonts w:cs="宋体"/>
                <w:sz w:val="18"/>
                <w:szCs w:val="18"/>
              </w:rPr>
              <w:t>个工作日公布调整方案。</w:t>
            </w:r>
          </w:p>
          <w:p w:rsidR="0009194F" w:rsidRDefault="001D7BC5">
            <w:pPr>
              <w:spacing w:line="200" w:lineRule="exact"/>
            </w:pPr>
            <w:r>
              <w:rPr>
                <w:rFonts w:cs="宋体"/>
                <w:b/>
                <w:sz w:val="18"/>
                <w:szCs w:val="18"/>
              </w:rPr>
              <w:t>本理财产品为净值型理财产品，业绩比较基准不是预期收益率，不代表</w:t>
            </w:r>
            <w:r>
              <w:rPr>
                <w:rFonts w:cs="宋体"/>
                <w:b/>
                <w:sz w:val="18"/>
                <w:szCs w:val="18"/>
              </w:rPr>
              <w:t>产品的未来表现和实际收益，不构成对产品收益的承诺。</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9194F" w:rsidRDefault="001D7BC5">
            <w:pPr>
              <w:spacing w:line="200" w:lineRule="exact"/>
            </w:pPr>
            <w:r>
              <w:rPr>
                <w:rFonts w:cs="宋体"/>
                <w:b/>
                <w:sz w:val="18"/>
                <w:szCs w:val="18"/>
              </w:rPr>
              <w:t>赎回费：本理财产品暂不收取赎回费。</w:t>
            </w:r>
          </w:p>
          <w:p w:rsidR="0009194F" w:rsidRDefault="001D7BC5">
            <w:pPr>
              <w:spacing w:line="200" w:lineRule="exact"/>
            </w:pPr>
            <w:r>
              <w:rPr>
                <w:rFonts w:cs="宋体"/>
                <w:b/>
                <w:sz w:val="18"/>
                <w:szCs w:val="18"/>
              </w:rPr>
              <w:t>销售费：</w:t>
            </w:r>
          </w:p>
          <w:p w:rsidR="0009194F" w:rsidRDefault="001D7BC5">
            <w:pPr>
              <w:spacing w:line="200" w:lineRule="exact"/>
            </w:pPr>
            <w:r>
              <w:rPr>
                <w:rFonts w:cs="宋体"/>
                <w:b/>
                <w:sz w:val="18"/>
                <w:szCs w:val="18"/>
              </w:rPr>
              <w:t>本理财产品按前一日理财产品资产净值收取年化</w:t>
            </w:r>
            <w:r>
              <w:rPr>
                <w:rFonts w:cs="宋体"/>
                <w:b/>
                <w:sz w:val="18"/>
                <w:szCs w:val="18"/>
              </w:rPr>
              <w:t>0.2%</w:t>
            </w:r>
            <w:r>
              <w:rPr>
                <w:rFonts w:cs="宋体"/>
                <w:b/>
                <w:sz w:val="18"/>
                <w:szCs w:val="18"/>
              </w:rPr>
              <w:t>的销售费，按日计提。</w:t>
            </w:r>
          </w:p>
          <w:p w:rsidR="0009194F" w:rsidRDefault="001D7BC5">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09194F" w:rsidRDefault="001D7BC5">
            <w:pPr>
              <w:spacing w:line="200" w:lineRule="exact"/>
            </w:pPr>
            <w:r>
              <w:rPr>
                <w:rFonts w:cs="宋体"/>
                <w:b/>
                <w:sz w:val="18"/>
                <w:szCs w:val="18"/>
              </w:rPr>
              <w:t>固定管理费：</w:t>
            </w:r>
          </w:p>
          <w:p w:rsidR="0009194F" w:rsidRDefault="001D7BC5">
            <w:pPr>
              <w:spacing w:line="200" w:lineRule="exact"/>
            </w:pPr>
            <w:r>
              <w:rPr>
                <w:rFonts w:cs="宋体"/>
                <w:b/>
                <w:sz w:val="18"/>
                <w:szCs w:val="18"/>
              </w:rPr>
              <w:t>本理财产品按前一日理财产品资产净值收取年化</w:t>
            </w:r>
            <w:r>
              <w:rPr>
                <w:rFonts w:cs="宋体"/>
                <w:b/>
                <w:sz w:val="18"/>
                <w:szCs w:val="18"/>
              </w:rPr>
              <w:t>0.4%</w:t>
            </w:r>
            <w:r>
              <w:rPr>
                <w:rFonts w:cs="宋体"/>
                <w:b/>
                <w:sz w:val="18"/>
                <w:szCs w:val="18"/>
              </w:rPr>
              <w:t>的固定管理费，按日计提。</w:t>
            </w:r>
          </w:p>
          <w:p w:rsidR="0009194F" w:rsidRDefault="001D7BC5">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09194F" w:rsidRDefault="001D7BC5">
            <w:pPr>
              <w:spacing w:line="200" w:lineRule="exact"/>
            </w:pPr>
            <w:r>
              <w:rPr>
                <w:rFonts w:cs="宋体"/>
                <w:b/>
                <w:sz w:val="18"/>
                <w:szCs w:val="18"/>
              </w:rPr>
              <w:t>托管费：</w:t>
            </w:r>
          </w:p>
          <w:p w:rsidR="0009194F" w:rsidRDefault="001D7BC5">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09194F" w:rsidRDefault="001D7BC5">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09194F" w:rsidRDefault="001D7BC5">
            <w:pPr>
              <w:spacing w:line="200" w:lineRule="exact"/>
            </w:pPr>
            <w:r>
              <w:rPr>
                <w:rFonts w:cs="宋体"/>
                <w:b/>
                <w:sz w:val="18"/>
                <w:szCs w:val="18"/>
              </w:rPr>
              <w:t>业绩报酬：</w:t>
            </w:r>
          </w:p>
          <w:p w:rsidR="003064A5" w:rsidRDefault="001D7BC5">
            <w:r>
              <w:rPr>
                <w:b/>
                <w:sz w:val="18"/>
                <w:szCs w:val="18"/>
              </w:rPr>
              <w:t>申购</w:t>
            </w:r>
            <w:r>
              <w:rPr>
                <w:b/>
                <w:sz w:val="18"/>
                <w:szCs w:val="18"/>
              </w:rPr>
              <w:t>/</w:t>
            </w:r>
            <w:r>
              <w:rPr>
                <w:b/>
                <w:sz w:val="18"/>
                <w:szCs w:val="18"/>
              </w:rPr>
              <w:t>赎回确认日和产品实际到期时，当期产品投资的实际资产组合收益（扣除销售费、固定管理费、托管费等相关费用）超过</w:t>
            </w:r>
            <w:r>
              <w:rPr>
                <w:b/>
                <w:sz w:val="18"/>
                <w:szCs w:val="18"/>
              </w:rPr>
              <w:t>3.3%</w:t>
            </w:r>
            <w:r>
              <w:rPr>
                <w:b/>
                <w:sz w:val="18"/>
                <w:szCs w:val="18"/>
              </w:rPr>
              <w:t>（年化，即产品该份额对应的业绩报酬计提基准）时，超过部分管理人将按</w:t>
            </w:r>
            <w:r>
              <w:rPr>
                <w:b/>
                <w:sz w:val="18"/>
                <w:szCs w:val="18"/>
              </w:rPr>
              <w:t>60%</w:t>
            </w:r>
            <w:r>
              <w:rPr>
                <w:b/>
                <w:sz w:val="18"/>
                <w:szCs w:val="18"/>
              </w:rPr>
              <w:t>收取业绩报酬。</w:t>
            </w:r>
          </w:p>
          <w:p w:rsidR="0009194F" w:rsidRDefault="001D7BC5">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09194F" w:rsidRDefault="001D7BC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cs="宋体"/>
                <w:b/>
                <w:sz w:val="18"/>
                <w:szCs w:val="18"/>
              </w:rPr>
              <w:t>将通过本理财产品的定期报告等进行信息披露。</w:t>
            </w:r>
          </w:p>
          <w:p w:rsidR="0009194F" w:rsidRDefault="001D7BC5">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09194F" w:rsidRDefault="001D7BC5">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09194F" w:rsidRDefault="001D7BC5">
            <w:pPr>
              <w:spacing w:line="200" w:lineRule="exact"/>
            </w:pPr>
            <w:r>
              <w:rPr>
                <w:rFonts w:cs="宋体"/>
                <w:b/>
                <w:sz w:val="18"/>
                <w:szCs w:val="18"/>
              </w:rPr>
              <w:t>计算本区间业绩报酬的公式如下：</w:t>
            </w:r>
          </w:p>
          <w:p w:rsidR="0009194F" w:rsidRDefault="001D7BC5">
            <w:pPr>
              <w:spacing w:line="200" w:lineRule="exact"/>
            </w:pPr>
            <w:r>
              <w:rPr>
                <w:rFonts w:cs="宋体"/>
                <w:b/>
                <w:sz w:val="18"/>
                <w:szCs w:val="18"/>
              </w:rPr>
              <w:t>A={B-C*D*(1+E*F/365)}*G</w:t>
            </w:r>
            <w:r>
              <w:rPr>
                <w:rFonts w:cs="宋体"/>
                <w:b/>
                <w:sz w:val="18"/>
                <w:szCs w:val="18"/>
              </w:rPr>
              <w:t>。</w:t>
            </w:r>
          </w:p>
          <w:p w:rsidR="0009194F" w:rsidRDefault="001D7BC5">
            <w:pPr>
              <w:spacing w:line="200" w:lineRule="exact"/>
            </w:pPr>
            <w:r>
              <w:rPr>
                <w:rFonts w:cs="宋体"/>
                <w:b/>
                <w:sz w:val="18"/>
                <w:szCs w:val="18"/>
              </w:rPr>
              <w:t>其中：</w:t>
            </w:r>
            <w:r>
              <w:rPr>
                <w:rFonts w:cs="宋体"/>
                <w:b/>
                <w:sz w:val="18"/>
                <w:szCs w:val="18"/>
              </w:rPr>
              <w:t>A</w:t>
            </w:r>
            <w:r>
              <w:rPr>
                <w:rFonts w:cs="宋体"/>
                <w:b/>
                <w:sz w:val="18"/>
                <w:szCs w:val="18"/>
              </w:rPr>
              <w:t>是产品该份</w:t>
            </w:r>
            <w:r>
              <w:rPr>
                <w:rFonts w:cs="宋体"/>
                <w:b/>
                <w:sz w:val="18"/>
                <w:szCs w:val="18"/>
              </w:rPr>
              <w:t>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w:t>
            </w:r>
            <w:r>
              <w:rPr>
                <w:rFonts w:cs="宋体"/>
                <w:b/>
                <w:sz w:val="18"/>
                <w:szCs w:val="18"/>
              </w:rPr>
              <w:lastRenderedPageBreak/>
              <w:t>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09194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color w:val="000000"/>
                <w:sz w:val="18"/>
                <w:szCs w:val="18"/>
              </w:rPr>
              <w:t>具体参见本理财产品风险揭示书。</w:t>
            </w:r>
          </w:p>
          <w:p w:rsidR="0009194F" w:rsidRDefault="001D7BC5">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09194F" w:rsidRDefault="001D7BC5">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09194F" w:rsidRDefault="001D7BC5">
            <w:pPr>
              <w:spacing w:line="200" w:lineRule="exact"/>
              <w:jc w:val="left"/>
            </w:pPr>
            <w:r>
              <w:rPr>
                <w:rFonts w:cs="宋体"/>
                <w:color w:val="000000"/>
                <w:sz w:val="18"/>
                <w:szCs w:val="18"/>
              </w:rPr>
              <w:t>二是为应对投资者的赎回，被迫以不适当的价格卖出债券或赎回基金；</w:t>
            </w:r>
          </w:p>
          <w:p w:rsidR="0009194F" w:rsidRDefault="001D7BC5">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09194F" w:rsidRDefault="001D7BC5">
            <w:pPr>
              <w:spacing w:line="200" w:lineRule="exact"/>
              <w:jc w:val="left"/>
            </w:pPr>
            <w:r>
              <w:rPr>
                <w:rFonts w:cs="宋体"/>
                <w:color w:val="000000"/>
                <w:sz w:val="18"/>
                <w:szCs w:val="18"/>
              </w:rPr>
              <w:t>以上情形均可能使产品净值受到不利影响。</w:t>
            </w:r>
          </w:p>
        </w:tc>
      </w:tr>
      <w:tr w:rsidR="0009194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9194F" w:rsidRDefault="001D7BC5">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9194F" w:rsidRDefault="001D7BC5">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9194F" w:rsidRDefault="001D7BC5">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9194F" w:rsidRDefault="001D7BC5">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09194F" w:rsidRDefault="001D7BC5">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9194F" w:rsidRDefault="001D7BC5">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9194F" w:rsidRDefault="001D7BC5">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sz w:val="18"/>
                <w:szCs w:val="18"/>
              </w:rPr>
              <w:t>本理财产品销售机构为南银理财有限责任公司、南京银行股份有限公司。管理人有权调整本理财产品的销售机构并进行信息披</w:t>
            </w:r>
            <w:r>
              <w:rPr>
                <w:rFonts w:cs="宋体"/>
                <w:sz w:val="18"/>
                <w:szCs w:val="18"/>
              </w:rPr>
              <w:t>露。</w:t>
            </w:r>
          </w:p>
          <w:p w:rsidR="0009194F" w:rsidRDefault="001D7BC5">
            <w:pPr>
              <w:spacing w:line="200" w:lineRule="exact"/>
              <w:jc w:val="left"/>
            </w:pPr>
            <w:r>
              <w:rPr>
                <w:rFonts w:cs="宋体"/>
                <w:sz w:val="18"/>
                <w:szCs w:val="18"/>
              </w:rPr>
              <w:t>销售机构主要职责如下：</w:t>
            </w:r>
          </w:p>
          <w:p w:rsidR="0009194F" w:rsidRDefault="001D7BC5">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9194F" w:rsidRDefault="001D7BC5">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09194F" w:rsidRDefault="001D7BC5">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9194F" w:rsidRDefault="001D7BC5">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9194F" w:rsidRDefault="001D7BC5">
            <w:pPr>
              <w:spacing w:line="200" w:lineRule="exact"/>
              <w:jc w:val="left"/>
            </w:pPr>
            <w:r>
              <w:rPr>
                <w:rFonts w:cs="宋体"/>
                <w:sz w:val="18"/>
                <w:szCs w:val="18"/>
              </w:rPr>
              <w:t>5.</w:t>
            </w:r>
            <w:r>
              <w:rPr>
                <w:rFonts w:cs="宋体"/>
                <w:sz w:val="18"/>
                <w:szCs w:val="18"/>
              </w:rPr>
              <w:t>建立健全投资者权益保护管理体系，加强投资者适当性管理；</w:t>
            </w:r>
          </w:p>
          <w:p w:rsidR="0009194F" w:rsidRDefault="001D7BC5">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9194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本理财产品托管人为南京银行股份有限公司，主要职责如下：</w:t>
            </w:r>
          </w:p>
          <w:p w:rsidR="0009194F" w:rsidRDefault="001D7BC5">
            <w:pPr>
              <w:spacing w:line="200" w:lineRule="exact"/>
            </w:pPr>
            <w:r>
              <w:rPr>
                <w:rFonts w:cs="宋体"/>
                <w:sz w:val="18"/>
                <w:szCs w:val="18"/>
              </w:rPr>
              <w:t>1.</w:t>
            </w:r>
            <w:r>
              <w:rPr>
                <w:rFonts w:cs="宋体"/>
                <w:sz w:val="18"/>
                <w:szCs w:val="18"/>
              </w:rPr>
              <w:t>安全保管理财产品财产；</w:t>
            </w:r>
          </w:p>
          <w:p w:rsidR="0009194F" w:rsidRDefault="001D7BC5">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9194F" w:rsidRDefault="001D7BC5">
            <w:pPr>
              <w:spacing w:line="200" w:lineRule="exact"/>
            </w:pPr>
            <w:r>
              <w:rPr>
                <w:rFonts w:cs="宋体"/>
                <w:sz w:val="18"/>
                <w:szCs w:val="18"/>
              </w:rPr>
              <w:t>3.</w:t>
            </w:r>
            <w:r>
              <w:rPr>
                <w:rFonts w:cs="宋体"/>
                <w:sz w:val="18"/>
                <w:szCs w:val="18"/>
              </w:rPr>
              <w:t>按照托管协议约定和管理人的投资指令，及时办理清算、交割事宜；</w:t>
            </w:r>
          </w:p>
          <w:p w:rsidR="0009194F" w:rsidRDefault="001D7BC5">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9194F" w:rsidRDefault="001D7BC5">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09194F" w:rsidRDefault="001D7BC5">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9194F" w:rsidRDefault="001D7BC5">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9194F" w:rsidRDefault="001D7BC5">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09194F" w:rsidRDefault="001D7BC5">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9194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本理财产品合作机构为百瑞信托有限责任公司、大家资产管理有限责任公司、光大永明资产管理股份有限公司、华能贵诚信托有限公司、华鑫国际信托有限公司、建信保险资产管理有限公司、交银国际信托</w:t>
            </w:r>
            <w:r>
              <w:rPr>
                <w:rFonts w:cs="宋体"/>
                <w:sz w:val="18"/>
                <w:szCs w:val="18"/>
              </w:rPr>
              <w:lastRenderedPageBreak/>
              <w:t>有限公司，上述投资合作机构主要职责对应如下，具体职责以管理人与投资合作机构签署的合同为准。</w:t>
            </w:r>
          </w:p>
          <w:p w:rsidR="0009194F" w:rsidRDefault="001D7BC5">
            <w:pPr>
              <w:spacing w:line="200" w:lineRule="exact"/>
            </w:pPr>
            <w:r>
              <w:rPr>
                <w:rFonts w:cs="宋体"/>
                <w:sz w:val="18"/>
                <w:szCs w:val="18"/>
              </w:rPr>
              <w:t>合作机构为从事理财产品受托投资的机构，主要承担根据合同约定进行受托资金的投资管理的职责：百瑞</w:t>
            </w:r>
            <w:r>
              <w:rPr>
                <w:rFonts w:cs="宋体"/>
                <w:sz w:val="18"/>
                <w:szCs w:val="18"/>
              </w:rPr>
              <w:t>信托有限责任公司、大家资产管理有限责任公司、光大永明资产管理股份有限公司、华能贵诚信托有限公司、华鑫国际信托有限公司、建信保险资产管理有限公司、交银国际信托有限公司。</w:t>
            </w:r>
          </w:p>
          <w:p w:rsidR="0009194F" w:rsidRDefault="001D7BC5">
            <w:pPr>
              <w:spacing w:line="200" w:lineRule="exact"/>
            </w:pPr>
            <w:r>
              <w:rPr>
                <w:rFonts w:cs="宋体"/>
                <w:sz w:val="18"/>
                <w:szCs w:val="18"/>
              </w:rPr>
              <w:t>若上述合作机构及其职责发生调整，管理人将在本理财产品的定期报告中进行信息披露。</w:t>
            </w:r>
          </w:p>
          <w:p w:rsidR="0009194F" w:rsidRDefault="001D7BC5">
            <w:pPr>
              <w:spacing w:line="200" w:lineRule="exact"/>
            </w:pPr>
            <w:r>
              <w:rPr>
                <w:rFonts w:cs="宋体"/>
                <w:sz w:val="18"/>
                <w:szCs w:val="18"/>
              </w:rPr>
              <w:t>上述投资合作机构简介：</w:t>
            </w:r>
          </w:p>
          <w:p w:rsidR="0009194F" w:rsidRDefault="001D7BC5">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9194F" w:rsidRDefault="001D7BC5">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09194F" w:rsidRDefault="001D7BC5">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9194F" w:rsidRDefault="001D7BC5">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9194F" w:rsidRDefault="001D7BC5">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9194F" w:rsidRDefault="001D7BC5">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9194F" w:rsidRDefault="001D7BC5">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tc>
      </w:tr>
      <w:tr w:rsidR="000919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color w:val="000000"/>
                <w:sz w:val="18"/>
                <w:szCs w:val="18"/>
              </w:rPr>
              <w:t>本理财产品单个开放日净赎回申请超过前一产品工作日日终本理财产品总份额的</w:t>
            </w:r>
            <w:r>
              <w:rPr>
                <w:rFonts w:cs="宋体"/>
                <w:color w:val="000000"/>
                <w:sz w:val="18"/>
                <w:szCs w:val="18"/>
              </w:rPr>
              <w:t>10%</w:t>
            </w:r>
            <w:r>
              <w:rPr>
                <w:rFonts w:cs="宋体"/>
                <w:color w:val="000000"/>
                <w:sz w:val="18"/>
                <w:szCs w:val="18"/>
              </w:rPr>
              <w:t>时，触发巨额赎回。</w:t>
            </w:r>
            <w:r>
              <w:rPr>
                <w:rFonts w:cs="宋体"/>
                <w:color w:val="000000"/>
                <w:sz w:val="18"/>
                <w:szCs w:val="18"/>
              </w:rPr>
              <w:t>本理财产品在开放日发生巨额赎回时，管理人有权根据产品的实际运作情况采取如下措施中的一种：</w:t>
            </w:r>
          </w:p>
          <w:p w:rsidR="0009194F" w:rsidRDefault="001D7BC5">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09194F" w:rsidRDefault="001D7BC5">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09194F" w:rsidRDefault="001D7BC5">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）对于接受赎回申请的部分，管理人将按单个投资者的赎回申请份额占当日所有投资者的净赎回申请总份额的比例，确认该投资者当日办理的赎回申请份额。</w:t>
            </w:r>
          </w:p>
          <w:p w:rsidR="0009194F" w:rsidRDefault="001D7BC5">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09194F" w:rsidRDefault="001D7BC5">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w:t>
            </w:r>
            <w:r>
              <w:rPr>
                <w:rFonts w:cs="宋体"/>
                <w:color w:val="000000"/>
                <w:sz w:val="18"/>
                <w:szCs w:val="18"/>
              </w:rPr>
              <w:t>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采取措施。具体服务投资者可详询代销机构，最终以代销机构提供的服务为准。</w:t>
            </w:r>
          </w:p>
        </w:tc>
      </w:tr>
      <w:tr w:rsidR="000919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w:t>
            </w:r>
            <w:r>
              <w:rPr>
                <w:rFonts w:cs="宋体"/>
                <w:color w:val="000000"/>
                <w:sz w:val="18"/>
                <w:szCs w:val="18"/>
              </w:rPr>
              <w:t>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09194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发生下列情形时，管理人可暂停接受投资者认申购申请：</w:t>
            </w:r>
          </w:p>
          <w:p w:rsidR="0009194F" w:rsidRDefault="001D7BC5">
            <w:pPr>
              <w:spacing w:line="200" w:lineRule="exact"/>
            </w:pPr>
            <w:r>
              <w:rPr>
                <w:rFonts w:cs="宋体"/>
                <w:sz w:val="18"/>
                <w:szCs w:val="18"/>
              </w:rPr>
              <w:t>1.</w:t>
            </w:r>
            <w:r>
              <w:rPr>
                <w:rFonts w:cs="宋体"/>
                <w:sz w:val="18"/>
                <w:szCs w:val="18"/>
              </w:rPr>
              <w:t>因不可抗力导致理财产品无法正常运作；</w:t>
            </w:r>
          </w:p>
          <w:p w:rsidR="0009194F" w:rsidRDefault="001D7BC5">
            <w:pPr>
              <w:spacing w:line="200" w:lineRule="exact"/>
            </w:pPr>
            <w:r>
              <w:rPr>
                <w:rFonts w:cs="宋体"/>
                <w:sz w:val="18"/>
                <w:szCs w:val="18"/>
              </w:rPr>
              <w:t>2.</w:t>
            </w:r>
            <w:r>
              <w:rPr>
                <w:rFonts w:cs="宋体"/>
                <w:sz w:val="18"/>
                <w:szCs w:val="18"/>
              </w:rPr>
              <w:t>因监管政策、市场发生重大变化，导致理财产品无法正常运作；</w:t>
            </w:r>
          </w:p>
          <w:p w:rsidR="0009194F" w:rsidRDefault="001D7BC5">
            <w:pPr>
              <w:spacing w:line="200" w:lineRule="exact"/>
            </w:pPr>
            <w:r>
              <w:rPr>
                <w:rFonts w:cs="宋体"/>
                <w:sz w:val="18"/>
                <w:szCs w:val="18"/>
              </w:rPr>
              <w:t>3.</w:t>
            </w:r>
            <w:r>
              <w:rPr>
                <w:rFonts w:cs="宋体"/>
                <w:sz w:val="18"/>
                <w:szCs w:val="18"/>
              </w:rPr>
              <w:t>管理人认为需要暂停认申购的其他情形。</w:t>
            </w:r>
          </w:p>
          <w:p w:rsidR="0009194F" w:rsidRDefault="001D7BC5">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0919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09194F" w:rsidRDefault="001D7BC5">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0919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09194F" w:rsidRDefault="001D7BC5">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09194F" w:rsidRDefault="001D7BC5">
            <w:pPr>
              <w:spacing w:line="200" w:lineRule="exact"/>
              <w:jc w:val="left"/>
            </w:pPr>
            <w:r>
              <w:rPr>
                <w:rFonts w:cs="宋体"/>
                <w:b/>
                <w:sz w:val="18"/>
                <w:szCs w:val="18"/>
              </w:rPr>
              <w:lastRenderedPageBreak/>
              <w:t>3.</w:t>
            </w:r>
            <w:r>
              <w:rPr>
                <w:rFonts w:cs="宋体"/>
                <w:b/>
                <w:sz w:val="18"/>
                <w:szCs w:val="18"/>
              </w:rPr>
              <w:t>本理财产品投资的资产管理产品的业绩报酬、赎回费等的提取（如有）可能造成本理财产品净值的下降。</w:t>
            </w:r>
          </w:p>
          <w:p w:rsidR="0009194F" w:rsidRDefault="001D7BC5">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0919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194F" w:rsidRDefault="001D7BC5">
            <w:pPr>
              <w:widowControl/>
              <w:spacing w:line="200" w:lineRule="exact"/>
              <w:jc w:val="left"/>
              <w:rPr>
                <w:kern w:val="0"/>
                <w:sz w:val="18"/>
                <w:szCs w:val="18"/>
              </w:rPr>
            </w:pPr>
            <w:r>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9194F" w:rsidRDefault="001D7BC5">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9194F" w:rsidRDefault="001D7BC5">
      <w:pPr>
        <w:pStyle w:val="Normala105333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9194F" w:rsidRDefault="001D7BC5">
      <w:pPr>
        <w:pStyle w:val="Normald1989252d1989252"/>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9194F" w:rsidRDefault="001D7BC5">
      <w:pPr>
        <w:pStyle w:val="Normald1989252d1989252"/>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9194F" w:rsidRDefault="001D7BC5">
      <w:pPr>
        <w:pStyle w:val="Normald1989252d198925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9194F" w:rsidRDefault="001D7BC5">
      <w:pPr>
        <w:pStyle w:val="Normald1989252d1989252"/>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9194F" w:rsidRDefault="001D7BC5">
      <w:pPr>
        <w:pStyle w:val="Normald1989252d198925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9194F" w:rsidRDefault="001D7BC5">
      <w:pPr>
        <w:pStyle w:val="Normald1989252d198925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9194F" w:rsidRDefault="001D7BC5">
      <w:pPr>
        <w:pStyle w:val="Normald1989252d198925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9194F" w:rsidRDefault="001D7BC5">
      <w:pPr>
        <w:pStyle w:val="Normald1989252d198925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南银理财鼎瑞安稳一年定开</w:t>
      </w:r>
      <w:r>
        <w:rPr>
          <w:b/>
          <w:bCs/>
          <w:color w:val="3D3D3D"/>
          <w:kern w:val="0"/>
          <w:sz w:val="15"/>
          <w:szCs w:val="15"/>
        </w:rPr>
        <w:t>2025</w:t>
      </w:r>
      <w:r>
        <w:rPr>
          <w:b/>
          <w:bCs/>
          <w:color w:val="3D3D3D"/>
          <w:kern w:val="0"/>
          <w:sz w:val="15"/>
          <w:szCs w:val="15"/>
        </w:rPr>
        <w:t>第</w:t>
      </w:r>
      <w:r>
        <w:rPr>
          <w:b/>
          <w:bCs/>
          <w:color w:val="3D3D3D"/>
          <w:kern w:val="0"/>
          <w:sz w:val="15"/>
          <w:szCs w:val="15"/>
        </w:rPr>
        <w:t>2</w:t>
      </w:r>
      <w:r>
        <w:rPr>
          <w:b/>
          <w:bCs/>
          <w:color w:val="3D3D3D"/>
          <w:kern w:val="0"/>
          <w:sz w:val="15"/>
          <w:szCs w:val="15"/>
        </w:rPr>
        <w:t>期公募人民币理财产品</w:t>
      </w:r>
      <w:r>
        <w:rPr>
          <w:rFonts w:hint="eastAsia"/>
          <w:color w:val="3D3D3D"/>
          <w:kern w:val="0"/>
          <w:sz w:val="15"/>
          <w:szCs w:val="15"/>
        </w:rPr>
        <w:t>。</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09194F" w:rsidRDefault="001D7BC5">
      <w:pPr>
        <w:pStyle w:val="Normald1989252d1989252"/>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09194F" w:rsidRDefault="001D7BC5">
      <w:pPr>
        <w:pStyle w:val="Normald1989252d1989252"/>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9194F" w:rsidRDefault="001D7BC5">
      <w:pPr>
        <w:pStyle w:val="Normald1989252d198925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9194F" w:rsidRDefault="001D7BC5">
      <w:pPr>
        <w:pStyle w:val="Normald1989252d198925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09194F" w:rsidRDefault="001D7BC5">
      <w:pPr>
        <w:pStyle w:val="1d6491b6ed6491b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9194F" w:rsidRDefault="001D7BC5">
      <w:pPr>
        <w:pStyle w:val="1d6491b6ed6491b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9194F" w:rsidRDefault="001D7BC5">
      <w:pPr>
        <w:pStyle w:val="1d6491b6ed6491b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9194F" w:rsidRDefault="001D7BC5">
      <w:pPr>
        <w:pStyle w:val="1d6491b6ed6491b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9194F" w:rsidRDefault="001D7BC5">
      <w:pPr>
        <w:pStyle w:val="1d6491b6ed6491b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9194F" w:rsidRDefault="001D7BC5">
      <w:pPr>
        <w:pStyle w:val="1d6491b6ed6491b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9194F" w:rsidRDefault="001D7BC5">
      <w:pPr>
        <w:pStyle w:val="Normald1989252d1989252"/>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9194F" w:rsidRDefault="001D7BC5">
      <w:pPr>
        <w:pStyle w:val="Normald1989252d1989252"/>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9194F" w:rsidRDefault="001D7BC5">
      <w:pPr>
        <w:pStyle w:val="Normald1989252d1989252"/>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9194F" w:rsidRDefault="001D7BC5">
      <w:pPr>
        <w:pStyle w:val="Normala105333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9194F" w:rsidRDefault="001D7BC5">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09194F" w:rsidRDefault="001D7BC5">
      <w:pPr>
        <w:spacing w:line="200" w:lineRule="exact"/>
        <w:ind w:firstLine="280"/>
        <w:jc w:val="left"/>
      </w:pPr>
      <w:r>
        <w:rPr>
          <w:rFonts w:cs="宋体"/>
          <w:sz w:val="15"/>
          <w:szCs w:val="20"/>
        </w:rPr>
        <w:t>情景示例一：产品赎回确认时，扣除所有税费后（如有业绩报酬，已扣除）的赎回确认每份额净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09194F" w:rsidRDefault="001D7BC5">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09194F" w:rsidRDefault="001D7BC5">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09194F" w:rsidRDefault="001D7BC5">
      <w:pPr>
        <w:pStyle w:val="Normala1053338"/>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09194F" w:rsidRDefault="001D7BC5">
      <w:pPr>
        <w:pStyle w:val="Normala1053338"/>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09194F" w:rsidRDefault="001D7BC5">
      <w:pPr>
        <w:pStyle w:val="Normala105333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9194F" w:rsidRDefault="001D7BC5">
      <w:pPr>
        <w:spacing w:line="200" w:lineRule="exact"/>
        <w:ind w:firstLine="300"/>
      </w:pPr>
      <w:r>
        <w:rPr>
          <w:rFonts w:cs="宋体"/>
          <w:sz w:val="15"/>
          <w:szCs w:val="20"/>
        </w:rPr>
        <w:t>（一）估值日</w:t>
      </w:r>
    </w:p>
    <w:p w:rsidR="0009194F" w:rsidRDefault="001D7BC5">
      <w:pPr>
        <w:spacing w:line="200" w:lineRule="exact"/>
        <w:ind w:firstLine="300"/>
      </w:pPr>
      <w:r>
        <w:rPr>
          <w:rFonts w:cs="宋体"/>
          <w:sz w:val="15"/>
          <w:szCs w:val="20"/>
        </w:rPr>
        <w:t>本理财产品每个工作日进行估值。</w:t>
      </w:r>
    </w:p>
    <w:p w:rsidR="0009194F" w:rsidRDefault="001D7BC5">
      <w:pPr>
        <w:spacing w:line="200" w:lineRule="exact"/>
        <w:ind w:firstLine="300"/>
      </w:pPr>
      <w:r>
        <w:rPr>
          <w:rFonts w:cs="宋体"/>
          <w:sz w:val="15"/>
          <w:szCs w:val="20"/>
        </w:rPr>
        <w:t>（二）估值对象</w:t>
      </w:r>
    </w:p>
    <w:p w:rsidR="0009194F" w:rsidRDefault="001D7BC5">
      <w:pPr>
        <w:spacing w:line="200" w:lineRule="exact"/>
        <w:ind w:firstLine="300"/>
      </w:pPr>
      <w:r>
        <w:rPr>
          <w:rFonts w:cs="宋体"/>
          <w:sz w:val="15"/>
          <w:szCs w:val="20"/>
        </w:rPr>
        <w:t>本理财产品所拥有的所有资产及负债。</w:t>
      </w:r>
    </w:p>
    <w:p w:rsidR="0009194F" w:rsidRDefault="001D7BC5">
      <w:pPr>
        <w:spacing w:line="200" w:lineRule="exact"/>
        <w:ind w:firstLine="300"/>
      </w:pPr>
      <w:r>
        <w:rPr>
          <w:rFonts w:cs="宋体"/>
          <w:sz w:val="15"/>
          <w:szCs w:val="20"/>
        </w:rPr>
        <w:t>（三）估值目的</w:t>
      </w:r>
    </w:p>
    <w:p w:rsidR="0009194F" w:rsidRDefault="001D7BC5">
      <w:pPr>
        <w:spacing w:line="200" w:lineRule="exact"/>
        <w:ind w:firstLine="300"/>
      </w:pPr>
      <w:r>
        <w:rPr>
          <w:rFonts w:cs="宋体"/>
          <w:sz w:val="15"/>
          <w:szCs w:val="20"/>
        </w:rPr>
        <w:t>客观、准确反映理财产品的价值。</w:t>
      </w:r>
    </w:p>
    <w:p w:rsidR="0009194F" w:rsidRDefault="001D7BC5">
      <w:pPr>
        <w:spacing w:line="200" w:lineRule="exact"/>
        <w:ind w:firstLine="300"/>
      </w:pPr>
      <w:r>
        <w:rPr>
          <w:rFonts w:cs="宋体"/>
          <w:sz w:val="15"/>
          <w:szCs w:val="20"/>
        </w:rPr>
        <w:t>（四）估值原则</w:t>
      </w:r>
    </w:p>
    <w:p w:rsidR="0009194F" w:rsidRDefault="001D7BC5">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09194F" w:rsidRDefault="001D7BC5">
      <w:pPr>
        <w:spacing w:line="200" w:lineRule="exact"/>
        <w:ind w:firstLine="300"/>
      </w:pPr>
      <w:r>
        <w:rPr>
          <w:rFonts w:cs="宋体"/>
          <w:sz w:val="15"/>
          <w:szCs w:val="20"/>
        </w:rPr>
        <w:t>（五）估值方法</w:t>
      </w:r>
    </w:p>
    <w:p w:rsidR="0009194F" w:rsidRDefault="001D7BC5">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09194F" w:rsidRDefault="001D7BC5">
      <w:pPr>
        <w:spacing w:line="200" w:lineRule="exact"/>
        <w:ind w:firstLine="420"/>
      </w:pPr>
      <w:r>
        <w:rPr>
          <w:rFonts w:cs="宋体"/>
          <w:sz w:val="15"/>
          <w:szCs w:val="20"/>
        </w:rPr>
        <w:t>1.</w:t>
      </w:r>
      <w:r>
        <w:rPr>
          <w:rFonts w:cs="宋体"/>
          <w:sz w:val="15"/>
          <w:szCs w:val="20"/>
        </w:rPr>
        <w:t>银行存款、回购等货币市场工具</w:t>
      </w:r>
    </w:p>
    <w:p w:rsidR="0009194F" w:rsidRDefault="001D7BC5">
      <w:pPr>
        <w:spacing w:line="200" w:lineRule="exact"/>
        <w:ind w:firstLine="420"/>
      </w:pPr>
      <w:r>
        <w:rPr>
          <w:rFonts w:cs="宋体"/>
          <w:sz w:val="15"/>
          <w:szCs w:val="20"/>
        </w:rPr>
        <w:t>以本金列示，逐日计提利息。</w:t>
      </w:r>
    </w:p>
    <w:p w:rsidR="0009194F" w:rsidRDefault="001D7BC5">
      <w:pPr>
        <w:spacing w:line="200" w:lineRule="exact"/>
        <w:ind w:firstLine="420"/>
      </w:pPr>
      <w:r>
        <w:rPr>
          <w:rFonts w:cs="宋体"/>
          <w:sz w:val="15"/>
          <w:szCs w:val="20"/>
        </w:rPr>
        <w:t>2.</w:t>
      </w:r>
      <w:r>
        <w:rPr>
          <w:rFonts w:cs="宋体"/>
          <w:sz w:val="15"/>
          <w:szCs w:val="20"/>
        </w:rPr>
        <w:t>债券类资产</w:t>
      </w:r>
    </w:p>
    <w:p w:rsidR="0009194F" w:rsidRDefault="001D7BC5">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的资产按摊余成本法估值，并按照会计准则采用合理减值计量模型或第三方减值计量结果进行预期信用损失</w:t>
      </w:r>
      <w:r>
        <w:rPr>
          <w:rFonts w:cs="宋体"/>
          <w:sz w:val="15"/>
          <w:szCs w:val="20"/>
        </w:rPr>
        <w:t>的减值计提。</w:t>
      </w:r>
    </w:p>
    <w:p w:rsidR="0009194F" w:rsidRDefault="001D7BC5">
      <w:pPr>
        <w:spacing w:line="200" w:lineRule="exact"/>
        <w:ind w:firstLine="420"/>
      </w:pPr>
      <w:r>
        <w:rPr>
          <w:rFonts w:cs="宋体"/>
          <w:sz w:val="15"/>
          <w:szCs w:val="20"/>
        </w:rPr>
        <w:t>3.</w:t>
      </w:r>
      <w:r>
        <w:rPr>
          <w:rFonts w:cs="宋体"/>
          <w:sz w:val="15"/>
          <w:szCs w:val="20"/>
        </w:rPr>
        <w:t>非标准化债权类资产</w:t>
      </w:r>
    </w:p>
    <w:p w:rsidR="0009194F" w:rsidRDefault="001D7BC5">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的资产按摊余成本法估值，并按照会计准则采用合理减值计量模型或第三方减值计量结果进行预期信用损失的减值计提。</w:t>
      </w:r>
    </w:p>
    <w:p w:rsidR="0009194F" w:rsidRDefault="001D7BC5">
      <w:pPr>
        <w:spacing w:line="200" w:lineRule="exact"/>
        <w:ind w:firstLine="420"/>
      </w:pPr>
      <w:r>
        <w:rPr>
          <w:rFonts w:cs="宋体"/>
          <w:sz w:val="15"/>
          <w:szCs w:val="20"/>
        </w:rPr>
        <w:t>4.</w:t>
      </w:r>
      <w:r>
        <w:rPr>
          <w:rFonts w:cs="宋体"/>
          <w:sz w:val="15"/>
          <w:szCs w:val="20"/>
        </w:rPr>
        <w:t>证券投资基金、资管计划、信托计划等资产</w:t>
      </w:r>
    </w:p>
    <w:p w:rsidR="0009194F" w:rsidRDefault="001D7BC5">
      <w:pPr>
        <w:spacing w:line="200" w:lineRule="exact"/>
        <w:ind w:firstLine="420"/>
      </w:pPr>
      <w:r>
        <w:rPr>
          <w:rFonts w:cs="宋体"/>
          <w:sz w:val="15"/>
          <w:szCs w:val="20"/>
        </w:rPr>
        <w:t>按照公允价值估值，优先采用市值法估值。管理人将根据监管要求进行穿透管理，资管产品穿透后与理财公司关于同一投资品种的估值原则、政策、技术和方法等一致。</w:t>
      </w:r>
    </w:p>
    <w:p w:rsidR="0009194F" w:rsidRDefault="001D7BC5">
      <w:pPr>
        <w:spacing w:line="200" w:lineRule="exact"/>
        <w:ind w:firstLine="420"/>
      </w:pPr>
      <w:r>
        <w:rPr>
          <w:rFonts w:cs="宋体"/>
          <w:sz w:val="15"/>
          <w:szCs w:val="20"/>
        </w:rPr>
        <w:t>5.</w:t>
      </w:r>
      <w:r>
        <w:rPr>
          <w:rFonts w:cs="宋体"/>
          <w:sz w:val="15"/>
          <w:szCs w:val="20"/>
        </w:rPr>
        <w:t>股权类及其他资产</w:t>
      </w:r>
    </w:p>
    <w:p w:rsidR="0009194F" w:rsidRDefault="001D7BC5">
      <w:pPr>
        <w:spacing w:line="200" w:lineRule="exact"/>
        <w:ind w:firstLine="420"/>
      </w:pPr>
      <w:r>
        <w:rPr>
          <w:rFonts w:cs="宋体"/>
          <w:sz w:val="15"/>
          <w:szCs w:val="20"/>
        </w:rPr>
        <w:t>按照公允价值估值，优先</w:t>
      </w:r>
      <w:r>
        <w:rPr>
          <w:rFonts w:cs="宋体"/>
          <w:sz w:val="15"/>
          <w:szCs w:val="20"/>
        </w:rPr>
        <w:t>采用市值法估值。</w:t>
      </w:r>
    </w:p>
    <w:p w:rsidR="0009194F" w:rsidRDefault="001D7BC5">
      <w:pPr>
        <w:spacing w:line="200" w:lineRule="exact"/>
        <w:ind w:firstLine="420"/>
      </w:pPr>
      <w:r>
        <w:rPr>
          <w:rFonts w:cs="宋体"/>
          <w:sz w:val="15"/>
          <w:szCs w:val="20"/>
        </w:rPr>
        <w:t>6.</w:t>
      </w:r>
      <w:r>
        <w:rPr>
          <w:rFonts w:cs="宋体"/>
          <w:sz w:val="15"/>
          <w:szCs w:val="20"/>
        </w:rPr>
        <w:t>如有新增事项或变更事项，按国家最新规定或监管最新要求进行调整。</w:t>
      </w:r>
    </w:p>
    <w:p w:rsidR="0009194F" w:rsidRDefault="001D7BC5">
      <w:pPr>
        <w:spacing w:line="200" w:lineRule="exact"/>
        <w:ind w:firstLine="300"/>
      </w:pPr>
      <w:r>
        <w:rPr>
          <w:rFonts w:cs="宋体"/>
          <w:sz w:val="15"/>
          <w:szCs w:val="20"/>
        </w:rPr>
        <w:t>（六）估值错误及暂停估值</w:t>
      </w:r>
    </w:p>
    <w:p w:rsidR="0009194F" w:rsidRDefault="001D7BC5">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09194F" w:rsidRDefault="001D7BC5">
      <w:pPr>
        <w:pStyle w:val="Normala105333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9194F" w:rsidRDefault="001D7BC5">
      <w:pPr>
        <w:pStyle w:val="Normala105333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9194F" w:rsidRDefault="001D7BC5">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9194F" w:rsidRDefault="001D7BC5">
      <w:pPr>
        <w:pStyle w:val="Normala105333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9194F" w:rsidRDefault="001D7BC5">
      <w:pPr>
        <w:pStyle w:val="Normala105333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9194F" w:rsidRDefault="001D7BC5">
      <w:pPr>
        <w:pStyle w:val="Normala105333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9194F" w:rsidRDefault="001D7BC5">
      <w:pPr>
        <w:pStyle w:val="Normala105333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9194F" w:rsidRDefault="001D7BC5">
      <w:pPr>
        <w:pStyle w:val="Normala105333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9194F" w:rsidRDefault="001D7BC5">
      <w:pPr>
        <w:pStyle w:val="Normala105333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09194F" w:rsidRDefault="001D7BC5">
      <w:pPr>
        <w:pStyle w:val="Normala105333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lastRenderedPageBreak/>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9194F" w:rsidRDefault="001D7BC5">
      <w:pPr>
        <w:pStyle w:val="Normala105333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9194F" w:rsidRDefault="001D7BC5">
      <w:pPr>
        <w:pStyle w:val="Normala105333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09194F" w:rsidRDefault="001D7BC5">
      <w:pPr>
        <w:pStyle w:val="Normala105333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09194F" w:rsidRDefault="001D7BC5">
      <w:pPr>
        <w:pStyle w:val="Normala105333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9194F" w:rsidRDefault="001D7BC5">
      <w:pPr>
        <w:pStyle w:val="Normala105333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9194F" w:rsidRDefault="001D7BC5">
      <w:pPr>
        <w:pStyle w:val="Normala105333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9194F" w:rsidRDefault="001D7BC5">
      <w:pPr>
        <w:pStyle w:val="Normala105333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9194F" w:rsidRDefault="001D7BC5">
      <w:pPr>
        <w:pStyle w:val="Normala105333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9194F" w:rsidRDefault="001D7BC5">
      <w:pPr>
        <w:pStyle w:val="Normala105333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9194F" w:rsidRDefault="001D7BC5">
      <w:pPr>
        <w:pStyle w:val="Normala105333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9194F" w:rsidRDefault="001D7BC5">
      <w:pPr>
        <w:pStyle w:val="Normala105333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9194F" w:rsidRDefault="0009194F">
      <w:pPr>
        <w:pStyle w:val="Normala1053338"/>
        <w:widowControl/>
        <w:rPr>
          <w:b/>
          <w:bCs/>
          <w:color w:val="3D3D3D"/>
          <w:kern w:val="0"/>
          <w:sz w:val="15"/>
          <w:szCs w:val="15"/>
        </w:rPr>
      </w:pPr>
    </w:p>
    <w:p w:rsidR="0009194F" w:rsidRDefault="001D7BC5">
      <w:pPr>
        <w:pStyle w:val="Normala1053338"/>
        <w:widowControl/>
        <w:rPr>
          <w:b/>
          <w:bCs/>
          <w:color w:val="3D3D3D"/>
          <w:kern w:val="0"/>
          <w:sz w:val="15"/>
          <w:szCs w:val="15"/>
        </w:rPr>
      </w:pPr>
      <w:r>
        <w:rPr>
          <w:rFonts w:hint="eastAsia"/>
          <w:b/>
          <w:bCs/>
          <w:color w:val="3D3D3D"/>
          <w:kern w:val="0"/>
          <w:sz w:val="15"/>
          <w:szCs w:val="15"/>
        </w:rPr>
        <w:t>风险提示：</w:t>
      </w:r>
    </w:p>
    <w:p w:rsidR="0009194F" w:rsidRDefault="001D7BC5">
      <w:pPr>
        <w:pStyle w:val="Normala105333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E26D0" w:rsidRDefault="003E26D0" w:rsidP="003E26D0">
      <w:pPr>
        <w:pStyle w:val="10"/>
      </w:pPr>
    </w:p>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 w:rsidR="003E26D0" w:rsidRDefault="003E26D0" w:rsidP="003E26D0">
      <w:pPr>
        <w:rPr>
          <w:rFonts w:hint="eastAsia"/>
        </w:rPr>
      </w:pPr>
    </w:p>
    <w:p w:rsidR="003E26D0" w:rsidRDefault="003E26D0" w:rsidP="003E26D0"/>
    <w:p w:rsidR="003E26D0" w:rsidRDefault="003E26D0" w:rsidP="003E26D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3E26D0" w:rsidRDefault="003E26D0" w:rsidP="003E26D0">
      <w:pPr>
        <w:ind w:firstLineChars="200" w:firstLine="321"/>
        <w:jc w:val="center"/>
        <w:rPr>
          <w:rFonts w:ascii="宋体" w:eastAsia="宋体" w:hAnsi="宋体" w:hint="eastAsia"/>
          <w:b/>
          <w:i/>
          <w:sz w:val="16"/>
          <w:szCs w:val="15"/>
          <w:u w:val="single"/>
        </w:rPr>
      </w:pPr>
    </w:p>
    <w:p w:rsidR="003E26D0" w:rsidRDefault="003E26D0" w:rsidP="003E26D0">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E26D0" w:rsidRDefault="003E26D0" w:rsidP="003E26D0">
      <w:pPr>
        <w:pStyle w:val="a7"/>
        <w:spacing w:before="0" w:after="0" w:line="240" w:lineRule="auto"/>
        <w:ind w:firstLine="0"/>
        <w:rPr>
          <w:rFonts w:hint="eastAsia"/>
          <w:spacing w:val="10"/>
          <w:sz w:val="15"/>
          <w:szCs w:val="15"/>
        </w:rPr>
      </w:pPr>
      <w:r>
        <w:rPr>
          <w:rFonts w:hint="eastAsia"/>
          <w:spacing w:val="10"/>
          <w:sz w:val="15"/>
          <w:szCs w:val="15"/>
        </w:rPr>
        <w:t>尊敬的投资者：</w:t>
      </w:r>
    </w:p>
    <w:p w:rsidR="003E26D0" w:rsidRDefault="003E26D0" w:rsidP="003E26D0">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E26D0" w:rsidRDefault="003E26D0" w:rsidP="003E26D0">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3E26D0" w:rsidRDefault="003E26D0" w:rsidP="003E26D0">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E26D0" w:rsidRDefault="003E26D0" w:rsidP="003E26D0">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3E26D0" w:rsidRDefault="003E26D0" w:rsidP="003E26D0">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3E26D0" w:rsidRDefault="003E26D0" w:rsidP="003E26D0">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3E26D0" w:rsidRDefault="003E26D0" w:rsidP="003E26D0">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3E26D0" w:rsidRDefault="003E26D0" w:rsidP="003E26D0">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3E26D0" w:rsidRDefault="003E26D0" w:rsidP="003E26D0">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3E26D0" w:rsidRDefault="003E26D0" w:rsidP="003E26D0">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3E26D0" w:rsidRDefault="003E26D0" w:rsidP="003E26D0">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E26D0" w:rsidRDefault="003E26D0" w:rsidP="003E26D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E26D0" w:rsidRDefault="003E26D0" w:rsidP="003E26D0">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3E26D0" w:rsidRDefault="003E26D0" w:rsidP="003E26D0">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3E26D0" w:rsidRDefault="003E26D0" w:rsidP="003E26D0">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3E26D0" w:rsidRDefault="003E26D0" w:rsidP="003E26D0">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E26D0" w:rsidRDefault="003E26D0" w:rsidP="003E26D0">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3E26D0" w:rsidRDefault="003E26D0" w:rsidP="003E26D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3E26D0" w:rsidRDefault="003E26D0" w:rsidP="003E26D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3E26D0" w:rsidRDefault="003E26D0" w:rsidP="003E26D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3E26D0" w:rsidRDefault="003E26D0" w:rsidP="003E26D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3E26D0" w:rsidRDefault="003E26D0" w:rsidP="003E26D0">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3E26D0" w:rsidRDefault="003E26D0" w:rsidP="003E26D0">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3E26D0" w:rsidRDefault="003E26D0" w:rsidP="003E26D0">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3E26D0" w:rsidRDefault="003E26D0" w:rsidP="003E26D0">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3E26D0" w:rsidRDefault="003E26D0" w:rsidP="003E26D0">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rsidR="003E26D0" w:rsidRDefault="003E26D0" w:rsidP="003E26D0">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3E26D0" w:rsidRDefault="003E26D0" w:rsidP="003E26D0">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3E26D0" w:rsidRDefault="003E26D0" w:rsidP="003E26D0">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3E26D0" w:rsidRDefault="003E26D0" w:rsidP="003E26D0">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3E26D0" w:rsidRDefault="003E26D0" w:rsidP="003E26D0">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3E26D0" w:rsidRDefault="003E26D0" w:rsidP="003E26D0">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3E26D0" w:rsidRDefault="003E26D0" w:rsidP="003E26D0">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3E26D0" w:rsidRDefault="003E26D0" w:rsidP="003E26D0">
      <w:pPr>
        <w:pStyle w:val="a7"/>
        <w:spacing w:before="0" w:after="0" w:line="240" w:lineRule="auto"/>
        <w:ind w:firstLineChars="199" w:firstLine="338"/>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rsidR="003E26D0" w:rsidRDefault="003E26D0" w:rsidP="003E26D0">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E26D0" w:rsidRDefault="003E26D0" w:rsidP="003E26D0">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3E26D0" w:rsidRDefault="003E26D0" w:rsidP="003E26D0">
      <w:pPr>
        <w:pStyle w:val="a7"/>
        <w:spacing w:before="0" w:after="0" w:line="240" w:lineRule="auto"/>
        <w:ind w:firstLineChars="198" w:firstLine="338"/>
        <w:jc w:val="both"/>
        <w:rPr>
          <w:b/>
          <w:bCs/>
          <w:spacing w:val="10"/>
          <w:sz w:val="15"/>
          <w:szCs w:val="15"/>
        </w:rPr>
      </w:pPr>
    </w:p>
    <w:p w:rsidR="003E26D0" w:rsidRDefault="003E26D0" w:rsidP="003E26D0">
      <w:pPr>
        <w:pStyle w:val="a7"/>
        <w:spacing w:before="0" w:after="0" w:line="240" w:lineRule="auto"/>
        <w:ind w:firstLineChars="198" w:firstLine="338"/>
        <w:jc w:val="both"/>
        <w:rPr>
          <w:b/>
          <w:bCs/>
          <w:spacing w:val="10"/>
          <w:sz w:val="15"/>
          <w:szCs w:val="15"/>
        </w:rPr>
      </w:pPr>
    </w:p>
    <w:p w:rsidR="003E26D0" w:rsidRDefault="003E26D0" w:rsidP="003E26D0">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3E26D0" w:rsidTr="003E26D0">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3E26D0" w:rsidRDefault="003E26D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南银理财理财产品风险等级</w:t>
            </w:r>
          </w:p>
        </w:tc>
      </w:tr>
      <w:tr w:rsidR="003E26D0" w:rsidTr="003E26D0">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3E26D0" w:rsidRDefault="003E26D0">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3E26D0" w:rsidTr="003E26D0">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r>
      <w:tr w:rsidR="003E26D0" w:rsidTr="003E26D0">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r>
      <w:tr w:rsidR="003E26D0" w:rsidTr="003E26D0">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r>
      <w:tr w:rsidR="003E26D0" w:rsidTr="003E26D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r>
      <w:tr w:rsidR="003E26D0" w:rsidTr="003E26D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3E26D0" w:rsidRDefault="003E26D0">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3E26D0" w:rsidRDefault="003E26D0">
            <w:pPr>
              <w:widowControl/>
              <w:snapToGrid w:val="0"/>
              <w:jc w:val="center"/>
              <w:rPr>
                <w:rFonts w:ascii="宋体" w:hAnsi="宋体" w:cs="宋体" w:hint="eastAsia"/>
                <w:kern w:val="0"/>
                <w:sz w:val="15"/>
                <w:szCs w:val="15"/>
              </w:rPr>
            </w:pPr>
            <w:r>
              <w:rPr>
                <w:rFonts w:hint="eastAsia"/>
                <w:spacing w:val="10"/>
                <w:sz w:val="15"/>
                <w:szCs w:val="15"/>
              </w:rPr>
              <w:t>×</w:t>
            </w:r>
          </w:p>
        </w:tc>
      </w:tr>
    </w:tbl>
    <w:p w:rsidR="003E26D0" w:rsidRDefault="003E26D0" w:rsidP="003E26D0">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3E26D0" w:rsidRDefault="003E26D0" w:rsidP="003E26D0">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E26D0" w:rsidRDefault="003E26D0" w:rsidP="003E26D0">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3E26D0" w:rsidRDefault="003E26D0" w:rsidP="003E26D0">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3E26D0" w:rsidRDefault="003E26D0" w:rsidP="003E26D0">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3E26D0" w:rsidRDefault="003E26D0" w:rsidP="003E26D0">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3E26D0" w:rsidRDefault="003E26D0" w:rsidP="003E26D0">
      <w:pPr>
        <w:pStyle w:val="a7"/>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3E26D0" w:rsidRDefault="003E26D0" w:rsidP="003E26D0">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3E26D0" w:rsidRDefault="003E26D0" w:rsidP="003E26D0">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3E26D0" w:rsidRDefault="003E26D0" w:rsidP="003E26D0">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3E26D0" w:rsidRDefault="003E26D0" w:rsidP="003E26D0">
      <w:pPr>
        <w:pStyle w:val="a7"/>
        <w:spacing w:before="0" w:after="0" w:line="240" w:lineRule="auto"/>
        <w:ind w:firstLineChars="200" w:firstLine="341"/>
        <w:rPr>
          <w:b/>
          <w:spacing w:val="10"/>
          <w:sz w:val="15"/>
          <w:szCs w:val="15"/>
        </w:rPr>
      </w:pPr>
    </w:p>
    <w:p w:rsidR="003E26D0" w:rsidRDefault="003E26D0" w:rsidP="003E26D0">
      <w:pPr>
        <w:pStyle w:val="a7"/>
        <w:spacing w:before="0" w:after="0" w:line="240" w:lineRule="auto"/>
        <w:ind w:firstLine="0"/>
        <w:jc w:val="both"/>
        <w:rPr>
          <w:b/>
          <w:spacing w:val="10"/>
          <w:sz w:val="15"/>
          <w:szCs w:val="15"/>
          <w:u w:val="single"/>
        </w:rPr>
      </w:pPr>
    </w:p>
    <w:p w:rsidR="003E26D0" w:rsidRDefault="003E26D0" w:rsidP="003E26D0">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3E26D0" w:rsidRDefault="003E26D0" w:rsidP="003E26D0">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E26D0" w:rsidRDefault="003E26D0" w:rsidP="003E26D0">
      <w:pPr>
        <w:widowControl/>
        <w:jc w:val="left"/>
        <w:rPr>
          <w:b/>
          <w:spacing w:val="10"/>
          <w:kern w:val="0"/>
          <w:sz w:val="15"/>
          <w:szCs w:val="15"/>
          <w:u w:val="single"/>
        </w:rPr>
        <w:sectPr w:rsidR="003E26D0">
          <w:pgSz w:w="11906" w:h="16838"/>
          <w:pgMar w:top="720" w:right="720" w:bottom="720" w:left="720" w:header="851" w:footer="992" w:gutter="0"/>
          <w:cols w:space="720"/>
          <w:docGrid w:type="lines" w:linePitch="312"/>
        </w:sect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r>
        <w:rPr>
          <w:rFonts w:eastAsia="黑体" w:hint="eastAsia"/>
          <w:b/>
          <w:bCs/>
          <w:sz w:val="24"/>
          <w:szCs w:val="15"/>
        </w:rPr>
        <w:t>理财产品销售协议书</w:t>
      </w:r>
    </w:p>
    <w:p w:rsidR="003E26D0" w:rsidRDefault="003E26D0" w:rsidP="003E26D0">
      <w:pPr>
        <w:tabs>
          <w:tab w:val="left" w:pos="0"/>
        </w:tabs>
        <w:jc w:val="center"/>
        <w:rPr>
          <w:rFonts w:eastAsia="宋体"/>
          <w:sz w:val="18"/>
        </w:rPr>
      </w:pPr>
    </w:p>
    <w:p w:rsidR="003E26D0" w:rsidRDefault="003E26D0" w:rsidP="003E26D0">
      <w:pPr>
        <w:tabs>
          <w:tab w:val="left" w:pos="0"/>
        </w:tabs>
        <w:jc w:val="center"/>
      </w:pPr>
    </w:p>
    <w:p w:rsidR="003E26D0" w:rsidRDefault="003E26D0" w:rsidP="003E26D0">
      <w:pPr>
        <w:tabs>
          <w:tab w:val="left" w:pos="0"/>
        </w:tabs>
        <w:jc w:val="center"/>
      </w:pPr>
    </w:p>
    <w:p w:rsidR="003E26D0" w:rsidRDefault="003E26D0" w:rsidP="003E26D0">
      <w:pPr>
        <w:tabs>
          <w:tab w:val="left" w:pos="0"/>
        </w:tabs>
        <w:jc w:val="center"/>
      </w:pPr>
    </w:p>
    <w:p w:rsidR="003E26D0" w:rsidRDefault="003E26D0" w:rsidP="003E26D0">
      <w:pPr>
        <w:tabs>
          <w:tab w:val="left" w:pos="0"/>
        </w:tabs>
        <w:jc w:val="center"/>
      </w:pPr>
    </w:p>
    <w:p w:rsidR="003E26D0" w:rsidRDefault="003E26D0" w:rsidP="003E26D0">
      <w:pPr>
        <w:tabs>
          <w:tab w:val="left" w:pos="0"/>
        </w:tabs>
        <w:jc w:val="center"/>
      </w:pPr>
    </w:p>
    <w:p w:rsidR="003E26D0" w:rsidRDefault="003E26D0" w:rsidP="003E26D0">
      <w:pPr>
        <w:tabs>
          <w:tab w:val="left" w:pos="0"/>
        </w:tabs>
        <w:jc w:val="center"/>
      </w:pPr>
    </w:p>
    <w:p w:rsidR="003E26D0" w:rsidRDefault="003E26D0" w:rsidP="003E26D0">
      <w:pPr>
        <w:tabs>
          <w:tab w:val="left" w:pos="0"/>
        </w:tabs>
        <w:jc w:val="center"/>
      </w:pPr>
    </w:p>
    <w:p w:rsidR="003E26D0" w:rsidRDefault="003E26D0" w:rsidP="003E26D0">
      <w:pPr>
        <w:tabs>
          <w:tab w:val="left" w:pos="0"/>
        </w:tabs>
        <w:jc w:val="center"/>
      </w:pPr>
      <w:r>
        <w:rPr>
          <w:rFonts w:hint="eastAsia"/>
        </w:rPr>
        <w:t>编制单位：</w:t>
      </w:r>
      <w:r>
        <w:rPr>
          <w:rFonts w:hint="eastAsia"/>
          <w:u w:val="single"/>
        </w:rPr>
        <w:t>南银理财有限责任公司</w:t>
      </w:r>
    </w:p>
    <w:p w:rsidR="003E26D0" w:rsidRDefault="003E26D0" w:rsidP="003E26D0">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3E26D0" w:rsidRDefault="003E26D0" w:rsidP="003E26D0">
      <w:pPr>
        <w:adjustRightInd w:val="0"/>
        <w:snapToGrid w:val="0"/>
        <w:spacing w:line="0" w:lineRule="atLeast"/>
        <w:rPr>
          <w:rFonts w:eastAsia="宋体"/>
          <w:b/>
          <w:bCs/>
          <w:sz w:val="18"/>
        </w:rPr>
      </w:pPr>
      <w:r>
        <w:rPr>
          <w:rFonts w:hint="eastAsia"/>
          <w:b/>
          <w:bCs/>
        </w:rPr>
        <w:lastRenderedPageBreak/>
        <w:t>风险提示：</w:t>
      </w:r>
    </w:p>
    <w:p w:rsidR="003E26D0" w:rsidRDefault="003E26D0" w:rsidP="003E26D0">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3E26D0" w:rsidRDefault="003E26D0" w:rsidP="003E26D0">
      <w:pPr>
        <w:tabs>
          <w:tab w:val="left" w:pos="7920"/>
          <w:tab w:val="left" w:pos="8100"/>
        </w:tabs>
        <w:spacing w:line="0" w:lineRule="atLeast"/>
        <w:rPr>
          <w:b/>
          <w:bCs/>
          <w:szCs w:val="18"/>
        </w:rPr>
      </w:pPr>
    </w:p>
    <w:p w:rsidR="003E26D0" w:rsidRDefault="003E26D0" w:rsidP="003E26D0">
      <w:pPr>
        <w:spacing w:line="0" w:lineRule="atLeast"/>
        <w:jc w:val="center"/>
        <w:rPr>
          <w:rFonts w:eastAsia="黑体"/>
          <w:b/>
          <w:bCs/>
          <w:sz w:val="24"/>
          <w:szCs w:val="15"/>
        </w:rPr>
      </w:pPr>
    </w:p>
    <w:p w:rsidR="003E26D0" w:rsidRDefault="003E26D0" w:rsidP="003E26D0">
      <w:pPr>
        <w:spacing w:line="0" w:lineRule="atLeast"/>
        <w:jc w:val="center"/>
        <w:rPr>
          <w:rFonts w:eastAsia="黑体"/>
          <w:b/>
          <w:bCs/>
          <w:sz w:val="24"/>
          <w:szCs w:val="15"/>
        </w:rPr>
      </w:pPr>
      <w:r>
        <w:rPr>
          <w:rFonts w:eastAsia="黑体" w:hint="eastAsia"/>
          <w:b/>
          <w:bCs/>
          <w:sz w:val="24"/>
          <w:szCs w:val="15"/>
        </w:rPr>
        <w:t>理财产品销售协议书</w:t>
      </w:r>
    </w:p>
    <w:p w:rsidR="003E26D0" w:rsidRDefault="003E26D0" w:rsidP="003E26D0">
      <w:pPr>
        <w:spacing w:line="200" w:lineRule="exact"/>
        <w:ind w:firstLineChars="200" w:firstLine="300"/>
        <w:rPr>
          <w:rFonts w:eastAsia="方正细黑一简体"/>
          <w:sz w:val="15"/>
          <w:szCs w:val="15"/>
        </w:rPr>
      </w:pPr>
    </w:p>
    <w:p w:rsidR="003E26D0" w:rsidRDefault="003E26D0" w:rsidP="003E26D0">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3E26D0" w:rsidRDefault="003E26D0" w:rsidP="003E26D0">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3E26D0" w:rsidRDefault="003E26D0" w:rsidP="003E26D0">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3E26D0" w:rsidRDefault="003E26D0" w:rsidP="003E26D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3E26D0" w:rsidRDefault="003E26D0" w:rsidP="003E26D0">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3E26D0" w:rsidRDefault="003E26D0" w:rsidP="003E26D0">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3E26D0" w:rsidRDefault="003E26D0" w:rsidP="003E26D0">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3E26D0" w:rsidRDefault="003E26D0" w:rsidP="003E26D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3E26D0" w:rsidRDefault="003E26D0" w:rsidP="003E26D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3E26D0" w:rsidRDefault="003E26D0" w:rsidP="003E26D0">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3E26D0" w:rsidRDefault="003E26D0" w:rsidP="003E26D0">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rsidR="003E26D0" w:rsidRDefault="003E26D0" w:rsidP="003E26D0">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3E26D0" w:rsidRDefault="003E26D0" w:rsidP="003E26D0">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3E26D0" w:rsidRDefault="003E26D0" w:rsidP="003E26D0">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3E26D0" w:rsidRDefault="003E26D0" w:rsidP="003E26D0">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3E26D0" w:rsidRDefault="003E26D0" w:rsidP="003E26D0">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3E26D0" w:rsidRDefault="003E26D0" w:rsidP="003E26D0">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3E26D0" w:rsidRDefault="003E26D0" w:rsidP="003E26D0">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E26D0" w:rsidRDefault="003E26D0" w:rsidP="003E26D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E26D0" w:rsidRDefault="003E26D0" w:rsidP="003E26D0">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3E26D0" w:rsidRDefault="003E26D0" w:rsidP="003E26D0">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3E26D0" w:rsidRDefault="003E26D0" w:rsidP="003E26D0">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3E26D0" w:rsidRDefault="003E26D0" w:rsidP="003E26D0">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3E26D0" w:rsidRDefault="003E26D0" w:rsidP="003E26D0">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3E26D0" w:rsidRDefault="003E26D0" w:rsidP="003E26D0">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3E26D0" w:rsidRDefault="003E26D0" w:rsidP="003E26D0">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E26D0" w:rsidRDefault="003E26D0" w:rsidP="003E26D0">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3E26D0" w:rsidRDefault="003E26D0" w:rsidP="003E26D0">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3E26D0" w:rsidRDefault="003E26D0" w:rsidP="003E26D0">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3E26D0" w:rsidRDefault="003E26D0" w:rsidP="003E26D0">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3E26D0" w:rsidRDefault="003E26D0" w:rsidP="003E26D0">
      <w:pPr>
        <w:pStyle w:val="1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rsidR="003E26D0" w:rsidRDefault="003E26D0" w:rsidP="003E26D0">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3E26D0" w:rsidRDefault="003E26D0" w:rsidP="003E26D0">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3E26D0" w:rsidRDefault="003E26D0" w:rsidP="003E26D0">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3E26D0" w:rsidRDefault="003E26D0" w:rsidP="003E26D0">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3E26D0" w:rsidRDefault="003E26D0" w:rsidP="003E26D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3E26D0" w:rsidRDefault="003E26D0" w:rsidP="003E26D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E26D0" w:rsidRDefault="003E26D0" w:rsidP="003E26D0">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3E26D0" w:rsidRDefault="003E26D0" w:rsidP="003E26D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3E26D0" w:rsidRDefault="003E26D0" w:rsidP="003E26D0">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E26D0" w:rsidRDefault="003E26D0" w:rsidP="003E26D0">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3E26D0" w:rsidRDefault="003E26D0" w:rsidP="003E26D0">
      <w:pPr>
        <w:spacing w:line="200" w:lineRule="exact"/>
        <w:ind w:firstLineChars="200" w:firstLine="341"/>
        <w:rPr>
          <w:b/>
          <w:spacing w:val="10"/>
          <w:sz w:val="15"/>
          <w:szCs w:val="15"/>
        </w:rPr>
      </w:pPr>
      <w:r>
        <w:rPr>
          <w:rFonts w:hint="eastAsia"/>
          <w:b/>
          <w:spacing w:val="10"/>
          <w:sz w:val="15"/>
          <w:szCs w:val="15"/>
        </w:rPr>
        <w:t>在本理财产品存续期内：</w:t>
      </w:r>
    </w:p>
    <w:p w:rsidR="003E26D0" w:rsidRDefault="003E26D0" w:rsidP="003E26D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E26D0" w:rsidRDefault="003E26D0" w:rsidP="003E26D0">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E26D0" w:rsidRDefault="003E26D0" w:rsidP="003E26D0">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3E26D0" w:rsidRDefault="003E26D0" w:rsidP="003E26D0">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3E26D0" w:rsidRDefault="003E26D0" w:rsidP="003E26D0">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rsidR="003E26D0" w:rsidRDefault="003E26D0" w:rsidP="003E26D0">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3E26D0" w:rsidRDefault="003E26D0" w:rsidP="003E26D0">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3E26D0" w:rsidRDefault="003E26D0" w:rsidP="003E26D0">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3E26D0" w:rsidRDefault="003E26D0" w:rsidP="003E26D0">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3E26D0" w:rsidRDefault="003E26D0" w:rsidP="003E26D0">
      <w:pPr>
        <w:spacing w:line="200" w:lineRule="exact"/>
        <w:ind w:firstLineChars="200" w:firstLine="34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3E26D0" w:rsidRDefault="003E26D0" w:rsidP="003E26D0">
      <w:pPr>
        <w:numPr>
          <w:ilvl w:val="0"/>
          <w:numId w:val="12"/>
        </w:numPr>
        <w:spacing w:line="200" w:lineRule="exact"/>
        <w:ind w:firstLineChars="200" w:firstLine="340"/>
        <w:rPr>
          <w:spacing w:val="10"/>
          <w:sz w:val="15"/>
          <w:szCs w:val="15"/>
        </w:rPr>
      </w:pPr>
      <w:r>
        <w:rPr>
          <w:rFonts w:hint="eastAsia"/>
          <w:bCs/>
          <w:spacing w:val="10"/>
          <w:sz w:val="15"/>
          <w:szCs w:val="15"/>
        </w:rPr>
        <w:t>抵销</w:t>
      </w:r>
    </w:p>
    <w:p w:rsidR="003E26D0" w:rsidRDefault="003E26D0" w:rsidP="003E26D0">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rsidR="003E26D0" w:rsidRDefault="003E26D0" w:rsidP="003E26D0">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rsidR="003E26D0" w:rsidRDefault="003E26D0" w:rsidP="003E26D0">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3E26D0" w:rsidRDefault="003E26D0" w:rsidP="003E26D0">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E26D0" w:rsidRDefault="003E26D0" w:rsidP="003E26D0">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3E26D0" w:rsidRDefault="003E26D0" w:rsidP="003E26D0">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3E26D0" w:rsidRDefault="003E26D0" w:rsidP="003E26D0">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3E26D0" w:rsidRDefault="003E26D0" w:rsidP="003E26D0">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3E26D0" w:rsidRDefault="003E26D0" w:rsidP="003E26D0">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3E26D0" w:rsidRDefault="003E26D0" w:rsidP="003E26D0">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3E26D0" w:rsidRDefault="003E26D0" w:rsidP="003E26D0">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3E26D0" w:rsidRDefault="003E26D0" w:rsidP="003E26D0">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E26D0" w:rsidRDefault="003E26D0" w:rsidP="003E26D0">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3E26D0" w:rsidRDefault="003E26D0" w:rsidP="003E26D0">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3E26D0" w:rsidRDefault="003E26D0" w:rsidP="003E26D0">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3E26D0" w:rsidRDefault="003E26D0" w:rsidP="003E26D0">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3E26D0" w:rsidRDefault="003E26D0" w:rsidP="003E26D0">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E26D0" w:rsidRDefault="003E26D0" w:rsidP="003E26D0">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3E26D0" w:rsidRDefault="003E26D0" w:rsidP="003E26D0">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3E26D0" w:rsidRDefault="003E26D0" w:rsidP="003E26D0">
      <w:pPr>
        <w:spacing w:line="200" w:lineRule="exact"/>
        <w:ind w:firstLineChars="200" w:firstLine="340"/>
        <w:rPr>
          <w:spacing w:val="10"/>
          <w:sz w:val="15"/>
          <w:szCs w:val="15"/>
        </w:rPr>
      </w:pPr>
    </w:p>
    <w:p w:rsidR="003E26D0" w:rsidRDefault="003E26D0" w:rsidP="003E26D0">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3E26D0" w:rsidTr="003E26D0">
        <w:trPr>
          <w:jc w:val="center"/>
        </w:trPr>
        <w:tc>
          <w:tcPr>
            <w:tcW w:w="4812" w:type="dxa"/>
            <w:hideMark/>
          </w:tcPr>
          <w:p w:rsidR="003E26D0" w:rsidRDefault="003E26D0">
            <w:pPr>
              <w:spacing w:line="200" w:lineRule="exact"/>
              <w:rPr>
                <w:spacing w:val="10"/>
                <w:sz w:val="15"/>
                <w:szCs w:val="15"/>
              </w:rPr>
            </w:pPr>
            <w:r>
              <w:rPr>
                <w:rFonts w:hint="eastAsia"/>
                <w:spacing w:val="10"/>
                <w:sz w:val="15"/>
                <w:szCs w:val="15"/>
              </w:rPr>
              <w:t>个人投资者（如适用）：</w:t>
            </w:r>
          </w:p>
        </w:tc>
        <w:tc>
          <w:tcPr>
            <w:tcW w:w="4713" w:type="dxa"/>
            <w:hideMark/>
          </w:tcPr>
          <w:p w:rsidR="003E26D0" w:rsidRDefault="003E26D0">
            <w:pPr>
              <w:spacing w:line="200" w:lineRule="exact"/>
              <w:rPr>
                <w:spacing w:val="10"/>
                <w:sz w:val="15"/>
                <w:szCs w:val="15"/>
              </w:rPr>
            </w:pPr>
            <w:r>
              <w:rPr>
                <w:rFonts w:hint="eastAsia"/>
                <w:spacing w:val="10"/>
                <w:sz w:val="15"/>
                <w:szCs w:val="15"/>
              </w:rPr>
              <w:t>机构投资者（如适用）：</w:t>
            </w:r>
          </w:p>
        </w:tc>
      </w:tr>
      <w:tr w:rsidR="003E26D0" w:rsidTr="003E26D0">
        <w:trPr>
          <w:jc w:val="center"/>
        </w:trPr>
        <w:tc>
          <w:tcPr>
            <w:tcW w:w="4812" w:type="dxa"/>
          </w:tcPr>
          <w:p w:rsidR="003E26D0" w:rsidRDefault="003E26D0">
            <w:pPr>
              <w:spacing w:line="200" w:lineRule="exact"/>
              <w:ind w:firstLineChars="200" w:firstLine="340"/>
              <w:rPr>
                <w:spacing w:val="10"/>
                <w:sz w:val="15"/>
                <w:szCs w:val="15"/>
              </w:rPr>
            </w:pPr>
          </w:p>
          <w:p w:rsidR="003E26D0" w:rsidRDefault="003E26D0">
            <w:pPr>
              <w:spacing w:line="200" w:lineRule="exact"/>
              <w:rPr>
                <w:spacing w:val="10"/>
                <w:sz w:val="15"/>
                <w:szCs w:val="15"/>
              </w:rPr>
            </w:pPr>
            <w:r>
              <w:rPr>
                <w:rFonts w:hint="eastAsia"/>
                <w:spacing w:val="10"/>
                <w:sz w:val="15"/>
                <w:szCs w:val="15"/>
              </w:rPr>
              <w:t>投资者：（签名）</w:t>
            </w:r>
          </w:p>
          <w:p w:rsidR="003E26D0" w:rsidRDefault="003E26D0">
            <w:pPr>
              <w:spacing w:line="200" w:lineRule="exact"/>
              <w:ind w:firstLineChars="400" w:firstLine="680"/>
              <w:rPr>
                <w:spacing w:val="10"/>
                <w:sz w:val="15"/>
                <w:szCs w:val="15"/>
              </w:rPr>
            </w:pPr>
          </w:p>
          <w:p w:rsidR="003E26D0" w:rsidRDefault="003E26D0">
            <w:pPr>
              <w:spacing w:line="200" w:lineRule="exact"/>
              <w:ind w:firstLineChars="500" w:firstLine="850"/>
              <w:rPr>
                <w:spacing w:val="10"/>
                <w:sz w:val="15"/>
                <w:szCs w:val="15"/>
              </w:rPr>
            </w:pPr>
          </w:p>
          <w:p w:rsidR="003E26D0" w:rsidRDefault="003E26D0">
            <w:pPr>
              <w:spacing w:line="200" w:lineRule="exact"/>
              <w:ind w:firstLineChars="500" w:firstLine="850"/>
              <w:rPr>
                <w:spacing w:val="10"/>
                <w:sz w:val="15"/>
                <w:szCs w:val="15"/>
              </w:rPr>
            </w:pPr>
            <w:r>
              <w:rPr>
                <w:rFonts w:hint="eastAsia"/>
                <w:spacing w:val="10"/>
                <w:sz w:val="15"/>
                <w:szCs w:val="15"/>
              </w:rPr>
              <w:t>年月日</w:t>
            </w:r>
          </w:p>
        </w:tc>
        <w:tc>
          <w:tcPr>
            <w:tcW w:w="4713" w:type="dxa"/>
          </w:tcPr>
          <w:p w:rsidR="003E26D0" w:rsidRDefault="003E26D0">
            <w:pPr>
              <w:spacing w:line="200" w:lineRule="exact"/>
              <w:ind w:firstLineChars="200" w:firstLine="340"/>
              <w:rPr>
                <w:spacing w:val="10"/>
                <w:sz w:val="15"/>
                <w:szCs w:val="15"/>
              </w:rPr>
            </w:pPr>
          </w:p>
          <w:p w:rsidR="003E26D0" w:rsidRDefault="003E26D0">
            <w:pPr>
              <w:spacing w:line="200" w:lineRule="exact"/>
              <w:rPr>
                <w:spacing w:val="10"/>
                <w:sz w:val="15"/>
                <w:szCs w:val="15"/>
              </w:rPr>
            </w:pPr>
            <w:r>
              <w:rPr>
                <w:rFonts w:hint="eastAsia"/>
                <w:spacing w:val="10"/>
                <w:sz w:val="15"/>
                <w:szCs w:val="15"/>
              </w:rPr>
              <w:t>投资者：（公章或合同专用章）</w:t>
            </w:r>
          </w:p>
          <w:p w:rsidR="003E26D0" w:rsidRDefault="003E26D0">
            <w:pPr>
              <w:spacing w:line="200" w:lineRule="exact"/>
              <w:rPr>
                <w:spacing w:val="10"/>
                <w:sz w:val="15"/>
                <w:szCs w:val="15"/>
              </w:rPr>
            </w:pPr>
          </w:p>
          <w:p w:rsidR="003E26D0" w:rsidRDefault="003E26D0">
            <w:pPr>
              <w:spacing w:line="200" w:lineRule="exact"/>
              <w:rPr>
                <w:spacing w:val="10"/>
                <w:sz w:val="15"/>
                <w:szCs w:val="15"/>
              </w:rPr>
            </w:pPr>
          </w:p>
          <w:p w:rsidR="003E26D0" w:rsidRDefault="003E26D0">
            <w:pPr>
              <w:spacing w:line="200" w:lineRule="exact"/>
              <w:rPr>
                <w:spacing w:val="10"/>
                <w:sz w:val="15"/>
                <w:szCs w:val="15"/>
              </w:rPr>
            </w:pPr>
            <w:r>
              <w:rPr>
                <w:rFonts w:hint="eastAsia"/>
                <w:spacing w:val="10"/>
                <w:sz w:val="15"/>
                <w:szCs w:val="15"/>
              </w:rPr>
              <w:t>法定代表人或授权代理人：（签名或盖章）</w:t>
            </w:r>
          </w:p>
          <w:p w:rsidR="003E26D0" w:rsidRDefault="003E26D0">
            <w:pPr>
              <w:spacing w:line="200" w:lineRule="exact"/>
              <w:ind w:firstLineChars="400" w:firstLine="680"/>
              <w:rPr>
                <w:spacing w:val="10"/>
                <w:sz w:val="15"/>
                <w:szCs w:val="15"/>
              </w:rPr>
            </w:pPr>
          </w:p>
          <w:p w:rsidR="003E26D0" w:rsidRDefault="003E26D0">
            <w:pPr>
              <w:spacing w:line="200" w:lineRule="exact"/>
              <w:ind w:firstLineChars="400" w:firstLine="680"/>
              <w:rPr>
                <w:spacing w:val="10"/>
                <w:sz w:val="15"/>
                <w:szCs w:val="15"/>
              </w:rPr>
            </w:pPr>
            <w:r>
              <w:rPr>
                <w:rFonts w:hint="eastAsia"/>
                <w:spacing w:val="10"/>
                <w:sz w:val="15"/>
                <w:szCs w:val="15"/>
              </w:rPr>
              <w:t>年月日</w:t>
            </w:r>
          </w:p>
        </w:tc>
      </w:tr>
    </w:tbl>
    <w:p w:rsidR="003E26D0" w:rsidRDefault="003E26D0" w:rsidP="003E26D0">
      <w:pPr>
        <w:spacing w:line="200" w:lineRule="exact"/>
        <w:rPr>
          <w:rFonts w:ascii="Times New Roman" w:hAnsi="Times New Roman"/>
          <w:spacing w:val="10"/>
          <w:sz w:val="15"/>
          <w:szCs w:val="15"/>
        </w:rPr>
      </w:pPr>
    </w:p>
    <w:p w:rsidR="003E26D0" w:rsidRDefault="003E26D0" w:rsidP="003E26D0">
      <w:pPr>
        <w:widowControl/>
        <w:spacing w:line="360" w:lineRule="auto"/>
        <w:jc w:val="left"/>
        <w:rPr>
          <w:kern w:val="0"/>
        </w:rPr>
        <w:sectPr w:rsidR="003E26D0">
          <w:pgSz w:w="11906" w:h="16838"/>
          <w:pgMar w:top="720" w:right="720" w:bottom="720" w:left="720" w:header="851" w:footer="992" w:gutter="0"/>
          <w:cols w:space="720"/>
          <w:docGrid w:type="lines" w:linePitch="312"/>
        </w:sectPr>
      </w:pPr>
    </w:p>
    <w:p w:rsidR="003E26D0" w:rsidRDefault="003E26D0" w:rsidP="003E26D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E26D0" w:rsidRDefault="003E26D0" w:rsidP="003E26D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3E26D0" w:rsidRDefault="003E26D0" w:rsidP="003E26D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3E26D0" w:rsidRDefault="003E26D0" w:rsidP="003E26D0">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3E26D0" w:rsidRDefault="003E26D0" w:rsidP="003E26D0">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3E26D0" w:rsidRDefault="003E26D0" w:rsidP="003E26D0">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E26D0" w:rsidRDefault="003E26D0" w:rsidP="003E26D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E26D0" w:rsidRDefault="003E26D0" w:rsidP="003E26D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E26D0" w:rsidRDefault="003E26D0" w:rsidP="003E26D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3E26D0" w:rsidRDefault="003E26D0" w:rsidP="003E26D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E26D0" w:rsidRDefault="003E26D0" w:rsidP="003E26D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3E26D0" w:rsidRDefault="003E26D0" w:rsidP="003E26D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E26D0" w:rsidRDefault="003E26D0" w:rsidP="003E26D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E26D0" w:rsidRDefault="003E26D0" w:rsidP="003E26D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E26D0" w:rsidRDefault="003E26D0" w:rsidP="003E26D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3E26D0" w:rsidRDefault="003E26D0" w:rsidP="003E26D0">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E26D0" w:rsidRDefault="003E26D0" w:rsidP="003E26D0">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3E26D0" w:rsidRDefault="003E26D0" w:rsidP="003E26D0">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E26D0" w:rsidRDefault="003E26D0" w:rsidP="003E26D0">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3E26D0" w:rsidRDefault="003E26D0" w:rsidP="003E26D0">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3E26D0" w:rsidRDefault="003E26D0" w:rsidP="003E26D0">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E26D0" w:rsidRDefault="003E26D0" w:rsidP="003E26D0">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E26D0" w:rsidRDefault="003E26D0" w:rsidP="003E26D0">
      <w:pPr>
        <w:pStyle w:val="12"/>
        <w:spacing w:line="360" w:lineRule="auto"/>
        <w:ind w:firstLine="400"/>
        <w:rPr>
          <w:rFonts w:ascii="宋体" w:hAnsi="宋体" w:cs="宋体" w:hint="eastAsia"/>
          <w:sz w:val="20"/>
          <w:szCs w:val="21"/>
        </w:rPr>
      </w:pPr>
    </w:p>
    <w:p w:rsidR="003E26D0" w:rsidRDefault="003E26D0" w:rsidP="003E26D0">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E26D0" w:rsidRDefault="003E26D0" w:rsidP="003E26D0">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3E26D0" w:rsidRDefault="003E26D0" w:rsidP="003E26D0">
      <w:pPr>
        <w:pStyle w:val="12"/>
        <w:spacing w:line="360" w:lineRule="auto"/>
        <w:ind w:firstLine="400"/>
        <w:rPr>
          <w:rFonts w:ascii="宋体" w:hAnsi="宋体" w:cs="宋体" w:hint="eastAsia"/>
          <w:sz w:val="20"/>
          <w:szCs w:val="21"/>
        </w:rPr>
      </w:pPr>
    </w:p>
    <w:p w:rsidR="003E26D0" w:rsidRDefault="003E26D0" w:rsidP="003E26D0">
      <w:pPr>
        <w:spacing w:line="360" w:lineRule="auto"/>
        <w:rPr>
          <w:rStyle w:val="fontstyle01"/>
          <w:sz w:val="20"/>
          <w:szCs w:val="21"/>
        </w:rPr>
      </w:pPr>
      <w:r>
        <w:rPr>
          <w:rStyle w:val="fontstyle01"/>
          <w:rFonts w:hint="default"/>
          <w:sz w:val="20"/>
        </w:rPr>
        <w:t>个人投资者（如适用）：                   机构投资者（如适用）：</w:t>
      </w:r>
    </w:p>
    <w:p w:rsidR="003E26D0" w:rsidRDefault="003E26D0" w:rsidP="003E26D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E26D0" w:rsidRDefault="003E26D0" w:rsidP="003E26D0">
      <w:pPr>
        <w:spacing w:line="360" w:lineRule="auto"/>
        <w:rPr>
          <w:rStyle w:val="fontstyle01"/>
          <w:rFonts w:hint="default"/>
          <w:sz w:val="20"/>
        </w:rPr>
      </w:pPr>
      <w:r>
        <w:rPr>
          <w:rStyle w:val="fontstyle01"/>
          <w:rFonts w:hint="default"/>
          <w:sz w:val="20"/>
        </w:rPr>
        <w:t xml:space="preserve">   年  月  日                           法定代表人或授权代理人：（签名或盖章）</w:t>
      </w:r>
    </w:p>
    <w:p w:rsidR="003E26D0" w:rsidRDefault="003E26D0" w:rsidP="003E26D0">
      <w:pPr>
        <w:widowControl/>
        <w:jc w:val="left"/>
        <w:rPr>
          <w:rFonts w:ascii="Times New Roman" w:hAnsi="Times New Roman"/>
          <w:sz w:val="18"/>
          <w:szCs w:val="18"/>
        </w:rPr>
      </w:pPr>
      <w:r>
        <w:rPr>
          <w:rStyle w:val="fontstyle01"/>
          <w:rFonts w:hint="default"/>
          <w:sz w:val="20"/>
        </w:rPr>
        <w:t xml:space="preserve">                                            年    月   日</w:t>
      </w:r>
    </w:p>
    <w:p w:rsidR="003E26D0" w:rsidRDefault="003E26D0" w:rsidP="003E26D0">
      <w:pPr>
        <w:pStyle w:val="a6"/>
        <w:ind w:firstLineChars="0" w:firstLine="0"/>
        <w:rPr>
          <w:b/>
          <w:kern w:val="0"/>
          <w:sz w:val="15"/>
          <w:szCs w:val="11"/>
        </w:rPr>
      </w:pPr>
    </w:p>
    <w:p w:rsidR="003E26D0" w:rsidRDefault="003E26D0" w:rsidP="003E26D0">
      <w:pPr>
        <w:rPr>
          <w:rFonts w:ascii="Times New Roman" w:hint="eastAsia"/>
          <w:sz w:val="18"/>
          <w:szCs w:val="18"/>
        </w:rPr>
      </w:pPr>
      <w:bookmarkStart w:id="0" w:name="_GoBack"/>
      <w:bookmarkEnd w:id="0"/>
    </w:p>
    <w:p w:rsidR="003E26D0" w:rsidRDefault="003E26D0" w:rsidP="003E26D0">
      <w:pPr>
        <w:pStyle w:val="a6"/>
        <w:ind w:firstLine="360"/>
      </w:pPr>
    </w:p>
    <w:p w:rsidR="003E26D0" w:rsidRPr="003E26D0" w:rsidRDefault="003E26D0" w:rsidP="003E26D0">
      <w:pPr>
        <w:rPr>
          <w:rFonts w:hint="eastAsia"/>
        </w:rPr>
      </w:pPr>
    </w:p>
    <w:sectPr w:rsidR="003E26D0" w:rsidRPr="003E26D0">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C5" w:rsidRDefault="001D7BC5">
      <w:r>
        <w:separator/>
      </w:r>
    </w:p>
  </w:endnote>
  <w:endnote w:type="continuationSeparator" w:id="0">
    <w:p w:rsidR="001D7BC5" w:rsidRDefault="001D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C5" w:rsidRDefault="001D7BC5">
      <w:r>
        <w:separator/>
      </w:r>
    </w:p>
  </w:footnote>
  <w:footnote w:type="continuationSeparator" w:id="0">
    <w:p w:rsidR="001D7BC5" w:rsidRDefault="001D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4F" w:rsidRDefault="001D7BC5">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903"/>
    <w:multiLevelType w:val="multilevel"/>
    <w:tmpl w:val="12F21D3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6137254"/>
    <w:multiLevelType w:val="hybridMultilevel"/>
    <w:tmpl w:val="BD7006F6"/>
    <w:lvl w:ilvl="0" w:tplc="5F22143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EAE9A42">
      <w:start w:val="1"/>
      <w:numFmt w:val="lowerLetter"/>
      <w:lvlText w:val="%2)"/>
      <w:lvlJc w:val="left"/>
      <w:pPr>
        <w:tabs>
          <w:tab w:val="num" w:pos="0"/>
        </w:tabs>
        <w:ind w:left="1141" w:hanging="420"/>
      </w:pPr>
      <w:rPr>
        <w:rFonts w:ascii="方正黑体_GBK" w:eastAsia="方正黑体_GBK" w:hAnsi="方正黑体_GBK" w:hint="default"/>
      </w:rPr>
    </w:lvl>
    <w:lvl w:ilvl="2" w:tplc="4E86D118">
      <w:start w:val="1"/>
      <w:numFmt w:val="decimal"/>
      <w:lvlText w:val="%3."/>
      <w:lvlJc w:val="right"/>
      <w:pPr>
        <w:tabs>
          <w:tab w:val="num" w:pos="0"/>
        </w:tabs>
        <w:ind w:left="1561" w:hanging="420"/>
      </w:pPr>
      <w:rPr>
        <w:rFonts w:ascii="方正黑体_GBK" w:eastAsia="方正黑体_GBK" w:hAnsi="方正黑体_GBK" w:hint="default"/>
      </w:rPr>
    </w:lvl>
    <w:lvl w:ilvl="3" w:tplc="0D34DE96">
      <w:start w:val="1"/>
      <w:numFmt w:val="decimal"/>
      <w:lvlText w:val="%4."/>
      <w:lvlJc w:val="left"/>
      <w:pPr>
        <w:tabs>
          <w:tab w:val="num" w:pos="0"/>
        </w:tabs>
        <w:ind w:left="1981" w:hanging="420"/>
      </w:pPr>
      <w:rPr>
        <w:rFonts w:ascii="方正黑体_GBK" w:eastAsia="方正黑体_GBK" w:hAnsi="方正黑体_GBK" w:hint="default"/>
      </w:rPr>
    </w:lvl>
    <w:lvl w:ilvl="4" w:tplc="A11C4EB8">
      <w:start w:val="1"/>
      <w:numFmt w:val="lowerLetter"/>
      <w:lvlText w:val="%5)"/>
      <w:lvlJc w:val="left"/>
      <w:pPr>
        <w:tabs>
          <w:tab w:val="num" w:pos="0"/>
        </w:tabs>
        <w:ind w:left="2401" w:hanging="420"/>
      </w:pPr>
      <w:rPr>
        <w:rFonts w:ascii="方正黑体_GBK" w:eastAsia="方正黑体_GBK" w:hAnsi="方正黑体_GBK" w:hint="default"/>
      </w:rPr>
    </w:lvl>
    <w:lvl w:ilvl="5" w:tplc="37BA4DC8">
      <w:start w:val="1"/>
      <w:numFmt w:val="decimal"/>
      <w:lvlText w:val="%6."/>
      <w:lvlJc w:val="right"/>
      <w:pPr>
        <w:tabs>
          <w:tab w:val="num" w:pos="0"/>
        </w:tabs>
        <w:ind w:left="2821" w:hanging="420"/>
      </w:pPr>
      <w:rPr>
        <w:rFonts w:ascii="方正黑体_GBK" w:eastAsia="方正黑体_GBK" w:hAnsi="方正黑体_GBK" w:hint="default"/>
      </w:rPr>
    </w:lvl>
    <w:lvl w:ilvl="6" w:tplc="4E92CD5C">
      <w:start w:val="1"/>
      <w:numFmt w:val="decimal"/>
      <w:lvlText w:val="%7."/>
      <w:lvlJc w:val="left"/>
      <w:pPr>
        <w:tabs>
          <w:tab w:val="num" w:pos="0"/>
        </w:tabs>
        <w:ind w:left="3241" w:hanging="420"/>
      </w:pPr>
      <w:rPr>
        <w:rFonts w:ascii="方正黑体_GBK" w:eastAsia="方正黑体_GBK" w:hAnsi="方正黑体_GBK" w:hint="default"/>
      </w:rPr>
    </w:lvl>
    <w:lvl w:ilvl="7" w:tplc="F19EE5E6">
      <w:start w:val="1"/>
      <w:numFmt w:val="lowerLetter"/>
      <w:lvlText w:val="%8)"/>
      <w:lvlJc w:val="left"/>
      <w:pPr>
        <w:tabs>
          <w:tab w:val="num" w:pos="0"/>
        </w:tabs>
        <w:ind w:left="3661" w:hanging="420"/>
      </w:pPr>
      <w:rPr>
        <w:rFonts w:ascii="方正黑体_GBK" w:eastAsia="方正黑体_GBK" w:hAnsi="方正黑体_GBK" w:hint="default"/>
      </w:rPr>
    </w:lvl>
    <w:lvl w:ilvl="8" w:tplc="5EBA849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10A3506"/>
    <w:multiLevelType w:val="singleLevel"/>
    <w:tmpl w:val="510A3506"/>
    <w:lvl w:ilvl="0">
      <w:start w:val="1"/>
      <w:numFmt w:val="decimal"/>
      <w:suff w:val="nothing"/>
      <w:lvlText w:val="（%1）"/>
      <w:lvlJc w:val="left"/>
      <w:pPr>
        <w:ind w:left="0" w:firstLine="0"/>
      </w:pPr>
    </w:lvl>
  </w:abstractNum>
  <w:abstractNum w:abstractNumId="7"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pPr>
        <w:ind w:left="0" w:firstLine="0"/>
      </w:pPr>
    </w:lvl>
  </w:abstractNum>
  <w:abstractNum w:abstractNumId="9" w15:restartNumberingAfterBreak="0">
    <w:nsid w:val="5DF84CBD"/>
    <w:multiLevelType w:val="singleLevel"/>
    <w:tmpl w:val="5DF84CBD"/>
    <w:lvl w:ilvl="0">
      <w:start w:val="1"/>
      <w:numFmt w:val="decimal"/>
      <w:suff w:val="nothing"/>
      <w:lvlText w:val="（%1）"/>
      <w:lvlJc w:val="left"/>
      <w:pPr>
        <w:ind w:left="0" w:firstLine="0"/>
      </w:pPr>
    </w:lvl>
  </w:abstractNum>
  <w:abstractNum w:abstractNumId="10" w15:restartNumberingAfterBreak="0">
    <w:nsid w:val="5DF84D07"/>
    <w:multiLevelType w:val="singleLevel"/>
    <w:tmpl w:val="5DF84D07"/>
    <w:lvl w:ilvl="0">
      <w:start w:val="1"/>
      <w:numFmt w:val="decimal"/>
      <w:suff w:val="nothing"/>
      <w:lvlText w:val="（%1）"/>
      <w:lvlJc w:val="left"/>
      <w:pPr>
        <w:ind w:left="0" w:firstLine="0"/>
      </w:pPr>
    </w:lvl>
  </w:abstractNum>
  <w:abstractNum w:abstractNumId="11" w15:restartNumberingAfterBreak="0">
    <w:nsid w:val="6CDD30AC"/>
    <w:multiLevelType w:val="multilevel"/>
    <w:tmpl w:val="0C5A486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7F364F0"/>
    <w:multiLevelType w:val="hybridMultilevel"/>
    <w:tmpl w:val="3D64853C"/>
    <w:lvl w:ilvl="0" w:tplc="C708FCD2">
      <w:start w:val="1"/>
      <w:numFmt w:val="decimal"/>
      <w:lvlRestart w:val="0"/>
      <w:lvlText w:val="%1."/>
      <w:lvlJc w:val="left"/>
      <w:pPr>
        <w:tabs>
          <w:tab w:val="num" w:pos="0"/>
        </w:tabs>
        <w:ind w:left="660" w:hanging="360"/>
      </w:pPr>
      <w:rPr>
        <w:rFonts w:ascii="方正黑体_GBK" w:eastAsia="方正黑体_GBK" w:hAnsi="方正黑体_GBK" w:hint="default"/>
      </w:rPr>
    </w:lvl>
    <w:lvl w:ilvl="1" w:tplc="947E1064">
      <w:start w:val="1"/>
      <w:numFmt w:val="lowerLetter"/>
      <w:lvlText w:val="%2)"/>
      <w:lvlJc w:val="left"/>
      <w:pPr>
        <w:tabs>
          <w:tab w:val="num" w:pos="0"/>
        </w:tabs>
        <w:ind w:left="1140" w:hanging="420"/>
      </w:pPr>
      <w:rPr>
        <w:rFonts w:ascii="方正黑体_GBK" w:eastAsia="方正黑体_GBK" w:hAnsi="方正黑体_GBK" w:hint="default"/>
      </w:rPr>
    </w:lvl>
    <w:lvl w:ilvl="2" w:tplc="51465620">
      <w:start w:val="1"/>
      <w:numFmt w:val="decimal"/>
      <w:lvlText w:val="%3."/>
      <w:lvlJc w:val="right"/>
      <w:pPr>
        <w:tabs>
          <w:tab w:val="num" w:pos="0"/>
        </w:tabs>
        <w:ind w:left="1560" w:hanging="420"/>
      </w:pPr>
      <w:rPr>
        <w:rFonts w:ascii="方正黑体_GBK" w:eastAsia="方正黑体_GBK" w:hAnsi="方正黑体_GBK" w:hint="default"/>
      </w:rPr>
    </w:lvl>
    <w:lvl w:ilvl="3" w:tplc="A27E3042">
      <w:start w:val="1"/>
      <w:numFmt w:val="decimal"/>
      <w:lvlText w:val="%4."/>
      <w:lvlJc w:val="left"/>
      <w:pPr>
        <w:tabs>
          <w:tab w:val="num" w:pos="0"/>
        </w:tabs>
        <w:ind w:left="1980" w:hanging="420"/>
      </w:pPr>
      <w:rPr>
        <w:rFonts w:ascii="方正黑体_GBK" w:eastAsia="方正黑体_GBK" w:hAnsi="方正黑体_GBK" w:hint="default"/>
      </w:rPr>
    </w:lvl>
    <w:lvl w:ilvl="4" w:tplc="B46636A2">
      <w:start w:val="1"/>
      <w:numFmt w:val="lowerLetter"/>
      <w:lvlText w:val="%5)"/>
      <w:lvlJc w:val="left"/>
      <w:pPr>
        <w:tabs>
          <w:tab w:val="num" w:pos="0"/>
        </w:tabs>
        <w:ind w:left="2400" w:hanging="420"/>
      </w:pPr>
      <w:rPr>
        <w:rFonts w:ascii="方正黑体_GBK" w:eastAsia="方正黑体_GBK" w:hAnsi="方正黑体_GBK" w:hint="default"/>
      </w:rPr>
    </w:lvl>
    <w:lvl w:ilvl="5" w:tplc="72AA4A2C">
      <w:start w:val="1"/>
      <w:numFmt w:val="decimal"/>
      <w:lvlText w:val="%6."/>
      <w:lvlJc w:val="right"/>
      <w:pPr>
        <w:tabs>
          <w:tab w:val="num" w:pos="0"/>
        </w:tabs>
        <w:ind w:left="2820" w:hanging="420"/>
      </w:pPr>
      <w:rPr>
        <w:rFonts w:ascii="方正黑体_GBK" w:eastAsia="方正黑体_GBK" w:hAnsi="方正黑体_GBK" w:hint="default"/>
      </w:rPr>
    </w:lvl>
    <w:lvl w:ilvl="6" w:tplc="E2124A3E">
      <w:start w:val="1"/>
      <w:numFmt w:val="decimal"/>
      <w:lvlText w:val="%7."/>
      <w:lvlJc w:val="left"/>
      <w:pPr>
        <w:tabs>
          <w:tab w:val="num" w:pos="0"/>
        </w:tabs>
        <w:ind w:left="3240" w:hanging="420"/>
      </w:pPr>
      <w:rPr>
        <w:rFonts w:ascii="方正黑体_GBK" w:eastAsia="方正黑体_GBK" w:hAnsi="方正黑体_GBK" w:hint="default"/>
      </w:rPr>
    </w:lvl>
    <w:lvl w:ilvl="7" w:tplc="9904CF60">
      <w:start w:val="1"/>
      <w:numFmt w:val="lowerLetter"/>
      <w:lvlText w:val="%8)"/>
      <w:lvlJc w:val="left"/>
      <w:pPr>
        <w:tabs>
          <w:tab w:val="num" w:pos="0"/>
        </w:tabs>
        <w:ind w:left="3660" w:hanging="420"/>
      </w:pPr>
      <w:rPr>
        <w:rFonts w:ascii="方正黑体_GBK" w:eastAsia="方正黑体_GBK" w:hAnsi="方正黑体_GBK" w:hint="default"/>
      </w:rPr>
    </w:lvl>
    <w:lvl w:ilvl="8" w:tplc="1EDC679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11"/>
  </w:num>
  <w:num w:numId="2">
    <w:abstractNumId w:val="0"/>
  </w:num>
  <w:num w:numId="3">
    <w:abstractNumId w:val="1"/>
  </w:num>
  <w:num w:numId="4">
    <w:abstractNumId w:val="13"/>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9"/>
    <w:lvlOverride w:ilvl="0">
      <w:startOverride w:val="1"/>
    </w:lvlOverride>
  </w:num>
  <w:num w:numId="8">
    <w:abstractNumId w:val="10"/>
    <w:lvlOverride w:ilvl="0">
      <w:startOverride w:val="1"/>
    </w:lvlOverride>
  </w:num>
  <w:num w:numId="9">
    <w:abstractNumId w:val="6"/>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9194F"/>
    <w:rsid w:val="0009194F"/>
    <w:rsid w:val="001D7BC5"/>
    <w:rsid w:val="003E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AA16"/>
  <w15:docId w15:val="{876B4C72-AB82-49BE-A32C-2E1E7AA3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c1c9fa13">
    <w:name w:val="Normalc1c9fa13"/>
    <w:pPr>
      <w:widowControl w:val="0"/>
      <w:jc w:val="both"/>
    </w:pPr>
    <w:rPr>
      <w:rFonts w:ascii="方正黑体_GBK" w:eastAsia="方正黑体_GBK" w:hAnsi="方正黑体_GBK" w:cs="Times New Roman"/>
      <w:szCs w:val="21"/>
    </w:rPr>
  </w:style>
  <w:style w:type="paragraph" w:customStyle="1" w:styleId="heading11b875524">
    <w:name w:val="heading 11b875524"/>
    <w:basedOn w:val="Normalc1c9fa13"/>
    <w:next w:val="a"/>
    <w:pPr>
      <w:keepNext/>
      <w:keepLines/>
      <w:spacing w:before="340" w:after="330" w:line="578" w:lineRule="auto"/>
      <w:outlineLvl w:val="0"/>
    </w:pPr>
    <w:rPr>
      <w:b/>
      <w:bCs/>
      <w:kern w:val="44"/>
      <w:sz w:val="44"/>
    </w:rPr>
  </w:style>
  <w:style w:type="paragraph" w:customStyle="1" w:styleId="heading2d6bbbc74">
    <w:name w:val="heading 2d6bbbc74"/>
    <w:basedOn w:val="Normalc1c9fa13"/>
    <w:next w:val="a"/>
    <w:pPr>
      <w:keepNext/>
      <w:keepLines/>
      <w:spacing w:before="260" w:after="260" w:line="415" w:lineRule="auto"/>
      <w:outlineLvl w:val="1"/>
    </w:pPr>
    <w:rPr>
      <w:b/>
      <w:sz w:val="32"/>
    </w:rPr>
  </w:style>
  <w:style w:type="paragraph" w:customStyle="1" w:styleId="heading3fa782568">
    <w:name w:val="heading 3fa782568"/>
    <w:basedOn w:val="Normalc1c9fa13"/>
    <w:next w:val="a"/>
    <w:pPr>
      <w:keepNext/>
      <w:keepLines/>
      <w:spacing w:before="260" w:after="260" w:line="415" w:lineRule="auto"/>
      <w:outlineLvl w:val="2"/>
    </w:pPr>
    <w:rPr>
      <w:b/>
      <w:sz w:val="32"/>
    </w:rPr>
  </w:style>
  <w:style w:type="character" w:customStyle="1" w:styleId="DefaultParagraphFont71bc8145">
    <w:name w:val="Default Paragraph Font71bc8145"/>
  </w:style>
  <w:style w:type="paragraph" w:customStyle="1" w:styleId="toc1a24693af">
    <w:name w:val="toc 1a24693af"/>
    <w:basedOn w:val="Normalc1c9fa13"/>
    <w:next w:val="a"/>
    <w:autoRedefine/>
  </w:style>
  <w:style w:type="paragraph" w:customStyle="1" w:styleId="toc234bd06ef">
    <w:name w:val="toc 234bd06ef"/>
    <w:basedOn w:val="Normalc1c9fa13"/>
    <w:next w:val="a"/>
    <w:autoRedefine/>
    <w:pPr>
      <w:ind w:left="420"/>
    </w:pPr>
  </w:style>
  <w:style w:type="paragraph" w:customStyle="1" w:styleId="toc3f218a64e">
    <w:name w:val="toc 3f218a64e"/>
    <w:basedOn w:val="Normalc1c9fa13"/>
    <w:next w:val="a"/>
    <w:autoRedefine/>
    <w:pPr>
      <w:ind w:left="840"/>
    </w:pPr>
  </w:style>
  <w:style w:type="paragraph" w:customStyle="1" w:styleId="toc446365d81">
    <w:name w:val="toc 446365d81"/>
    <w:basedOn w:val="Normalc1c9fa13"/>
    <w:next w:val="a"/>
    <w:autoRedefine/>
    <w:pPr>
      <w:ind w:left="1260"/>
    </w:pPr>
  </w:style>
  <w:style w:type="paragraph" w:customStyle="1" w:styleId="toc5fe8de7b5">
    <w:name w:val="toc 5fe8de7b5"/>
    <w:basedOn w:val="Normalc1c9fa13"/>
    <w:next w:val="a"/>
    <w:autoRedefine/>
    <w:pPr>
      <w:ind w:left="1680"/>
    </w:pPr>
  </w:style>
  <w:style w:type="paragraph" w:customStyle="1" w:styleId="header67af5391">
    <w:name w:val="header67af5391"/>
    <w:basedOn w:val="Normalc1c9fa13"/>
    <w:pPr>
      <w:pBdr>
        <w:bottom w:val="single" w:sz="6" w:space="1" w:color="auto"/>
      </w:pBdr>
      <w:tabs>
        <w:tab w:val="center" w:pos="4153"/>
        <w:tab w:val="right" w:pos="8307"/>
      </w:tabs>
      <w:snapToGrid w:val="0"/>
      <w:jc w:val="center"/>
    </w:pPr>
    <w:rPr>
      <w:sz w:val="18"/>
    </w:rPr>
  </w:style>
  <w:style w:type="paragraph" w:customStyle="1" w:styleId="footer6aea8f23">
    <w:name w:val="footer6aea8f23"/>
    <w:basedOn w:val="Normalc1c9fa13"/>
    <w:pPr>
      <w:tabs>
        <w:tab w:val="center" w:pos="4153"/>
        <w:tab w:val="right" w:pos="8307"/>
      </w:tabs>
      <w:snapToGrid w:val="0"/>
      <w:jc w:val="left"/>
    </w:pPr>
    <w:rPr>
      <w:sz w:val="18"/>
    </w:rPr>
  </w:style>
  <w:style w:type="character" w:customStyle="1" w:styleId="Strong0ddf79c5">
    <w:name w:val="Strong0ddf79c5"/>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1053338">
    <w:name w:val="Normala1053338"/>
    <w:next w:val="10"/>
    <w:pPr>
      <w:widowControl w:val="0"/>
      <w:jc w:val="both"/>
    </w:pPr>
    <w:rPr>
      <w:rFonts w:ascii="方正黑体_GBK" w:eastAsia="方正黑体_GBK" w:hAnsi="方正黑体_GBK" w:cs="Times New Roman"/>
      <w:sz w:val="18"/>
      <w:szCs w:val="18"/>
    </w:rPr>
  </w:style>
  <w:style w:type="paragraph" w:customStyle="1" w:styleId="heading10d4c0f29">
    <w:name w:val="heading 10d4c0f29"/>
    <w:basedOn w:val="Normala1053338"/>
    <w:next w:val="a"/>
    <w:pPr>
      <w:keepNext/>
      <w:keepLines/>
      <w:spacing w:before="340" w:after="330" w:line="578" w:lineRule="auto"/>
      <w:outlineLvl w:val="0"/>
    </w:pPr>
    <w:rPr>
      <w:b/>
      <w:bCs/>
      <w:kern w:val="44"/>
      <w:sz w:val="44"/>
    </w:rPr>
  </w:style>
  <w:style w:type="paragraph" w:customStyle="1" w:styleId="heading2921b380b">
    <w:name w:val="heading 2921b380b"/>
    <w:basedOn w:val="Normala1053338"/>
    <w:next w:val="a"/>
    <w:pPr>
      <w:keepNext/>
      <w:keepLines/>
      <w:spacing w:before="260" w:after="260" w:line="415" w:lineRule="auto"/>
      <w:outlineLvl w:val="1"/>
    </w:pPr>
    <w:rPr>
      <w:b/>
      <w:sz w:val="32"/>
    </w:rPr>
  </w:style>
  <w:style w:type="paragraph" w:customStyle="1" w:styleId="heading384ae5209">
    <w:name w:val="heading 384ae5209"/>
    <w:basedOn w:val="Normala1053338"/>
    <w:next w:val="a"/>
    <w:pPr>
      <w:keepNext/>
      <w:keepLines/>
      <w:spacing w:before="260" w:after="260" w:line="415" w:lineRule="auto"/>
      <w:outlineLvl w:val="2"/>
    </w:pPr>
    <w:rPr>
      <w:b/>
      <w:sz w:val="32"/>
    </w:rPr>
  </w:style>
  <w:style w:type="character" w:customStyle="1" w:styleId="DefaultParagraphFont9f0ec727">
    <w:name w:val="Default Paragraph Font9f0ec727"/>
  </w:style>
  <w:style w:type="paragraph" w:customStyle="1" w:styleId="NormalIndent80219da7">
    <w:name w:val="Normal Indent80219da7"/>
    <w:basedOn w:val="Normala1053338"/>
    <w:pPr>
      <w:ind w:firstLineChars="200" w:firstLine="200"/>
    </w:pPr>
  </w:style>
  <w:style w:type="paragraph" w:customStyle="1" w:styleId="toc5493c8be4">
    <w:name w:val="toc 5493c8be4"/>
    <w:basedOn w:val="Normala1053338"/>
    <w:next w:val="a"/>
    <w:pPr>
      <w:ind w:left="1680"/>
    </w:pPr>
  </w:style>
  <w:style w:type="paragraph" w:customStyle="1" w:styleId="toc35b711707">
    <w:name w:val="toc 35b711707"/>
    <w:basedOn w:val="Normala1053338"/>
    <w:next w:val="a"/>
    <w:pPr>
      <w:ind w:left="840"/>
    </w:pPr>
  </w:style>
  <w:style w:type="paragraph" w:customStyle="1" w:styleId="footer30cce26a">
    <w:name w:val="footer30cce26a"/>
    <w:basedOn w:val="Normala1053338"/>
    <w:pPr>
      <w:tabs>
        <w:tab w:val="center" w:pos="4153"/>
        <w:tab w:val="right" w:pos="8307"/>
      </w:tabs>
      <w:snapToGrid w:val="0"/>
      <w:jc w:val="left"/>
    </w:pPr>
  </w:style>
  <w:style w:type="paragraph" w:customStyle="1" w:styleId="header19b21715">
    <w:name w:val="header19b21715"/>
    <w:basedOn w:val="Normala1053338"/>
    <w:pPr>
      <w:pBdr>
        <w:bottom w:val="single" w:sz="6" w:space="1" w:color="auto"/>
      </w:pBdr>
      <w:tabs>
        <w:tab w:val="center" w:pos="4153"/>
        <w:tab w:val="right" w:pos="8307"/>
      </w:tabs>
      <w:snapToGrid w:val="0"/>
      <w:jc w:val="center"/>
    </w:pPr>
  </w:style>
  <w:style w:type="paragraph" w:customStyle="1" w:styleId="toc13e6637a6">
    <w:name w:val="toc 13e6637a6"/>
    <w:basedOn w:val="Normala1053338"/>
    <w:next w:val="a"/>
  </w:style>
  <w:style w:type="paragraph" w:customStyle="1" w:styleId="toc455b268ad">
    <w:name w:val="toc 455b268ad"/>
    <w:basedOn w:val="Normala1053338"/>
    <w:next w:val="a"/>
    <w:pPr>
      <w:ind w:left="1260"/>
    </w:pPr>
  </w:style>
  <w:style w:type="paragraph" w:customStyle="1" w:styleId="toc2282f88fd">
    <w:name w:val="toc 2282f88fd"/>
    <w:basedOn w:val="Normala1053338"/>
    <w:next w:val="a"/>
    <w:pPr>
      <w:ind w:left="420"/>
    </w:pPr>
  </w:style>
  <w:style w:type="paragraph" w:customStyle="1" w:styleId="NormalWeb2ce52ced">
    <w:name w:val="Normal (Web)2ce52ce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1989252d1989252">
    <w:name w:val="Normald1989252d1989252"/>
    <w:next w:val="10"/>
    <w:pPr>
      <w:widowControl w:val="0"/>
      <w:jc w:val="both"/>
    </w:pPr>
    <w:rPr>
      <w:rFonts w:ascii="方正黑体_GBK" w:eastAsia="方正黑体_GBK" w:hAnsi="方正黑体_GBK" w:cs="Times New Roman"/>
      <w:szCs w:val="21"/>
    </w:rPr>
  </w:style>
  <w:style w:type="paragraph" w:customStyle="1" w:styleId="heading1242d4240242d4240">
    <w:name w:val="heading 1242d4240242d4240"/>
    <w:basedOn w:val="Normald1989252d1989252"/>
    <w:next w:val="a"/>
    <w:pPr>
      <w:keepNext/>
      <w:keepLines/>
      <w:spacing w:before="340" w:after="330" w:line="578" w:lineRule="auto"/>
      <w:outlineLvl w:val="0"/>
    </w:pPr>
    <w:rPr>
      <w:b/>
      <w:bCs/>
      <w:kern w:val="44"/>
      <w:sz w:val="44"/>
    </w:rPr>
  </w:style>
  <w:style w:type="paragraph" w:customStyle="1" w:styleId="heading2dcd9af9fdcd9af9f">
    <w:name w:val="heading 2dcd9af9fdcd9af9f"/>
    <w:basedOn w:val="Normald1989252d1989252"/>
    <w:next w:val="a"/>
    <w:pPr>
      <w:keepNext/>
      <w:keepLines/>
      <w:spacing w:before="260" w:after="260" w:line="415" w:lineRule="auto"/>
      <w:outlineLvl w:val="1"/>
    </w:pPr>
    <w:rPr>
      <w:b/>
      <w:sz w:val="32"/>
    </w:rPr>
  </w:style>
  <w:style w:type="paragraph" w:customStyle="1" w:styleId="heading37c1022ef7c1022ef">
    <w:name w:val="heading 37c1022ef7c1022ef"/>
    <w:basedOn w:val="Normald1989252d1989252"/>
    <w:next w:val="a"/>
    <w:pPr>
      <w:keepNext/>
      <w:keepLines/>
      <w:spacing w:before="260" w:after="260" w:line="415" w:lineRule="auto"/>
      <w:outlineLvl w:val="2"/>
    </w:pPr>
    <w:rPr>
      <w:b/>
      <w:sz w:val="32"/>
    </w:rPr>
  </w:style>
  <w:style w:type="character" w:customStyle="1" w:styleId="DefaultParagraphFont50dacae250dacae2">
    <w:name w:val="Default Paragraph Font50dacae250dacae2"/>
  </w:style>
  <w:style w:type="paragraph" w:customStyle="1" w:styleId="18bf25b428bf25b42">
    <w:name w:val="引文目录18bf25b428bf25b42"/>
    <w:basedOn w:val="Normald1989252d1989252"/>
    <w:next w:val="a"/>
    <w:pPr>
      <w:ind w:leftChars="200" w:left="200"/>
    </w:pPr>
  </w:style>
  <w:style w:type="paragraph" w:customStyle="1" w:styleId="toc57bdb33517bdb3351">
    <w:name w:val="toc 57bdb33517bdb3351"/>
    <w:basedOn w:val="Normald1989252d1989252"/>
    <w:next w:val="a"/>
    <w:pPr>
      <w:ind w:left="1680"/>
    </w:pPr>
  </w:style>
  <w:style w:type="paragraph" w:customStyle="1" w:styleId="toc3f0d52294f0d52294">
    <w:name w:val="toc 3f0d52294f0d52294"/>
    <w:basedOn w:val="Normald1989252d1989252"/>
    <w:next w:val="a"/>
    <w:pPr>
      <w:ind w:left="840"/>
    </w:pPr>
  </w:style>
  <w:style w:type="paragraph" w:customStyle="1" w:styleId="footere88daf52e88daf52">
    <w:name w:val="footere88daf52e88daf52"/>
    <w:basedOn w:val="Normald1989252d1989252"/>
    <w:pPr>
      <w:tabs>
        <w:tab w:val="center" w:pos="4153"/>
        <w:tab w:val="right" w:pos="8307"/>
      </w:tabs>
      <w:snapToGrid w:val="0"/>
      <w:jc w:val="left"/>
    </w:pPr>
    <w:rPr>
      <w:sz w:val="18"/>
    </w:rPr>
  </w:style>
  <w:style w:type="paragraph" w:customStyle="1" w:styleId="header98b0907598b09075">
    <w:name w:val="header98b0907598b09075"/>
    <w:basedOn w:val="Normald1989252d1989252"/>
    <w:pPr>
      <w:pBdr>
        <w:bottom w:val="single" w:sz="6" w:space="1" w:color="auto"/>
      </w:pBdr>
      <w:tabs>
        <w:tab w:val="center" w:pos="4153"/>
        <w:tab w:val="right" w:pos="8307"/>
      </w:tabs>
      <w:snapToGrid w:val="0"/>
      <w:jc w:val="center"/>
    </w:pPr>
    <w:rPr>
      <w:sz w:val="18"/>
    </w:rPr>
  </w:style>
  <w:style w:type="paragraph" w:customStyle="1" w:styleId="toc11f5cefd71f5cefd7">
    <w:name w:val="toc 11f5cefd71f5cefd7"/>
    <w:basedOn w:val="Normald1989252d1989252"/>
    <w:next w:val="a"/>
  </w:style>
  <w:style w:type="paragraph" w:customStyle="1" w:styleId="toc40b5e20b10b5e20b1">
    <w:name w:val="toc 40b5e20b10b5e20b1"/>
    <w:basedOn w:val="Normald1989252d1989252"/>
    <w:next w:val="a"/>
    <w:pPr>
      <w:ind w:left="1260"/>
    </w:pPr>
  </w:style>
  <w:style w:type="paragraph" w:customStyle="1" w:styleId="toc247eb7a2c47eb7a2c">
    <w:name w:val="toc 247eb7a2c47eb7a2c"/>
    <w:basedOn w:val="Normald1989252d1989252"/>
    <w:next w:val="a"/>
    <w:pPr>
      <w:ind w:left="420"/>
    </w:pPr>
  </w:style>
  <w:style w:type="paragraph" w:customStyle="1" w:styleId="1d6491b6ed6491b6e">
    <w:name w:val="列出段落1d6491b6ed6491b6e"/>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3E26D0"/>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3E26D0"/>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3E26D0"/>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3E26D0"/>
    <w:rPr>
      <w:rFonts w:ascii="Times New Roman" w:eastAsia="宋体" w:hAnsi="Times New Roman" w:cs="Times New Roman"/>
      <w:sz w:val="18"/>
      <w:szCs w:val="18"/>
    </w:rPr>
  </w:style>
  <w:style w:type="paragraph" w:customStyle="1" w:styleId="11">
    <w:name w:val="列出段落1"/>
    <w:next w:val="10"/>
    <w:uiPriority w:val="99"/>
    <w:qFormat/>
    <w:rsid w:val="003E26D0"/>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3E26D0"/>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3E26D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2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6014</Words>
  <Characters>34281</Characters>
  <Application>Microsoft Office Word</Application>
  <DocSecurity>0</DocSecurity>
  <Lines>285</Lines>
  <Paragraphs>80</Paragraphs>
  <ScaleCrop>false</ScaleCrop>
  <Company>P R C</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2025-03-21T07:56:00Z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CQWMQ6GH796A059GRYR8ZL0D7NZMOYYREU06WJDWXGPRTFWT60BJQC0CFYRTPB6RXUM6COL5ZI778INJQFFTKFFA89C0WMCB8OODRHB346E70D790E0A863A0C4BB1A18CF51537</vt:lpwstr>
  </property>
  <property fmtid="{D5CDD505-2E9C-101B-9397-08002B2CF9AE}" pid="5" name="_KSOProductBuildSID">
    <vt:lpwstr>B15D783207B84D7995EE3CBAD13D28CF</vt:lpwstr>
  </property>
</Properties>
</file>