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06GD796Q06BGQYR8DLJN7N8MOXGR9S0XBJDWXGORTE5TZ6BJICJTFYRHPCRRBOMXLOLIZHJD8HJJQJFTPF8O8RM0WOLB8FOO0HB335D81B54198CFF533F407CB46509BF8B" Type="http://schemas.microsoft.com/office/2006/relationships/officeDocumentMain" Target="docProps/core.xml"/><Relationship Id="CPWMR6BU79VQ0THGQVRNYLJN7ZD0OAGRQE0XOJDWXGH8TDLTZRBRVCJUFYRHPDRRAUM65OZMZIA78PNJQJFTRF8D8RZ0WMCB8OODQHB3B1B91BC169155B4C14C456B49F48DDB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南银理财珠联璧合鑫逸稳一年203期封闭式公募人民币理财产品（产品登记编码：Z7003225000027）已于2025年02月11日结束募集，符合产品成立条件，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于2025年02月12日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成立。该产品募集金额2,301,372,325.00元，理财资金将按产品说明书约定进行投资。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2025年02月13日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SPWM06GD796Q06BGQYR8DLJN7N8MOXGR9S0XBJDWXGORTE5TZ6BJICJTFYRHPCRRBOMXLOLIZHJD8HJJQJFTPF8O8RM0WOLB8FOO0HB335D81B54198CFF533F407CB46509BF8B</vt:lpwstr>
  </property>
  <property fmtid="{D5CDD505-2E9C-101B-9397-08002B2CF9AE}" pid="5" name="_KSOProductBuildSID">
    <vt:lpwstr>10D55BCBA0984C90802E8AE5854C2F3D</vt:lpwstr>
  </property>
</Properties>
</file>