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FI6BA7RYA00HGQZRNKL057ZD0OAYR9U0XXJDWXGPRTGCT6MBJQC0IFYSHPC6RAXMXEOZMZIWD8LJJQUFT0FFW8RFMWLLB8JODDHB3DD953A66B88FC05C849A86ED05537550" Type="http://schemas.microsoft.com/office/2006/relationships/officeDocumentMain" Target="docProps/core.xml"/><Relationship Id="CGWM06BT7R9Q05BGQAR8RLJB7NL0OAVREN06TJDWXGPRTGLT6DBRVC0PFYSHPFIRXSM6EOL5ZIWD8IEJQEFTRFF68RZMWHWB8JOOMHB32C72E7A48B611FE679845E722754E13D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8" w:rsidRDefault="00A755E2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南银理财珠联璧合致远1912一年定开公募人民币理财产品2025年2月10日开放、净值及分红公告</w:t>
      </w:r>
    </w:p>
    <w:p w:rsidR="004D27A8" w:rsidRDefault="00A755E2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4D27A8" w:rsidRDefault="00A755E2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南银理财珠联璧合致远1912一年定开公募人民币理财产品（产品登记编码Z7003221000041，内部销售代码Z20002）成立于2019年12月19日，于2025年1月27日至2025年2月10日开放申购/赎回。</w:t>
      </w:r>
    </w:p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2025年2月10日分红如下：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746"/>
        <w:gridCol w:w="4780"/>
      </w:tblGrid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1.0412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0.0412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2025-02-10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2025-02-10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2025-02-11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494"/>
        <w:gridCol w:w="2468"/>
        <w:gridCol w:w="3564"/>
      </w:tblGrid>
      <w:tr w:rsidR="004D27A8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2026-02-25至2026-03-03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2026-03-03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2026-03-04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4D27A8">
        <w:trPr>
          <w:jc w:val="center"/>
        </w:trPr>
        <w:tc>
          <w:tcPr>
            <w:tcW w:w="134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851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分红参考年化收益率</w:t>
            </w:r>
          </w:p>
        </w:tc>
        <w:tc>
          <w:tcPr>
            <w:tcW w:w="1828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2025-02-10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1.2196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3.87%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3.87%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2024-01-19至2025-02-10</w:t>
            </w:r>
          </w:p>
        </w:tc>
      </w:tr>
    </w:tbl>
    <w:p w:rsidR="004D27A8" w:rsidRDefault="004D27A8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4D27A8" w:rsidRDefault="004D27A8">
      <w:pPr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bookmarkEnd w:id="0"/>
      <w:r>
        <w:rPr>
          <w:rFonts w:ascii="方正仿宋简体" w:eastAsia="方正仿宋简体" w:hAnsi="仿宋_GB2312" w:cs="仿宋_GB2312" w:hint="eastAsia"/>
          <w:szCs w:val="21"/>
        </w:rPr>
        <w:t>2.本产品公布净值以截位法保留至小数点后</w:t>
      </w:r>
      <w:r w:rsidR="00C025FE">
        <w:rPr>
          <w:rFonts w:ascii="方正仿宋简体" w:eastAsia="方正仿宋简体" w:hAnsi="仿宋_GB2312" w:cs="仿宋_GB2312" w:hint="eastAsia"/>
          <w:szCs w:val="21"/>
        </w:rPr>
        <w:t>四</w:t>
      </w:r>
      <w:r>
        <w:rPr>
          <w:rFonts w:ascii="方正仿宋简体" w:eastAsia="方正仿宋简体" w:hAnsi="仿宋_GB2312" w:cs="仿宋_GB2312" w:hint="eastAsia"/>
          <w:szCs w:val="21"/>
        </w:rPr>
        <w:t>位,实际收益以投资者收到金额为准。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4D27A8" w:rsidRDefault="004D27A8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南银理财有限责任公司</w:t>
      </w: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2025年02月11日</w:t>
      </w:r>
    </w:p>
    <w:p w:rsidR="004D27A8" w:rsidRDefault="004D27A8"/>
    <w:sectPr w:rsidR="004D27A8" w:rsidSect="004D2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41" w:rsidRDefault="00BD4C41" w:rsidP="004F4DBA">
      <w:r>
        <w:separator/>
      </w:r>
    </w:p>
  </w:endnote>
  <w:endnote w:type="continuationSeparator" w:id="1">
    <w:p w:rsidR="00BD4C41" w:rsidRDefault="00BD4C41" w:rsidP="004F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41" w:rsidRDefault="00BD4C41" w:rsidP="004F4DBA">
      <w:r>
        <w:separator/>
      </w:r>
    </w:p>
  </w:footnote>
  <w:footnote w:type="continuationSeparator" w:id="1">
    <w:p w:rsidR="00BD4C41" w:rsidRDefault="00BD4C41" w:rsidP="004F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4D27A8"/>
    <w:rsid w:val="004F4DBA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755E2"/>
    <w:rsid w:val="00A83EC6"/>
    <w:rsid w:val="00A96625"/>
    <w:rsid w:val="00AC258E"/>
    <w:rsid w:val="00B55F44"/>
    <w:rsid w:val="00B64E22"/>
    <w:rsid w:val="00B72A3D"/>
    <w:rsid w:val="00BD4C41"/>
    <w:rsid w:val="00C025FE"/>
    <w:rsid w:val="00C133EE"/>
    <w:rsid w:val="00E11758"/>
    <w:rsid w:val="00E15591"/>
    <w:rsid w:val="00E725CD"/>
    <w:rsid w:val="00E96A5F"/>
    <w:rsid w:val="00F5154E"/>
    <w:rsid w:val="00FC10F9"/>
    <w:rsid w:val="028E244D"/>
    <w:rsid w:val="0B725965"/>
    <w:rsid w:val="1FEC1645"/>
    <w:rsid w:val="592435B5"/>
    <w:rsid w:val="59E96A34"/>
    <w:rsid w:val="696C04A8"/>
    <w:rsid w:val="750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A8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DB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F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D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bonj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2024-05-24T09:33:00Z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CKWFI6BA7RYA00HGQZRNKL057ZD0OAYR9U0XXJDWXGPRTGCT6MBJQC0IFYSHPC6RAXMXEOZMZIWD8LJJQUFT0FFW8RFMWLLB8JODDHB3DD953A66B88FC05C849A86ED05537550</vt:lpwstr>
  </property>
  <property fmtid="{D5CDD505-2E9C-101B-9397-08002B2CF9AE}" pid="5" name="_KSOProductBuildSID">
    <vt:lpwstr>72FCFC2D317A4DAC8A486D4237473009</vt:lpwstr>
  </property>
</Properties>
</file>