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D6GE796A05HGRPRNKL007N8MO7GREU0XFJDWXFBRTECTZMBJICJTFS6TPC6RBOM6COL9ZIX78IXJRSFTDFFA8RM0WHWBANOOIHB35ABBB40ABAEB024AE7C4E2BEC34C6B4D" Type="http://schemas.microsoft.com/office/2006/relationships/officeDocumentMain" Target="docProps/core.xml"/><Relationship Id="CQWM06GJ79UA06HGRAR8ML0S7NL0OAVREU06WJDWXGH8TDWT6MBRVCJUFYSTPC6RXXM6COLIZH5D8HEJENFTVFF689D0WHLB8UOD0HB3C9DDACDACA5D27661601603B544C5D9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南银理财珠联璧合鑫逸稳一年202期封闭式公募人民币理财产品发行公告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南银理财珠联璧合鑫逸稳一年202期封闭式公募人民币理财产品（产品登记编码：Z7003225000019）已于2025年02月05日结束募集，符合产品成立条件，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于2025年02月06日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成立。该产品募集金额1,530,540,641.00元，理财资金将按产品说明书约定进行投资。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2025年02月07日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SPWMD6GE796A05HGRPRNKL007N8MO7GREU0XFJDWXFBRTECTZMBJICJTFS6TPC6RBOM6COL9ZIX78IXJRSFTDFFA8RM0WHWBANOOIHB35ABBB40ABAEB024AE7C4E2BEC34C6B4D</vt:lpwstr>
  </property>
  <property fmtid="{D5CDD505-2E9C-101B-9397-08002B2CF9AE}" pid="5" name="_KSOProductBuildSID">
    <vt:lpwstr>02861386314C4C8E805B1E9B7997F17A</vt:lpwstr>
  </property>
</Properties>
</file>