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D6B7796A0THGQVR8ZL0Y7ZCMOYVR9U06BJDWXF8RTFLTZ7BRVC0HFYRTP8RRBOMXEOZFZHK78IEJRNFA0F8P8RF0WHWB8NODPHB393BFB65FF4906725FD22DDE807142D0F" Type="http://schemas.microsoft.com/office/2006/relationships/officeDocumentMain" Target="docProps/core.xml"/><Relationship Id="SZWFY6B77R9A0TTGRVR8IL0K7ZD0OAGR9U0XHJDWXFG8TDLT6MBJQCJTFYSTPDIRXNMXJOLSZHK78MJJQEFA0FFT8RZMWLLB8UOOKHB3A1A0D7935B2F002B59CAA57C2E46D39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SKWMD6B7796A0THGQVR8ZL0Y7ZCMOYVR9U06BJDWXF8RTFLTZ7BRVC0HFYRTP8RRBOMXEOZFZHK78IEJRNFA0F8P8RF0WHWB8NODPHB393BFB65FF4906725FD22DDE807142D0F</vt:lpwstr>
  </property>
  <property fmtid="{D5CDD505-2E9C-101B-9397-08002B2CF9AE}" pid="5" name="_KSOProductBuildSID">
    <vt:lpwstr>SZWFY6B77R9A0TTGRVR8IL0K7ZD0OAGR9U0XHJDWXFG8TDLT6MBJQCJTFYSTPDIRXNMXJOLSZHK78MJJQEFA0FFT8RZMWLLB8UOOKHB3A1A0D7935B2F002B59CAA57C2E46D396</vt:lpwstr>
  </property>
</Properties>
</file>