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CQWMG6GH79VQ05BG9ZR8RL0S7ZQ0OSGRQO0XTJDWXF88TGLTNRBRVCJVFY9TP8IRBNM69OL9ZH578IJJQXFT0FF689Q0WL5B8SOOPHB3FB44D1864E237CDFB0932C4150DD6D86" Type="http://schemas.microsoft.com/office/2006/relationships/officeDocumentMain" Target="docProps/core.xml"/><Relationship Id="CQWFP6GO796Q059GRAR8KLJM7NNMOXGRQO0XXJDWXFFRTELTZ7BJQCJVFY5HP8RRBEMXEOLIZH578IXJRNFADFF689QMWMWBASOOZHB3109F6EEBAEECD96A35057BD250776CC7" Type="http://schemas.microsoft.com/office/2006/relationships/officeDocumentExtended"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5E6D7">
      <w:pPr>
        <w:pBdr>
          <w:top w:val="none" w:color="auto" w:sz="0" w:space="0"/>
          <w:left w:val="none" w:color="auto" w:sz="0" w:space="0"/>
          <w:bottom w:val="none" w:color="auto" w:sz="0" w:space="0"/>
          <w:right w:val="none" w:color="auto" w:sz="0" w:space="0"/>
        </w:pBdr>
        <w:spacing w:line="0" w:lineRule="atLeast"/>
        <w:jc w:val="center"/>
        <w:rPr>
          <w:rFonts w:ascii="方正黑体_GBK" w:hAnsi="方正黑体_GBK" w:eastAsia="方正黑体_GBK"/>
          <w:b/>
          <w:bCs/>
          <w:vanish w:val="0"/>
          <w:kern w:val="0"/>
          <w:sz w:val="24"/>
          <w:szCs w:val="24"/>
        </w:rPr>
      </w:pPr>
      <w:r>
        <w:rPr>
          <w:rFonts w:hint="eastAsia" w:ascii="方正黑体_GBK" w:hAnsi="方正黑体_GBK" w:eastAsia="方正黑体_GBK"/>
          <w:b/>
          <w:bCs/>
          <w:vanish w:val="0"/>
          <w:kern w:val="0"/>
          <w:sz w:val="24"/>
          <w:szCs w:val="24"/>
        </w:rPr>
        <w:t>理财产品风险揭示书</w:t>
      </w:r>
    </w:p>
    <w:p w14:paraId="68A0B831">
      <w:pPr>
        <w:pBdr>
          <w:top w:val="none" w:color="auto" w:sz="0" w:space="0"/>
          <w:left w:val="none" w:color="auto" w:sz="0" w:space="0"/>
          <w:bottom w:val="none" w:color="auto" w:sz="0" w:space="0"/>
          <w:right w:val="none" w:color="auto" w:sz="0" w:space="0"/>
        </w:pBdr>
        <w:spacing w:line="0" w:lineRule="atLeast"/>
        <w:jc w:val="center"/>
        <w:rPr>
          <w:rFonts w:ascii="方正黑体_GBK" w:hAnsi="方正黑体_GBK" w:eastAsia="方正黑体_GBK"/>
          <w:vanish w:val="0"/>
          <w:color w:val="3D3D3D"/>
          <w:kern w:val="0"/>
          <w:sz w:val="18"/>
          <w:szCs w:val="18"/>
        </w:rPr>
      </w:pPr>
      <w:r>
        <w:rPr>
          <w:rFonts w:ascii="方正黑体_GBK" w:hAnsi="方正黑体_GBK" w:eastAsia="方正黑体_GBK"/>
          <w:b/>
          <w:bCs/>
          <w:i/>
          <w:iCs/>
          <w:vanish w:val="0"/>
          <w:kern w:val="0"/>
          <w:sz w:val="24"/>
          <w:szCs w:val="24"/>
          <w:u w:val="single"/>
        </w:rPr>
        <w:t>“</w:t>
      </w:r>
      <w:r>
        <w:rPr>
          <w:rFonts w:hint="eastAsia" w:ascii="方正黑体_GBK" w:hAnsi="方正黑体_GBK" w:eastAsia="方正黑体_GBK" w:cs="Times New Roman"/>
          <w:b/>
          <w:bCs/>
          <w:i/>
          <w:iCs/>
          <w:vanish w:val="0"/>
          <w:kern w:val="0"/>
          <w:sz w:val="24"/>
          <w:szCs w:val="24"/>
          <w:u w:val="single"/>
        </w:rPr>
        <w:t>理财非存款、产品有风险、投资须谨慎</w:t>
      </w:r>
      <w:r>
        <w:rPr>
          <w:rFonts w:ascii="方正黑体_GBK" w:hAnsi="方正黑体_GBK" w:eastAsia="方正黑体_GBK"/>
          <w:b/>
          <w:bCs/>
          <w:i/>
          <w:iCs/>
          <w:vanish w:val="0"/>
          <w:kern w:val="0"/>
          <w:sz w:val="24"/>
          <w:szCs w:val="24"/>
          <w:u w:val="single"/>
        </w:rPr>
        <w:t>”</w:t>
      </w:r>
      <w:r>
        <w:rPr>
          <w:rFonts w:hint="eastAsia" w:ascii="方正黑体_GBK" w:hAnsi="方正黑体_GBK" w:eastAsia="方正黑体_GBK"/>
          <w:b/>
          <w:bCs/>
          <w:i/>
          <w:iCs/>
          <w:vanish w:val="0"/>
          <w:kern w:val="0"/>
          <w:sz w:val="24"/>
          <w:szCs w:val="24"/>
          <w:u w:val="single"/>
        </w:rPr>
        <w:t>！</w:t>
      </w:r>
    </w:p>
    <w:p w14:paraId="61E89B8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firstLineChars="200"/>
        <w:rPr>
          <w:rFonts w:hint="eastAsia" w:ascii="方正黑体_GBK" w:hAnsi="方正黑体_GBK" w:eastAsia="方正黑体_GBK" w:cs="Times New Roman"/>
          <w:b/>
          <w:bCs w:val="0"/>
          <w:vanish w:val="0"/>
          <w:color w:val="3D3D3D"/>
          <w:kern w:val="0"/>
          <w:sz w:val="13"/>
          <w:szCs w:val="13"/>
        </w:rPr>
      </w:pPr>
      <w:r>
        <w:rPr>
          <w:rFonts w:hint="eastAsia" w:ascii="方正黑体_GBK" w:hAnsi="方正黑体_GBK" w:eastAsia="方正黑体_GBK"/>
          <w:b/>
          <w:bCs w:val="0"/>
          <w:vanish w:val="0"/>
          <w:color w:val="3D3D3D"/>
          <w:kern w:val="0"/>
          <w:sz w:val="13"/>
          <w:szCs w:val="13"/>
        </w:rPr>
        <w:t>本理财产品是</w:t>
      </w:r>
      <w:r>
        <w:rPr>
          <w:rFonts w:hint="eastAsia" w:ascii="方正黑体_GBK" w:hAnsi="方正黑体_GBK" w:eastAsia="方正黑体_GBK"/>
          <w:b/>
          <w:bCs w:val="0"/>
          <w:i/>
          <w:iCs/>
          <w:vanish w:val="0"/>
          <w:color w:val="3D3D3D"/>
          <w:kern w:val="0"/>
          <w:sz w:val="20"/>
          <w:szCs w:val="20"/>
          <w:u w:val="single"/>
        </w:rPr>
        <w:t>定期开放式、固定收益类、公募、净值型</w:t>
      </w:r>
      <w:r>
        <w:rPr>
          <w:rFonts w:hint="eastAsia" w:ascii="方正黑体_GBK" w:hAnsi="方正黑体_GBK" w:eastAsia="方正黑体_GBK"/>
          <w:b/>
          <w:bCs w:val="0"/>
          <w:vanish w:val="0"/>
          <w:color w:val="3D3D3D"/>
          <w:kern w:val="0"/>
          <w:sz w:val="13"/>
          <w:szCs w:val="13"/>
        </w:rPr>
        <w:t>理财产品，</w:t>
      </w:r>
      <w:r>
        <w:rPr>
          <w:rFonts w:hint="eastAsia" w:ascii="方正黑体_GBK" w:hAnsi="方正黑体_GBK" w:eastAsia="方正黑体_GBK" w:cs="Times New Roman"/>
          <w:b/>
          <w:bCs w:val="0"/>
          <w:i/>
          <w:iCs/>
          <w:vanish w:val="0"/>
          <w:color w:val="3D3D3D"/>
          <w:kern w:val="0"/>
          <w:sz w:val="20"/>
          <w:szCs w:val="20"/>
          <w:u w:val="single"/>
        </w:rPr>
        <w:t>不保证本金和收益</w:t>
      </w:r>
      <w:r>
        <w:rPr>
          <w:rFonts w:hint="eastAsia" w:ascii="方正黑体_GBK" w:hAnsi="方正黑体_GBK" w:eastAsia="方正黑体_GBK"/>
          <w:b/>
          <w:bCs w:val="0"/>
          <w:vanish w:val="0"/>
          <w:color w:val="3D3D3D"/>
          <w:kern w:val="0"/>
          <w:sz w:val="13"/>
          <w:szCs w:val="13"/>
        </w:rPr>
        <w:t>，您（以下或称为</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投资者</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）的本金与收益可能会蒙受</w:t>
      </w:r>
      <w:r>
        <w:rPr>
          <w:rFonts w:hint="eastAsia" w:ascii="方正黑体_GBK" w:hAnsi="方正黑体_GBK" w:eastAsia="方正黑体_GBK" w:cs="Times New Roman"/>
          <w:b/>
          <w:bCs w:val="0"/>
          <w:vanish w:val="0"/>
          <w:color w:val="3D3D3D"/>
          <w:kern w:val="0"/>
          <w:sz w:val="13"/>
          <w:szCs w:val="13"/>
        </w:rPr>
        <w:t>全部或部分</w:t>
      </w:r>
      <w:r>
        <w:rPr>
          <w:rFonts w:hint="eastAsia" w:ascii="方正黑体_GBK" w:hAnsi="方正黑体_GBK" w:eastAsia="方正黑体_GBK"/>
          <w:b/>
          <w:bCs w:val="0"/>
          <w:vanish w:val="0"/>
          <w:color w:val="3D3D3D"/>
          <w:kern w:val="0"/>
          <w:sz w:val="13"/>
          <w:szCs w:val="13"/>
        </w:rPr>
        <w:t>损失，</w:t>
      </w:r>
      <w:r>
        <w:rPr>
          <w:rFonts w:hint="eastAsia" w:ascii="方正黑体_GBK" w:hAnsi="方正黑体_GBK" w:eastAsia="方正黑体_GBK" w:cs="Times New Roman"/>
          <w:b/>
          <w:bCs w:val="0"/>
          <w:vanish w:val="0"/>
          <w:color w:val="3D3D3D"/>
          <w:kern w:val="0"/>
          <w:sz w:val="13"/>
          <w:szCs w:val="13"/>
        </w:rPr>
        <w:t>在您选择购买本理财产品前，您应仔细阅读</w:t>
      </w:r>
      <w:r>
        <w:rPr>
          <w:rFonts w:hint="eastAsia" w:ascii="方正黑体_GBK" w:hAnsi="方正黑体_GBK" w:eastAsia="方正黑体_GBK"/>
          <w:b/>
          <w:bCs w:val="0"/>
          <w:vanish w:val="0"/>
          <w:color w:val="3D3D3D"/>
          <w:kern w:val="0"/>
          <w:sz w:val="13"/>
          <w:szCs w:val="13"/>
        </w:rPr>
        <w:t>对应期次的《理财产品风险揭示书》《理财产品说明书》《投资者权益须知》《理财产品销售协议书》</w:t>
      </w:r>
      <w:r>
        <w:rPr>
          <w:rFonts w:hint="eastAsia" w:ascii="方正黑体_GBK" w:hAnsi="方正黑体_GBK" w:eastAsia="方正黑体_GBK" w:cs="Times New Roman"/>
          <w:b/>
          <w:bCs w:val="0"/>
          <w:vanish w:val="0"/>
          <w:color w:val="3D3D3D"/>
          <w:kern w:val="0"/>
          <w:sz w:val="13"/>
          <w:szCs w:val="13"/>
        </w:rPr>
        <w:t>和《理财产品投资协议书》</w:t>
      </w:r>
      <w:r>
        <w:rPr>
          <w:rFonts w:hint="eastAsia" w:ascii="方正黑体_GBK" w:hAnsi="方正黑体_GBK" w:eastAsia="方正黑体_GBK"/>
          <w:b/>
          <w:bCs w:val="0"/>
          <w:vanish w:val="0"/>
          <w:color w:val="3D3D3D"/>
          <w:kern w:val="0"/>
          <w:sz w:val="13"/>
          <w:szCs w:val="13"/>
        </w:rPr>
        <w:t>（以下合称</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理财产品销售文件</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，了解本理财产品信息及详细</w:t>
      </w:r>
      <w:r>
        <w:rPr>
          <w:rFonts w:hint="eastAsia" w:ascii="方正黑体_GBK" w:hAnsi="方正黑体_GBK" w:eastAsia="方正黑体_GBK"/>
          <w:b/>
          <w:bCs w:val="0"/>
          <w:vanish w:val="0"/>
          <w:color w:val="3D3D3D"/>
          <w:kern w:val="0"/>
          <w:sz w:val="13"/>
          <w:szCs w:val="13"/>
        </w:rPr>
        <w:t>条款</w:t>
      </w:r>
      <w:r>
        <w:rPr>
          <w:rFonts w:hint="eastAsia" w:ascii="方正黑体_GBK" w:hAnsi="方正黑体_GBK" w:eastAsia="方正黑体_GBK" w:cs="Times New Roman"/>
          <w:b/>
          <w:bCs w:val="0"/>
          <w:vanish w:val="0"/>
          <w:color w:val="3D3D3D"/>
          <w:kern w:val="0"/>
          <w:sz w:val="13"/>
          <w:szCs w:val="13"/>
        </w:rPr>
        <w:t>。</w:t>
      </w:r>
    </w:p>
    <w:p w14:paraId="59D832B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firstLineChars="200"/>
        <w:rPr>
          <w:rFonts w:ascii="方正黑体_GBK" w:hAnsi="方正黑体_GBK" w:eastAsia="方正黑体_GBK"/>
          <w:b/>
          <w:bCs w:val="0"/>
          <w:vanish w:val="0"/>
          <w:color w:val="3D3D3D"/>
          <w:kern w:val="0"/>
          <w:sz w:val="13"/>
          <w:szCs w:val="13"/>
        </w:rPr>
      </w:pPr>
      <w:r>
        <w:rPr>
          <w:rFonts w:hint="eastAsia" w:ascii="方正黑体_GBK" w:hAnsi="方正黑体_GBK" w:eastAsia="方正黑体_GBK" w:cs="Times New Roman"/>
          <w:b/>
          <w:bCs w:val="0"/>
          <w:vanish w:val="0"/>
          <w:color w:val="3D3D3D"/>
          <w:kern w:val="0"/>
          <w:sz w:val="13"/>
          <w:szCs w:val="13"/>
        </w:rPr>
        <w:t>重要提示：</w:t>
      </w:r>
      <w:r>
        <w:rPr>
          <w:rFonts w:hint="eastAsia" w:ascii="方正黑体_GBK" w:hAnsi="方正黑体_GBK" w:eastAsia="方正黑体_GBK"/>
          <w:b/>
          <w:bCs w:val="0"/>
          <w:vanish w:val="0"/>
          <w:color w:val="3D3D3D"/>
          <w:kern w:val="0"/>
          <w:sz w:val="13"/>
          <w:szCs w:val="13"/>
        </w:rPr>
        <w:t>南银理财有限责任公司（以下简称为</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南银理财</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、“理财产品管理人”、“产品管理人”或“管理人”</w:t>
      </w:r>
      <w:r>
        <w:rPr>
          <w:rFonts w:hint="eastAsia"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ascii="方正黑体_GBK" w:hAnsi="方正黑体_GBK" w:eastAsia="方正黑体_GBK"/>
          <w:b/>
          <w:bCs w:val="0"/>
          <w:vanish w:val="0"/>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ascii="方正黑体_GBK" w:hAnsi="方正黑体_GBK" w:eastAsia="方正黑体_GBK" w:cs="Times New Roman"/>
          <w:b/>
          <w:bCs w:val="0"/>
          <w:vanish w:val="0"/>
          <w:color w:val="3D3D3D"/>
          <w:kern w:val="0"/>
          <w:sz w:val="13"/>
          <w:szCs w:val="13"/>
        </w:rPr>
        <w:t>您应该充分认识本理财产品的投资风险，本着</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充分了解风险，自主选择购买</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的原则，谨慎决策</w:t>
      </w:r>
      <w:r>
        <w:rPr>
          <w:rFonts w:hint="eastAsia" w:ascii="方正黑体_GBK" w:hAnsi="方正黑体_GBK" w:eastAsia="方正黑体_GBK"/>
          <w:b/>
          <w:bCs w:val="0"/>
          <w:vanish w:val="0"/>
          <w:color w:val="3D3D3D"/>
          <w:kern w:val="0"/>
          <w:sz w:val="13"/>
          <w:szCs w:val="13"/>
        </w:rPr>
        <w:t>，自主决定将合法所有的自有资金用于购买本理财产品。理财产品过往业绩不代表其未来表现，不等于理财产品实际收益，</w:t>
      </w:r>
      <w:r>
        <w:rPr>
          <w:rFonts w:hint="eastAsia" w:ascii="方正黑体_GBK" w:hAnsi="方正黑体_GBK" w:eastAsia="方正黑体_GBK" w:cs="Times New Roman"/>
          <w:b/>
          <w:bCs w:val="0"/>
          <w:vanish w:val="0"/>
          <w:color w:val="3D3D3D"/>
          <w:kern w:val="0"/>
          <w:sz w:val="13"/>
          <w:szCs w:val="13"/>
        </w:rPr>
        <w:t>不构成管理人对理财产品业绩表现的保证，</w:t>
      </w:r>
      <w:r>
        <w:rPr>
          <w:rFonts w:hint="eastAsia" w:ascii="方正黑体_GBK" w:hAnsi="方正黑体_GBK" w:eastAsia="方正黑体_GBK"/>
          <w:b/>
          <w:bCs w:val="0"/>
          <w:vanish w:val="0"/>
          <w:color w:val="3D3D3D"/>
          <w:kern w:val="0"/>
          <w:sz w:val="13"/>
          <w:szCs w:val="13"/>
        </w:rPr>
        <w:t>投资须谨慎</w:t>
      </w:r>
      <w:r>
        <w:rPr>
          <w:rFonts w:hint="eastAsia" w:ascii="方正黑体_GBK" w:hAnsi="方正黑体_GBK" w:eastAsia="方正黑体_GBK" w:cs="Times New Roman"/>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在购买本理财产品后，您应随时关注产品的信息披露情况，及时获取相关信息。</w:t>
      </w:r>
    </w:p>
    <w:p w14:paraId="1655D29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firstLineChars="200"/>
        <w:rPr>
          <w:rFonts w:ascii="方正黑体_GBK" w:hAnsi="方正黑体_GBK" w:eastAsia="方正黑体_GBK"/>
          <w:vanish w:val="0"/>
          <w:color w:val="3D3D3D"/>
          <w:kern w:val="0"/>
          <w:sz w:val="13"/>
          <w:szCs w:val="13"/>
        </w:rPr>
      </w:pPr>
      <w:r>
        <w:rPr>
          <w:rFonts w:hint="eastAsia" w:ascii="方正黑体_GBK" w:hAnsi="方正黑体_GBK" w:eastAsia="方正黑体_GBK"/>
          <w:b/>
          <w:bCs w:val="0"/>
          <w:vanish w:val="0"/>
          <w:color w:val="3D3D3D"/>
          <w:kern w:val="0"/>
          <w:sz w:val="13"/>
          <w:szCs w:val="13"/>
        </w:rPr>
        <w:t>本风险揭示书列示的风险指理财产品项下可能涉及的风险，包括但不限于：</w:t>
      </w:r>
    </w:p>
    <w:p w14:paraId="62310C5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firstLineChars="20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第一条</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理财产品共性风险提示和管控措施</w:t>
      </w:r>
    </w:p>
    <w:p w14:paraId="39F63B8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（一）政策风险：</w:t>
      </w:r>
      <w:r>
        <w:rPr>
          <w:rFonts w:hint="eastAsia" w:ascii="方正黑体_GBK" w:hAnsi="方正黑体_GBK" w:eastAsia="方正黑体_GBK" w:cs="Times New Roman"/>
          <w:vanish w:val="0"/>
          <w:color w:val="3D3D3D"/>
          <w:kern w:val="0"/>
          <w:sz w:val="13"/>
          <w:szCs w:val="13"/>
        </w:rPr>
        <w:t>本</w:t>
      </w:r>
      <w:r>
        <w:rPr>
          <w:rFonts w:hint="eastAsia" w:ascii="方正黑体_GBK" w:hAnsi="方正黑体_GBK" w:eastAsia="方正黑体_GBK"/>
          <w:vanish w:val="0"/>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ascii="方正黑体_GBK" w:hAnsi="方正黑体_GBK" w:eastAsia="方正黑体_GBK" w:cs="Times New Roman"/>
          <w:vanish w:val="0"/>
          <w:color w:val="3D3D3D"/>
          <w:kern w:val="0"/>
          <w:sz w:val="13"/>
          <w:szCs w:val="13"/>
        </w:rPr>
        <w:t>导致</w:t>
      </w:r>
      <w:r>
        <w:rPr>
          <w:rFonts w:hint="eastAsia" w:ascii="方正黑体_GBK" w:hAnsi="方正黑体_GBK" w:eastAsia="方正黑体_GBK"/>
          <w:vanish w:val="0"/>
          <w:color w:val="3D3D3D"/>
          <w:kern w:val="0"/>
          <w:sz w:val="13"/>
          <w:szCs w:val="13"/>
        </w:rPr>
        <w:t>理财产品的收益降低</w:t>
      </w:r>
      <w:r>
        <w:rPr>
          <w:rFonts w:hint="eastAsia" w:ascii="方正黑体_GBK" w:hAnsi="方正黑体_GBK" w:eastAsia="方正黑体_GBK" w:cs="Times New Roman"/>
          <w:vanish w:val="0"/>
          <w:color w:val="3D3D3D"/>
          <w:kern w:val="0"/>
          <w:sz w:val="13"/>
          <w:szCs w:val="13"/>
        </w:rPr>
        <w:t>或无法取得任何收益</w:t>
      </w:r>
      <w:r>
        <w:rPr>
          <w:rFonts w:hint="eastAsia" w:ascii="方正黑体_GBK" w:hAnsi="方正黑体_GBK" w:eastAsia="方正黑体_GBK"/>
          <w:vanish w:val="0"/>
          <w:color w:val="3D3D3D"/>
          <w:kern w:val="0"/>
          <w:sz w:val="13"/>
          <w:szCs w:val="13"/>
        </w:rPr>
        <w:t>甚至本理财产品的本金遭受</w:t>
      </w:r>
      <w:r>
        <w:rPr>
          <w:rFonts w:hint="eastAsia" w:ascii="方正黑体_GBK" w:hAnsi="方正黑体_GBK" w:eastAsia="方正黑体_GBK" w:cs="Times New Roman"/>
          <w:vanish w:val="0"/>
          <w:color w:val="3D3D3D"/>
          <w:kern w:val="0"/>
          <w:sz w:val="13"/>
          <w:szCs w:val="13"/>
        </w:rPr>
        <w:t>部分或全部</w:t>
      </w:r>
      <w:r>
        <w:rPr>
          <w:rFonts w:hint="eastAsia" w:ascii="方正黑体_GBK" w:hAnsi="方正黑体_GBK" w:eastAsia="方正黑体_GBK"/>
          <w:vanish w:val="0"/>
          <w:color w:val="3D3D3D"/>
          <w:kern w:val="0"/>
          <w:sz w:val="13"/>
          <w:szCs w:val="13"/>
        </w:rPr>
        <w:t>损失，也可能导致本理财产品违反国家法律、法规或者其他合同的有关规定，进而导致本理财产品被宣告无效、撤销、解除或提前终止等。</w:t>
      </w:r>
    </w:p>
    <w:p w14:paraId="1C99921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（二）信用风险：</w:t>
      </w:r>
      <w:r>
        <w:rPr>
          <w:rFonts w:hint="eastAsia" w:ascii="方正黑体_GBK" w:hAnsi="方正黑体_GBK" w:eastAsia="方正黑体_GBK" w:cs="Times New Roman"/>
          <w:vanish w:val="0"/>
          <w:color w:val="3D3D3D"/>
          <w:kern w:val="0"/>
          <w:sz w:val="13"/>
          <w:szCs w:val="13"/>
        </w:rPr>
        <w:t>本理财产品收益来源于理财产品项下投资对象的回报。</w:t>
      </w:r>
      <w:r>
        <w:rPr>
          <w:rFonts w:hint="eastAsia" w:ascii="方正黑体_GBK" w:hAnsi="方正黑体_GBK" w:eastAsia="方正黑体_GBK"/>
          <w:vanish w:val="0"/>
          <w:color w:val="3D3D3D"/>
          <w:kern w:val="0"/>
          <w:sz w:val="13"/>
          <w:szCs w:val="13"/>
        </w:rPr>
        <w:t>本理财产品所投资的资产，可能因债务人违约或者其他原因在投资期限届满时不能足额变现，由此可能导致本理财产品的本金及收益遭受损失。</w:t>
      </w:r>
      <w:r>
        <w:rPr>
          <w:rFonts w:hint="eastAsia" w:ascii="方正黑体_GBK" w:hAnsi="方正黑体_GBK" w:eastAsia="方正黑体_GBK" w:cs="Times New Roman"/>
          <w:vanish w:val="0"/>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14:paraId="4D27199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（三）市场风险：理财产品面临的市场风险主要指因市场各种风险因子变动，使得理财产品配置资产的价格发生波动，导致理财产品本金或收益蒙受损失的风险。</w:t>
      </w:r>
    </w:p>
    <w:p w14:paraId="4658913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理财产品投资不同类型的资产可能面临的市场风险包括但不限于：</w:t>
      </w:r>
      <w:r>
        <w:rPr>
          <w:rFonts w:ascii="方正黑体_GBK" w:hAnsi="方正黑体_GBK" w:eastAsia="方正黑体_GBK"/>
          <w:vanish w:val="0"/>
          <w:color w:val="3D3D3D"/>
          <w:kern w:val="0"/>
          <w:sz w:val="13"/>
          <w:szCs w:val="13"/>
        </w:rPr>
        <w:t>1.</w:t>
      </w:r>
      <w:r>
        <w:rPr>
          <w:rFonts w:hint="eastAsia" w:ascii="方正黑体_GBK" w:hAnsi="方正黑体_GBK" w:eastAsia="方正黑体_GBK"/>
          <w:vanish w:val="0"/>
          <w:color w:val="3D3D3D"/>
          <w:kern w:val="0"/>
          <w:sz w:val="13"/>
          <w:szCs w:val="13"/>
        </w:rPr>
        <w:t>理财产品投资债券等固定收益率资产将面临利率、汇率变化等市场风险以及债券价格波动风险；</w:t>
      </w:r>
      <w:r>
        <w:rPr>
          <w:rFonts w:ascii="方正黑体_GBK" w:hAnsi="方正黑体_GBK" w:eastAsia="方正黑体_GBK"/>
          <w:vanish w:val="0"/>
          <w:color w:val="3D3D3D"/>
          <w:kern w:val="0"/>
          <w:sz w:val="13"/>
          <w:szCs w:val="13"/>
        </w:rPr>
        <w:t>2.</w:t>
      </w:r>
      <w:r>
        <w:rPr>
          <w:rFonts w:hint="eastAsia" w:ascii="方正黑体_GBK" w:hAnsi="方正黑体_GBK" w:eastAsia="方正黑体_GBK"/>
          <w:vanish w:val="0"/>
          <w:color w:val="3D3D3D"/>
          <w:kern w:val="0"/>
          <w:sz w:val="13"/>
          <w:szCs w:val="13"/>
        </w:rPr>
        <w:t>理财产品投资股票等权益类资产将面临股票价格波动风险和股票发行人的经营风险、管理风险等风险；</w:t>
      </w:r>
      <w:r>
        <w:rPr>
          <w:rFonts w:ascii="方正黑体_GBK" w:hAnsi="方正黑体_GBK" w:eastAsia="方正黑体_GBK"/>
          <w:vanish w:val="0"/>
          <w:color w:val="3D3D3D"/>
          <w:kern w:val="0"/>
          <w:sz w:val="13"/>
          <w:szCs w:val="13"/>
        </w:rPr>
        <w:t>3.</w:t>
      </w:r>
      <w:r>
        <w:rPr>
          <w:rFonts w:hint="eastAsia" w:ascii="方正黑体_GBK" w:hAnsi="方正黑体_GBK" w:eastAsia="方正黑体_GBK"/>
          <w:vanish w:val="0"/>
          <w:color w:val="3D3D3D"/>
          <w:kern w:val="0"/>
          <w:sz w:val="13"/>
          <w:szCs w:val="13"/>
        </w:rPr>
        <w:t>理财产品投资商品及金融衍生品类产品可能面临衍生品公允价值变化风险</w:t>
      </w:r>
      <w:r>
        <w:rPr>
          <w:rFonts w:hint="eastAsia" w:ascii="方正黑体_GBK" w:hAnsi="方正黑体_GBK" w:eastAsia="方正黑体_GBK" w:cs="Times New Roman"/>
          <w:vanish w:val="0"/>
          <w:color w:val="3D3D3D"/>
          <w:kern w:val="0"/>
          <w:sz w:val="13"/>
          <w:szCs w:val="13"/>
        </w:rPr>
        <w:t>等。</w:t>
      </w:r>
    </w:p>
    <w:p w14:paraId="3D01C36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变现而导致的额外资金成本增加，导致理财产品本金或收益蒙受损失的风险；从投资者自身的角度，流动性风险是指</w:t>
      </w:r>
      <w:r>
        <w:rPr>
          <w:rFonts w:hint="eastAsia" w:ascii="方正黑体_GBK" w:hAnsi="方正黑体_GBK" w:eastAsia="方正黑体_GBK" w:cs="Times New Roman"/>
          <w:vanish w:val="0"/>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ascii="方正黑体_GBK" w:hAnsi="方正黑体_GBK" w:eastAsia="方正黑体_GBK"/>
          <w:vanish w:val="0"/>
          <w:color w:val="3D3D3D"/>
          <w:kern w:val="0"/>
          <w:sz w:val="13"/>
          <w:szCs w:val="13"/>
        </w:rPr>
        <w:t>当市场上出现更高收益的产品时，将有可能</w:t>
      </w:r>
      <w:r>
        <w:rPr>
          <w:rFonts w:hint="eastAsia" w:ascii="方正黑体_GBK" w:hAnsi="方正黑体_GBK" w:eastAsia="方正黑体_GBK" w:cs="Times New Roman"/>
          <w:vanish w:val="0"/>
          <w:color w:val="3D3D3D"/>
          <w:kern w:val="0"/>
          <w:sz w:val="13"/>
          <w:szCs w:val="13"/>
        </w:rPr>
        <w:t>导致投资者</w:t>
      </w:r>
      <w:r>
        <w:rPr>
          <w:rFonts w:hint="eastAsia" w:ascii="方正黑体_GBK" w:hAnsi="方正黑体_GBK" w:eastAsia="方正黑体_GBK"/>
          <w:vanish w:val="0"/>
          <w:color w:val="3D3D3D"/>
          <w:kern w:val="0"/>
          <w:sz w:val="13"/>
          <w:szCs w:val="13"/>
        </w:rPr>
        <w:t>因此丧失其他投资机会。</w:t>
      </w:r>
    </w:p>
    <w:p w14:paraId="7168971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14:paraId="1E95DE6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14:paraId="4E20886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抵质押物的变现价值不足以覆盖该部分投资资产本金及投资收益，则可能影响投资者收益，发生本理财产品净值下跌甚至本金损失的情况。</w:t>
      </w:r>
    </w:p>
    <w:p w14:paraId="5128D26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（八）</w:t>
      </w:r>
      <w:r>
        <w:rPr>
          <w:rFonts w:hint="eastAsia" w:ascii="方正黑体_GBK" w:hAnsi="方正黑体_GBK" w:eastAsia="方正黑体_GBK" w:cs="Times New Roman"/>
          <w:vanish w:val="0"/>
          <w:color w:val="3D3D3D"/>
          <w:kern w:val="0"/>
          <w:sz w:val="13"/>
          <w:szCs w:val="13"/>
        </w:rPr>
        <w:t>理财</w:t>
      </w:r>
      <w:r>
        <w:rPr>
          <w:rFonts w:hint="eastAsia" w:ascii="方正黑体_GBK" w:hAnsi="方正黑体_GBK" w:eastAsia="方正黑体_GBK"/>
          <w:vanish w:val="0"/>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ascii="方正黑体_GBK" w:hAnsi="方正黑体_GBK" w:eastAsia="方正黑体_GBK" w:cs="Times New Roman"/>
          <w:vanish w:val="0"/>
          <w:color w:val="3D3D3D"/>
          <w:kern w:val="0"/>
          <w:sz w:val="13"/>
          <w:szCs w:val="13"/>
        </w:rPr>
        <w:t>（或通过销售机构通知）</w:t>
      </w:r>
      <w:r>
        <w:rPr>
          <w:rFonts w:hint="eastAsia" w:ascii="方正黑体_GBK" w:hAnsi="方正黑体_GBK" w:eastAsia="方正黑体_GBK"/>
          <w:vanish w:val="0"/>
          <w:color w:val="3D3D3D"/>
          <w:kern w:val="0"/>
          <w:sz w:val="13"/>
          <w:szCs w:val="13"/>
        </w:rPr>
        <w:t>理财产品不成立且不承担任何违约责任，投资者将面临再投资风险。</w:t>
      </w:r>
    </w:p>
    <w:p w14:paraId="326FECC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（九）延期分配风险：如因理财产品投资的资产</w:t>
      </w:r>
      <w:r>
        <w:rPr>
          <w:rFonts w:hint="eastAsia" w:ascii="方正黑体_GBK" w:hAnsi="方正黑体_GBK" w:eastAsia="方正黑体_GBK" w:cs="Times New Roman"/>
          <w:vanish w:val="0"/>
          <w:color w:val="3D3D3D"/>
          <w:kern w:val="0"/>
          <w:sz w:val="13"/>
          <w:szCs w:val="13"/>
        </w:rPr>
        <w:t>市场流动性不足或受限导致未能正常买卖结算，或投资资产正常到期，投资资产相关发行人或融资主体未能及时偿付本息，所投资工具</w:t>
      </w:r>
      <w:r>
        <w:rPr>
          <w:rFonts w:hint="eastAsia" w:ascii="方正黑体_GBK" w:hAnsi="方正黑体_GBK" w:eastAsia="方正黑体_GBK"/>
          <w:vanish w:val="0"/>
          <w:color w:val="3D3D3D"/>
          <w:kern w:val="0"/>
          <w:sz w:val="13"/>
          <w:szCs w:val="13"/>
        </w:rPr>
        <w:t>无法及时变现等原因造成不能按时支付理财产品本金和收益，则投资者面临理财产品期限延期、调整等风险。</w:t>
      </w:r>
    </w:p>
    <w:p w14:paraId="54FBF76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14:paraId="56EA419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b/>
          <w:bCs/>
          <w:vanish w:val="0"/>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w:t>
      </w:r>
      <w:r>
        <w:rPr>
          <w:rFonts w:hint="eastAsia" w:ascii="方正黑体_GBK" w:hAnsi="方正黑体_GBK" w:eastAsia="方正黑体_GBK" w:cs="Times New Roman"/>
          <w:b/>
          <w:bCs/>
          <w:vanish w:val="0"/>
          <w:color w:val="3D3D3D"/>
          <w:kern w:val="0"/>
          <w:sz w:val="13"/>
          <w:szCs w:val="13"/>
        </w:rPr>
        <w:t>者</w:t>
      </w:r>
      <w:r>
        <w:rPr>
          <w:rFonts w:hint="eastAsia" w:ascii="方正黑体_GBK" w:hAnsi="方正黑体_GBK" w:eastAsia="方正黑体_GBK"/>
          <w:b/>
          <w:bCs/>
          <w:vanish w:val="0"/>
          <w:color w:val="3D3D3D"/>
          <w:kern w:val="0"/>
          <w:sz w:val="13"/>
          <w:szCs w:val="13"/>
        </w:rPr>
        <w:t>蒙受损失的风险。</w:t>
      </w:r>
    </w:p>
    <w:p w14:paraId="7D6EDD5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b/>
          <w:bCs/>
          <w:vanish w:val="0"/>
          <w:color w:val="3D3D3D"/>
          <w:kern w:val="0"/>
          <w:sz w:val="13"/>
          <w:szCs w:val="13"/>
        </w:rPr>
        <w:t>南银理财按照对应期次《理财产品说明书》有关条款的约定，发布当期理财产品的运作、到期清算或提前终止等信息公告</w:t>
      </w:r>
      <w:r>
        <w:rPr>
          <w:rFonts w:hint="eastAsia" w:ascii="方正黑体_GBK" w:hAnsi="方正黑体_GBK" w:eastAsia="方正黑体_GBK" w:cs="Times New Roman"/>
          <w:b/>
          <w:bCs/>
          <w:vanish w:val="0"/>
          <w:color w:val="3D3D3D"/>
          <w:kern w:val="0"/>
          <w:sz w:val="13"/>
          <w:szCs w:val="13"/>
        </w:rPr>
        <w:t>或报告</w:t>
      </w:r>
      <w:r>
        <w:rPr>
          <w:rFonts w:hint="eastAsia" w:ascii="方正黑体_GBK" w:hAnsi="方正黑体_GBK" w:eastAsia="方正黑体_GBK"/>
          <w:b/>
          <w:bCs/>
          <w:vanish w:val="0"/>
          <w:color w:val="3D3D3D"/>
          <w:kern w:val="0"/>
          <w:sz w:val="13"/>
          <w:szCs w:val="13"/>
        </w:rPr>
        <w:t>。投资者应根据《理财产品说明书》中约定的</w:t>
      </w:r>
      <w:r>
        <w:rPr>
          <w:rFonts w:hint="eastAsia" w:ascii="方正黑体_GBK" w:hAnsi="方正黑体_GBK" w:eastAsia="方正黑体_GBK" w:cs="Times New Roman"/>
          <w:b/>
          <w:bCs/>
          <w:vanish w:val="0"/>
          <w:color w:val="3D3D3D"/>
          <w:kern w:val="0"/>
          <w:sz w:val="13"/>
          <w:szCs w:val="13"/>
        </w:rPr>
        <w:t>信息披露</w:t>
      </w:r>
      <w:r>
        <w:rPr>
          <w:rFonts w:hint="eastAsia" w:ascii="方正黑体_GBK" w:hAnsi="方正黑体_GBK" w:eastAsia="方正黑体_GBK"/>
          <w:b/>
          <w:bCs/>
          <w:vanish w:val="0"/>
          <w:color w:val="3D3D3D"/>
          <w:kern w:val="0"/>
          <w:sz w:val="13"/>
          <w:szCs w:val="13"/>
        </w:rPr>
        <w:t>渠道及时查询相关信息</w:t>
      </w:r>
      <w:r>
        <w:rPr>
          <w:rFonts w:hint="eastAsia" w:ascii="方正黑体_GBK" w:hAnsi="方正黑体_GBK" w:eastAsia="方正黑体_GBK" w:cs="Times New Roman"/>
          <w:b/>
          <w:bCs/>
          <w:vanish w:val="0"/>
          <w:color w:val="3D3D3D"/>
          <w:kern w:val="0"/>
          <w:sz w:val="13"/>
          <w:szCs w:val="13"/>
        </w:rPr>
        <w:t>，</w:t>
      </w:r>
      <w:r>
        <w:rPr>
          <w:rFonts w:hint="eastAsia" w:ascii="方正黑体_GBK" w:hAnsi="方正黑体_GBK" w:eastAsia="方正黑体_GBK"/>
          <w:b/>
          <w:bCs/>
          <w:vanish w:val="0"/>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ascii="方正黑体_GBK" w:hAnsi="方正黑体_GBK" w:eastAsia="方正黑体_GBK" w:cs="Times New Roman"/>
          <w:b/>
          <w:bCs/>
          <w:vanish w:val="0"/>
          <w:color w:val="3D3D3D"/>
          <w:kern w:val="0"/>
          <w:sz w:val="13"/>
          <w:szCs w:val="13"/>
        </w:rPr>
        <w:t>投资者承担</w:t>
      </w:r>
      <w:r>
        <w:rPr>
          <w:rFonts w:hint="eastAsia" w:ascii="方正黑体_GBK" w:hAnsi="方正黑体_GBK" w:eastAsia="方正黑体_GBK"/>
          <w:b/>
          <w:bCs/>
          <w:vanish w:val="0"/>
          <w:color w:val="3D3D3D"/>
          <w:kern w:val="0"/>
          <w:sz w:val="13"/>
          <w:szCs w:val="13"/>
        </w:rPr>
        <w:t>因此而产生的责任和风险。</w:t>
      </w:r>
    </w:p>
    <w:p w14:paraId="2372324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nish w:val="0"/>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14:paraId="7B9E76F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（十二）不可抗力及意外事件风险：理财产品面临的不可抗力及意外事件风险是指</w:t>
      </w:r>
      <w:r>
        <w:rPr>
          <w:rFonts w:hint="eastAsia" w:ascii="方正黑体_GBK" w:hAnsi="方正黑体_GBK" w:eastAsia="方正黑体_GBK" w:cs="Times New Roman"/>
          <w:vanish w:val="0"/>
          <w:color w:val="3D3D3D"/>
          <w:kern w:val="0"/>
          <w:sz w:val="13"/>
          <w:szCs w:val="13"/>
        </w:rPr>
        <w:t>《理财产品说明书》规定的不可抗力或</w:t>
      </w:r>
      <w:r>
        <w:rPr>
          <w:rFonts w:hint="eastAsia" w:ascii="方正黑体_GBK" w:hAnsi="方正黑体_GBK" w:eastAsia="方正黑体_GBK"/>
          <w:vanish w:val="0"/>
          <w:color w:val="3D3D3D"/>
          <w:kern w:val="0"/>
          <w:sz w:val="13"/>
          <w:szCs w:val="13"/>
        </w:rPr>
        <w:t>南银理财、</w:t>
      </w:r>
      <w:r>
        <w:rPr>
          <w:rFonts w:hint="eastAsia" w:ascii="方正黑体_GBK" w:hAnsi="方正黑体_GBK" w:eastAsia="方正黑体_GBK" w:cs="Times New Roman"/>
          <w:vanish w:val="0"/>
          <w:color w:val="3D3D3D"/>
          <w:kern w:val="0"/>
          <w:sz w:val="13"/>
          <w:szCs w:val="13"/>
        </w:rPr>
        <w:t>销售机构</w:t>
      </w:r>
      <w:r>
        <w:rPr>
          <w:rFonts w:hint="eastAsia" w:ascii="方正黑体_GBK" w:hAnsi="方正黑体_GBK" w:eastAsia="方正黑体_GBK"/>
          <w:vanish w:val="0"/>
          <w:color w:val="3D3D3D"/>
          <w:kern w:val="0"/>
          <w:sz w:val="13"/>
          <w:szCs w:val="13"/>
        </w:rPr>
        <w:t>、托管机构系统故障、通讯故障、投资市场停止交易等意外事件的出现，严重影响金融市场的正常运行，从而</w:t>
      </w:r>
      <w:r>
        <w:rPr>
          <w:rFonts w:hint="eastAsia" w:ascii="方正黑体_GBK" w:hAnsi="方正黑体_GBK" w:eastAsia="方正黑体_GBK" w:cs="Times New Roman"/>
          <w:vanish w:val="0"/>
          <w:color w:val="3D3D3D"/>
          <w:kern w:val="0"/>
          <w:sz w:val="13"/>
          <w:szCs w:val="13"/>
        </w:rPr>
        <w:t>对</w:t>
      </w:r>
      <w:r>
        <w:rPr>
          <w:rFonts w:hint="eastAsia" w:ascii="方正黑体_GBK" w:hAnsi="方正黑体_GBK" w:eastAsia="方正黑体_GBK"/>
          <w:vanish w:val="0"/>
          <w:color w:val="3D3D3D"/>
          <w:kern w:val="0"/>
          <w:sz w:val="13"/>
          <w:szCs w:val="13"/>
        </w:rPr>
        <w:t>理财产品的成立、发行、投资运作、资金返还、信息披露、公告通知等造成影响，甚至影响理财产品的受理、投资、分配等事宜的正常进行，进而导致投资者蒙受</w:t>
      </w:r>
      <w:r>
        <w:rPr>
          <w:rFonts w:hint="eastAsia" w:ascii="方正黑体_GBK" w:hAnsi="方正黑体_GBK" w:eastAsia="方正黑体_GBK" w:cs="Times New Roman"/>
          <w:vanish w:val="0"/>
          <w:color w:val="3D3D3D"/>
          <w:kern w:val="0"/>
          <w:sz w:val="13"/>
          <w:szCs w:val="13"/>
        </w:rPr>
        <w:t>本金和收益遭受</w:t>
      </w:r>
      <w:r>
        <w:rPr>
          <w:rFonts w:hint="eastAsia" w:ascii="方正黑体_GBK" w:hAnsi="方正黑体_GBK" w:eastAsia="方正黑体_GBK"/>
          <w:vanish w:val="0"/>
          <w:color w:val="3D3D3D"/>
          <w:kern w:val="0"/>
          <w:sz w:val="13"/>
          <w:szCs w:val="13"/>
        </w:rPr>
        <w:t>损失的风险。</w:t>
      </w:r>
      <w:r>
        <w:rPr>
          <w:rFonts w:hint="eastAsia" w:ascii="方正黑体_GBK" w:hAnsi="方正黑体_GBK" w:eastAsia="方正黑体_GBK" w:cs="Times New Roman"/>
          <w:vanish w:val="0"/>
          <w:color w:val="3D3D3D"/>
          <w:kern w:val="0"/>
          <w:sz w:val="13"/>
          <w:szCs w:val="13"/>
        </w:rPr>
        <w:t>因不可抗力及意外事件风险导致的任何损失，</w:t>
      </w:r>
      <w:r>
        <w:rPr>
          <w:rFonts w:hint="eastAsia" w:ascii="方正黑体_GBK" w:hAnsi="方正黑体_GBK" w:eastAsia="方正黑体_GBK"/>
          <w:vanish w:val="0"/>
          <w:color w:val="3D3D3D"/>
          <w:kern w:val="0"/>
          <w:sz w:val="13"/>
          <w:szCs w:val="13"/>
        </w:rPr>
        <w:t>由投资者</w:t>
      </w:r>
      <w:r>
        <w:rPr>
          <w:rFonts w:hint="eastAsia" w:ascii="方正黑体_GBK" w:hAnsi="方正黑体_GBK" w:eastAsia="方正黑体_GBK" w:cs="Times New Roman"/>
          <w:vanish w:val="0"/>
          <w:color w:val="3D3D3D"/>
          <w:kern w:val="0"/>
          <w:sz w:val="13"/>
          <w:szCs w:val="13"/>
        </w:rPr>
        <w:t>自行</w:t>
      </w:r>
      <w:r>
        <w:rPr>
          <w:rFonts w:hint="eastAsia" w:ascii="方正黑体_GBK" w:hAnsi="方正黑体_GBK" w:eastAsia="方正黑体_GBK"/>
          <w:vanish w:val="0"/>
          <w:color w:val="3D3D3D"/>
          <w:kern w:val="0"/>
          <w:sz w:val="13"/>
          <w:szCs w:val="13"/>
        </w:rPr>
        <w:t>承担。</w:t>
      </w:r>
    </w:p>
    <w:p w14:paraId="51CBDBB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（十三）税收风险：南银理财暂不负责代扣代缴投资者购买本理财产品所得收益应缴纳的各项税款。若相关税</w:t>
      </w:r>
      <w:r>
        <w:rPr>
          <w:rFonts w:hint="eastAsia" w:ascii="方正黑体_GBK" w:hAnsi="方正黑体_GBK" w:eastAsia="方正黑体_GBK" w:cs="Times New Roman"/>
          <w:vanish w:val="0"/>
          <w:color w:val="3D3D3D"/>
          <w:kern w:val="0"/>
          <w:sz w:val="13"/>
          <w:szCs w:val="13"/>
        </w:rPr>
        <w:t>收</w:t>
      </w:r>
      <w:r>
        <w:rPr>
          <w:rFonts w:hint="eastAsia" w:ascii="方正黑体_GBK" w:hAnsi="方正黑体_GBK" w:eastAsia="方正黑体_GBK"/>
          <w:vanish w:val="0"/>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造成本理财产品单位净值下跌、本金损失的情况。</w:t>
      </w:r>
    </w:p>
    <w:p w14:paraId="453DD08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14:paraId="5C5F513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（十五）操作风险：若管理人、</w:t>
      </w:r>
      <w:r>
        <w:rPr>
          <w:rFonts w:hint="eastAsia" w:ascii="方正黑体_GBK" w:hAnsi="方正黑体_GBK" w:eastAsia="方正黑体_GBK" w:cs="Times New Roman"/>
          <w:vanish w:val="0"/>
          <w:color w:val="3D3D3D"/>
          <w:kern w:val="0"/>
          <w:sz w:val="13"/>
          <w:szCs w:val="13"/>
        </w:rPr>
        <w:t>销售机构</w:t>
      </w:r>
      <w:r>
        <w:rPr>
          <w:rFonts w:hint="eastAsia" w:ascii="方正黑体_GBK" w:hAnsi="方正黑体_GBK" w:eastAsia="方正黑体_GBK"/>
          <w:vanish w:val="0"/>
          <w:color w:val="3D3D3D"/>
          <w:kern w:val="0"/>
          <w:sz w:val="13"/>
          <w:szCs w:val="13"/>
        </w:rPr>
        <w:t>、托管机构由于内部作业、人员管理及系统操作不当或失误，处理事务不当等，可能导致本理财产品的本金及收益遭受损失。</w:t>
      </w:r>
    </w:p>
    <w:p w14:paraId="088D751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（十六）代销风险：本理财产品通过代销机构销售</w:t>
      </w:r>
      <w:r>
        <w:rPr>
          <w:rFonts w:hint="eastAsia" w:ascii="方正黑体_GBK" w:hAnsi="方正黑体_GBK" w:eastAsia="方正黑体_GBK" w:cs="Times New Roman"/>
          <w:vanish w:val="0"/>
          <w:color w:val="3D3D3D"/>
          <w:kern w:val="0"/>
          <w:sz w:val="13"/>
          <w:szCs w:val="13"/>
        </w:rPr>
        <w:t>时</w:t>
      </w:r>
      <w:r>
        <w:rPr>
          <w:rFonts w:hint="eastAsia" w:ascii="方正黑体_GBK" w:hAnsi="方正黑体_GBK" w:eastAsia="方正黑体_GBK"/>
          <w:vanish w:val="0"/>
          <w:color w:val="3D3D3D"/>
          <w:kern w:val="0"/>
          <w:sz w:val="13"/>
          <w:szCs w:val="13"/>
        </w:rPr>
        <w:t>，认购</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申购时投资者购买理财产品的资金由代销机构从投资者账户扣收并划付管理人，赎回时理财本金和理财收益相应款项由管理人按理财</w:t>
      </w:r>
      <w:r>
        <w:rPr>
          <w:rFonts w:hint="eastAsia" w:ascii="方正黑体_GBK" w:hAnsi="方正黑体_GBK" w:eastAsia="方正黑体_GBK" w:cs="Times New Roman"/>
          <w:vanish w:val="0"/>
          <w:color w:val="3D3D3D"/>
          <w:kern w:val="0"/>
          <w:sz w:val="13"/>
          <w:szCs w:val="13"/>
        </w:rPr>
        <w:t>产品销售文件</w:t>
      </w:r>
      <w:r>
        <w:rPr>
          <w:rFonts w:hint="eastAsia" w:ascii="方正黑体_GBK" w:hAnsi="方正黑体_GBK" w:eastAsia="方正黑体_GBK"/>
          <w:vanish w:val="0"/>
          <w:color w:val="3D3D3D"/>
          <w:kern w:val="0"/>
          <w:sz w:val="13"/>
          <w:szCs w:val="13"/>
        </w:rPr>
        <w:t>约定划付至代销机构，并由代销机构向投资者支付。</w:t>
      </w:r>
      <w:r>
        <w:rPr>
          <w:rFonts w:hint="eastAsia" w:ascii="方正黑体_GBK" w:hAnsi="方正黑体_GBK" w:eastAsia="方正黑体_GBK" w:cs="Times New Roman"/>
          <w:vanish w:val="0"/>
          <w:color w:val="3D3D3D"/>
          <w:kern w:val="0"/>
          <w:sz w:val="13"/>
          <w:szCs w:val="13"/>
        </w:rPr>
        <w:t>如果投资者在代销机构的资金账户余额不足，或代销机构未及时将投资者认购</w:t>
      </w:r>
      <w:r>
        <w:rPr>
          <w:rFonts w:ascii="方正黑体_GBK" w:hAnsi="方正黑体_GBK" w:eastAsia="方正黑体_GBK" w:cs="Times New Roman"/>
          <w:vanish w:val="0"/>
          <w:color w:val="3D3D3D"/>
          <w:kern w:val="0"/>
          <w:sz w:val="13"/>
          <w:szCs w:val="13"/>
        </w:rPr>
        <w:t>/</w:t>
      </w:r>
      <w:r>
        <w:rPr>
          <w:rFonts w:hint="eastAsia" w:ascii="方正黑体_GBK" w:hAnsi="方正黑体_GBK" w:eastAsia="方正黑体_GBK" w:cs="Times New Roman"/>
          <w:vanish w:val="0"/>
          <w:color w:val="3D3D3D"/>
          <w:kern w:val="0"/>
          <w:sz w:val="13"/>
          <w:szCs w:val="13"/>
        </w:rPr>
        <w:t>申购资金划转至南银理财，将导致投资者无法完成认购</w:t>
      </w:r>
      <w:r>
        <w:rPr>
          <w:rFonts w:ascii="方正黑体_GBK" w:hAnsi="方正黑体_GBK" w:eastAsia="方正黑体_GBK" w:cs="Times New Roman"/>
          <w:vanish w:val="0"/>
          <w:color w:val="3D3D3D"/>
          <w:kern w:val="0"/>
          <w:sz w:val="13"/>
          <w:szCs w:val="13"/>
        </w:rPr>
        <w:t>/</w:t>
      </w:r>
      <w:r>
        <w:rPr>
          <w:rFonts w:hint="eastAsia" w:ascii="方正黑体_GBK" w:hAnsi="方正黑体_GBK" w:eastAsia="方正黑体_GBK" w:cs="Times New Roman"/>
          <w:vanish w:val="0"/>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ascii="方正黑体_GBK" w:hAnsi="方正黑体_GBK" w:eastAsia="方正黑体_GBK"/>
          <w:vanish w:val="0"/>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14:paraId="5EC9728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（十七）未知价风险：净值型产品采用</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金额申购、份额赎回</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原则，即产品认</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申购以金额申请，赎回以份额申请，认</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申购与赎回价格以</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未知价原则</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受理申请。</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未知价原则</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，即理财产品申购申请和赎回申请提交时，适用的产品单位净值都是未知的，单位净值固定的产品除外。</w:t>
      </w:r>
    </w:p>
    <w:p w14:paraId="462A7721">
      <w:pPr>
        <w:keepNext w:val="0"/>
        <w:keepLines w:val="0"/>
        <w:pageBreakBefore w:val="0"/>
        <w:widowControl/>
        <w:suppressLineNumbers w:val="0"/>
        <w:suppressAutoHyphens w:val="0"/>
        <w:spacing w:line="200" w:lineRule="exact"/>
        <w:ind w:firstLine="260"/>
        <w:rPr>
          <w:rFonts w:hint="eastAsia" w:ascii="方正黑体_GBK" w:hAnsi="方正黑体_GBK" w:eastAsia="方正黑体_GBK"/>
          <w:sz w:val="20"/>
          <w:szCs w:val="20"/>
        </w:rPr>
      </w:pPr>
      <w:r>
        <w:rPr>
          <w:rFonts w:hint="eastAsia" w:ascii="方正黑体_GBK" w:hAnsi="方正黑体_GBK" w:eastAsia="方正黑体_GBK"/>
          <w:vanish w:val="0"/>
          <w:color w:val="3D3D3D"/>
          <w:kern w:val="0"/>
          <w:sz w:val="13"/>
          <w:szCs w:val="13"/>
        </w:rPr>
        <w:t>（十八）关联交易风险：在合法合规且履行应履行的内</w:t>
      </w:r>
      <w:r>
        <w:rPr>
          <w:rFonts w:hint="eastAsia" w:ascii="方正黑体_GBK" w:hAnsi="方正黑体_GBK" w:eastAsia="方正黑体_GBK" w:cs="Times New Roman"/>
          <w:vanish w:val="0"/>
          <w:color w:val="3D3D3D"/>
          <w:kern w:val="0"/>
          <w:sz w:val="13"/>
          <w:szCs w:val="13"/>
        </w:rPr>
        <w:t>、</w:t>
      </w:r>
      <w:r>
        <w:rPr>
          <w:rFonts w:hint="eastAsia" w:ascii="方正黑体_GBK" w:hAnsi="方正黑体_GBK" w:eastAsia="方正黑体_GBK"/>
          <w:vanish w:val="0"/>
          <w:color w:val="3D3D3D"/>
          <w:kern w:val="0"/>
          <w:sz w:val="13"/>
          <w:szCs w:val="13"/>
        </w:rPr>
        <w:t>外部程序后，理财产品可能</w:t>
      </w:r>
      <w:r>
        <w:rPr>
          <w:rFonts w:hint="eastAsia" w:ascii="方正黑体_GBK" w:hAnsi="方正黑体_GBK" w:eastAsia="方正黑体_GBK" w:cs="Times New Roman"/>
          <w:vanish w:val="0"/>
          <w:color w:val="3D3D3D"/>
          <w:kern w:val="0"/>
          <w:sz w:val="13"/>
          <w:szCs w:val="13"/>
        </w:rPr>
        <w:t>投资于</w:t>
      </w:r>
      <w:r>
        <w:rPr>
          <w:rFonts w:hint="eastAsia" w:ascii="方正黑体_GBK" w:hAnsi="方正黑体_GBK" w:eastAsia="方正黑体_GBK"/>
          <w:vanish w:val="0"/>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ascii="方正黑体_GBK" w:hAnsi="方正黑体_GBK" w:eastAsia="方正黑体_GBK" w:cs="Times New Roman"/>
          <w:vanish w:val="0"/>
          <w:color w:val="3D3D3D"/>
          <w:kern w:val="0"/>
          <w:sz w:val="13"/>
          <w:szCs w:val="13"/>
        </w:rPr>
        <w:t>，</w:t>
      </w:r>
      <w:r>
        <w:rPr>
          <w:rFonts w:hint="eastAsia" w:ascii="方正黑体_GBK" w:hAnsi="方正黑体_GBK" w:eastAsia="方正黑体_GBK"/>
          <w:vanish w:val="0"/>
          <w:color w:val="3D3D3D"/>
          <w:kern w:val="0"/>
          <w:sz w:val="13"/>
          <w:szCs w:val="13"/>
        </w:rPr>
        <w:t>本理财产品</w:t>
      </w:r>
      <w:r>
        <w:rPr>
          <w:rFonts w:hint="eastAsia" w:ascii="方正黑体_GBK" w:hAnsi="方正黑体_GBK" w:eastAsia="方正黑体_GBK" w:cs="Times New Roman"/>
          <w:vanish w:val="0"/>
          <w:color w:val="3D3D3D"/>
          <w:kern w:val="0"/>
          <w:sz w:val="13"/>
          <w:szCs w:val="13"/>
        </w:rPr>
        <w:t>也</w:t>
      </w:r>
      <w:r>
        <w:rPr>
          <w:rFonts w:hint="eastAsia" w:ascii="方正黑体_GBK" w:hAnsi="方正黑体_GBK" w:eastAsia="方正黑体_GBK"/>
          <w:vanish w:val="0"/>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14:paraId="0EACBA6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sz w:val="13"/>
          <w:szCs w:val="13"/>
        </w:rPr>
        <w:t xml:space="preserve"> </w:t>
      </w:r>
      <w:r>
        <w:rPr>
          <w:rFonts w:hint="eastAsia" w:ascii="方正黑体_GBK" w:hAnsi="方正黑体_GBK" w:eastAsia="方正黑体_GBK"/>
          <w:vanish w:val="0"/>
          <w:color w:val="3D3D3D"/>
          <w:kern w:val="0"/>
          <w:sz w:val="13"/>
          <w:szCs w:val="13"/>
        </w:rPr>
        <w:t>第二条</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本理财产品特定风险揭示</w:t>
      </w:r>
    </w:p>
    <w:p w14:paraId="500C109A">
      <w:pPr>
        <w:spacing w:line="200" w:lineRule="exact"/>
      </w:pPr>
      <w:r>
        <w:rPr>
          <w:rFonts w:ascii="方正黑体_GBK" w:hAnsi="方正黑体_GBK" w:eastAsia="方正黑体_GBK" w:cs="宋体"/>
          <w:b/>
          <w:sz w:val="13"/>
          <w:szCs w:val="20"/>
        </w:rPr>
        <w:t xml:space="preserve">    1.债券类资产投资风险</w:t>
      </w:r>
    </w:p>
    <w:p w14:paraId="517CFBA0">
      <w:pPr>
        <w:spacing w:line="200" w:lineRule="exact"/>
      </w:pPr>
      <w:r>
        <w:rPr>
          <w:rFonts w:ascii="方正黑体_GBK" w:hAnsi="方正黑体_GBK" w:eastAsia="方正黑体_GBK" w:cs="宋体"/>
          <w:b/>
          <w:sz w:val="13"/>
          <w:szCs w:val="20"/>
        </w:rPr>
        <w:t xml:space="preserve">    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14:paraId="009F6758">
      <w:pPr>
        <w:spacing w:line="200" w:lineRule="exact"/>
      </w:pPr>
      <w:r>
        <w:rPr>
          <w:rFonts w:ascii="方正黑体_GBK" w:hAnsi="方正黑体_GBK" w:eastAsia="方正黑体_GBK" w:cs="宋体"/>
          <w:b/>
          <w:sz w:val="13"/>
          <w:szCs w:val="20"/>
        </w:rPr>
        <w:t xml:space="preserve">    2.非标准化债权类资产投资风险</w:t>
      </w:r>
    </w:p>
    <w:p w14:paraId="6264DF43">
      <w:pPr>
        <w:spacing w:line="200" w:lineRule="exact"/>
      </w:pPr>
      <w:r>
        <w:rPr>
          <w:rFonts w:ascii="方正黑体_GBK" w:hAnsi="方正黑体_GBK" w:eastAsia="方正黑体_GBK" w:cs="宋体"/>
          <w:b/>
          <w:sz w:val="13"/>
          <w:szCs w:val="20"/>
        </w:rPr>
        <w:t xml:space="preserve">    本理财产品投资于非标准化债权类资产，融资方/义务人由于还款履约能力发生变化等原因，可能无法偿还或存在逾期偿还相关融资本金利息，或无法履行相关合同约定的其他义务，或者因融资方/义务人按照相关合同的约定申请提前/立即偿还款项或者融资方/义务人发生相关合同约定的违约情形，或者由于市场、政策等不可控因素可能导致相关债权被宣布提前/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14:paraId="6531E7A9">
      <w:pPr>
        <w:spacing w:line="200" w:lineRule="exact"/>
      </w:pPr>
      <w:r>
        <w:rPr>
          <w:rFonts w:ascii="方正黑体_GBK" w:hAnsi="方正黑体_GBK" w:eastAsia="方正黑体_GBK" w:cs="宋体"/>
          <w:b/>
          <w:sz w:val="13"/>
          <w:szCs w:val="20"/>
        </w:rPr>
        <w:t xml:space="preserve">    3.资产管理产品投资风险</w:t>
      </w:r>
    </w:p>
    <w:p w14:paraId="0BB1D4B6">
      <w:pPr>
        <w:spacing w:line="200" w:lineRule="exact"/>
      </w:pPr>
      <w:r>
        <w:rPr>
          <w:rFonts w:ascii="方正黑体_GBK" w:hAnsi="方正黑体_GBK" w:eastAsia="方正黑体_GBK" w:cs="宋体"/>
          <w:b/>
          <w:sz w:val="13"/>
          <w:szCs w:val="20"/>
        </w:rPr>
        <w:t xml:space="preserve">    本理财产品通过资产管理产品间接投资时，可能因资产管理产品的相关受托人/资产管理人违反法律法规和/或合同约定、未尽受托人/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所投资资产管理产品的相关受托人/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14:paraId="10B37BB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nish w:val="0"/>
          <w:color w:val="3D3D3D"/>
          <w:kern w:val="0"/>
          <w:sz w:val="13"/>
          <w:szCs w:val="13"/>
        </w:rPr>
        <w:t>本理财产品</w:t>
      </w:r>
      <w:r>
        <w:rPr>
          <w:rFonts w:hint="eastAsia" w:ascii="方正黑体_GBK" w:hAnsi="方正黑体_GBK" w:eastAsia="方正黑体_GBK"/>
          <w:b/>
          <w:bCs/>
          <w:color w:val="3D3D3D"/>
          <w:kern w:val="0"/>
          <w:sz w:val="13"/>
          <w:szCs w:val="13"/>
        </w:rPr>
        <w:t>类型：定期开放式、固定收益类、公募、净值型。</w:t>
      </w:r>
    </w:p>
    <w:p w14:paraId="177FB7C2">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7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l="0"/>
          <w:vanish w:val="0"/>
          <w:color w:val="3D3D3D"/>
          <w:kern w:val="0"/>
          <w:sz w:val="13"/>
          <w:szCs w:val="13"/>
        </w:rPr>
        <w:t>本理财产品期限</w:t>
      </w:r>
      <w:r>
        <w:rPr>
          <w:rFonts w:hint="eastAsia" w:ascii="方正黑体_GBK" w:hAnsi="方正黑体_GBK" w:eastAsia="方正黑体_GBK"/>
          <w:b/>
          <w:bCs w:val="0"/>
          <w:vanish w:val="0"/>
          <w:color w:val="3D3D3D"/>
          <w:kern w:val="0"/>
          <w:sz w:val="13"/>
          <w:szCs w:val="13"/>
        </w:rPr>
        <w:t>为</w:t>
      </w:r>
      <w:r>
        <w:rPr>
          <w:rFonts w:hint="eastAsia" w:ascii="方正黑体_GBK" w:hAnsi="方正黑体_GBK" w:eastAsia="方正黑体_GBK"/>
          <w:b/>
          <w:bCs/>
          <w:color w:val="3D3D3D"/>
          <w:kern w:val="0"/>
          <w:sz w:val="13"/>
          <w:szCs w:val="13"/>
        </w:rPr>
        <w:t>10年</w:t>
      </w:r>
      <w:r>
        <w:rPr>
          <w:rFonts w:hint="eastAsia" w:ascii="方正黑体_GBK" w:hAnsi="方正黑体_GBK" w:eastAsia="方正黑体_GBK" w:cs="Times New Roman"/>
          <w:b/>
          <w:bCs w:val="0"/>
          <w:vanish w:val="0"/>
          <w:color w:val="3D3D3D"/>
          <w:kern w:val="0"/>
          <w:sz w:val="13"/>
          <w:szCs w:val="13"/>
        </w:rPr>
        <w:t>（若本理财产品被提前终止或延期终止，以实际到期日计算持有天数）</w:t>
      </w:r>
      <w:r>
        <w:rPr>
          <w:rFonts w:hint="eastAsia" w:ascii="方正黑体_GBK" w:hAnsi="方正黑体_GBK" w:eastAsia="方正黑体_GBK"/>
          <w:b/>
          <w:bCs w:val="0"/>
          <w:vanish w:val="0"/>
          <w:color w:val="3D3D3D"/>
          <w:kern w:val="0"/>
          <w:sz w:val="13"/>
          <w:szCs w:val="13"/>
        </w:rPr>
        <w:t>。</w:t>
      </w:r>
    </w:p>
    <w:p w14:paraId="2C422B38">
      <w:pPr>
        <w:pStyle w:val="31"/>
        <w:pBdr>
          <w:top w:val="none" w:color="auto" w:sz="0" w:space="0"/>
          <w:left w:val="none" w:color="auto" w:sz="0" w:space="0"/>
          <w:bottom w:val="none" w:color="auto" w:sz="0" w:space="0"/>
          <w:right w:val="none" w:color="auto" w:sz="0" w:space="0"/>
        </w:pBdr>
        <w:spacing w:before="0" w:beforeAutospacing="0" w:after="0" w:afterAutospacing="0" w:line="200" w:lineRule="exact"/>
        <w:rPr>
          <w:rFonts w:ascii="方正黑体_GBK" w:hAnsi="方正黑体_GBK" w:eastAsia="方正黑体_GBK"/>
          <w:vanish w:val="0"/>
          <w:color w:val="3D3D3D"/>
          <w:kern w:val="0"/>
          <w:sz w:val="13"/>
          <w:szCs w:val="13"/>
        </w:rPr>
      </w:pPr>
      <w:r>
        <w:rPr>
          <w:rFonts w:hint="eastAsia" w:ascii="方正黑体_GBK" w:hAnsi="方正黑体_GBK" w:eastAsia="方正黑体_GBK"/>
          <w:b/>
          <w:bCs/>
          <w:vanish w:val="0"/>
          <w:color w:val="3D3D3D"/>
          <w:kern w:val="0"/>
          <w:sz w:val="13"/>
          <w:szCs w:val="13"/>
        </w:rPr>
        <w:t>本理财产品风险</w:t>
      </w:r>
      <w:r>
        <w:rPr>
          <w:rFonts w:hint="eastAsia" w:ascii="方正黑体_GBK" w:hAnsi="方正黑体_GBK" w:eastAsia="方正黑体_GBK" w:cs="Times New Roman"/>
          <w:b/>
          <w:bCs/>
          <w:vanish w:val="0"/>
          <w:color w:val="3D3D3D"/>
          <w:kern w:val="0"/>
          <w:sz w:val="13"/>
          <w:szCs w:val="13"/>
        </w:rPr>
        <w:t>评级结果</w:t>
      </w:r>
      <w:r>
        <w:rPr>
          <w:rFonts w:hint="eastAsia" w:ascii="方正黑体_GBK" w:hAnsi="方正黑体_GBK" w:eastAsia="方正黑体_GBK"/>
          <w:b/>
          <w:bCs/>
          <w:vanish w:val="0"/>
          <w:color w:val="3D3D3D"/>
          <w:kern w:val="0"/>
          <w:sz w:val="13"/>
          <w:szCs w:val="13"/>
        </w:rPr>
        <w:t>：</w:t>
      </w:r>
      <w:r>
        <w:rPr>
          <w:rFonts w:hint="eastAsia" w:ascii="方正黑体_GBK" w:hAnsi="方正黑体_GBK" w:eastAsia="方正黑体_GBK"/>
          <w:vanish w:val="0"/>
          <w:color w:val="3D3D3D"/>
          <w:kern w:val="0"/>
          <w:sz w:val="13"/>
          <w:szCs w:val="13"/>
        </w:rPr>
        <w:t>根据管理人内部风险评级，该产品风险等级为</w:t>
      </w:r>
      <w:r>
        <w:rPr>
          <w:rFonts w:hint="eastAsia" w:ascii="方正黑体_GBK" w:hAnsi="方正黑体_GBK" w:eastAsia="方正黑体_GBK" w:cs="Times New Roman"/>
          <w:b/>
          <w:bCs w:val="0"/>
          <w:vanish w:val="0"/>
          <w:color w:val="3D3D3D"/>
          <w:kern w:val="0"/>
          <w:sz w:val="13"/>
          <w:szCs w:val="13"/>
        </w:rPr>
        <w:t>中低风险</w:t>
      </w:r>
      <w:r>
        <w:rPr>
          <w:rFonts w:hint="eastAsia" w:ascii="方正黑体_GBK" w:hAnsi="方正黑体_GBK" w:eastAsia="方正黑体_GBK"/>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 xml:space="preserve"> </w:t>
      </w:r>
      <w:r>
        <w:rPr>
          <w:rFonts w:hint="eastAsia" w:ascii="方正黑体_GBK" w:hAnsi="方正黑体_GBK" w:eastAsia="方正黑体_GBK"/>
          <w:color w:val="3D3D3D"/>
          <w:kern w:val="0"/>
          <w:sz w:val="13"/>
          <w:szCs w:val="13"/>
        </w:rPr>
        <w:t>管理人不承诺本金保障，产品收益随投资表现变动，产品存在较低的本金损失风险</w:t>
      </w:r>
      <w:r>
        <w:rPr>
          <w:rFonts w:hint="eastAsia" w:ascii="方正黑体_GBK" w:hAnsi="方正黑体_GBK" w:eastAsia="方正黑体_GBK"/>
          <w:vanish w:val="0"/>
          <w:color w:val="3D3D3D"/>
          <w:kern w:val="0"/>
          <w:sz w:val="13"/>
          <w:szCs w:val="13"/>
        </w:rPr>
        <w:t>。</w:t>
      </w:r>
    </w:p>
    <w:p w14:paraId="1C46971C">
      <w:pPr>
        <w:pStyle w:val="31"/>
        <w:pBdr>
          <w:top w:val="none" w:color="auto" w:sz="0" w:space="0"/>
          <w:left w:val="none" w:color="auto" w:sz="0" w:space="0"/>
          <w:bottom w:val="none" w:color="auto" w:sz="0" w:space="0"/>
          <w:right w:val="none" w:color="auto" w:sz="0" w:space="0"/>
        </w:pBdr>
        <w:spacing w:before="0" w:beforeAutospacing="0" w:after="0" w:afterAutospacing="0" w:line="200" w:lineRule="exact"/>
        <w:ind w:firstLine="260" w:firstLineChars="200"/>
        <w:rPr>
          <w:rFonts w:ascii="方正黑体_GBK" w:hAnsi="方正黑体_GBK" w:eastAsia="方正黑体_GBK"/>
          <w:vanish w:val="0"/>
          <w:color w:val="3D3D3D"/>
          <w:kern w:val="0"/>
          <w:sz w:val="13"/>
          <w:szCs w:val="13"/>
        </w:rPr>
      </w:pPr>
      <w:r>
        <w:rPr>
          <w:rFonts w:hint="eastAsia" w:ascii="方正黑体_GBK" w:hAnsi="方正黑体_GBK" w:eastAsia="方正黑体_GBK"/>
          <w:b/>
          <w:bCs/>
          <w:vanish w:val="0"/>
          <w:color w:val="3D3D3D"/>
          <w:kern w:val="0"/>
          <w:sz w:val="13"/>
          <w:szCs w:val="13"/>
        </w:rPr>
        <w:t>本风险等级为南银理财风险评级结果，</w:t>
      </w:r>
      <w:r>
        <w:rPr>
          <w:rFonts w:hint="eastAsia" w:ascii="方正黑体_GBK" w:hAnsi="方正黑体_GBK" w:eastAsia="方正黑体_GBK" w:cs="Times New Roman"/>
          <w:b/>
          <w:bCs/>
          <w:vanish w:val="0"/>
          <w:color w:val="3D3D3D"/>
          <w:kern w:val="0"/>
          <w:sz w:val="13"/>
          <w:szCs w:val="13"/>
        </w:rPr>
        <w:t>该产品通过代理销售机构渠道销售的，理财产品评级应当以代理销售机构最终披露的评级结果为准。</w:t>
      </w:r>
      <w:r>
        <w:rPr>
          <w:rFonts w:hint="eastAsia" w:ascii="方正黑体_GBK" w:hAnsi="方正黑体_GBK" w:eastAsia="方正黑体_GBK" w:cs="Times New Roman"/>
          <w:vanish w:val="0"/>
          <w:color w:val="3D3D3D"/>
          <w:kern w:val="0"/>
          <w:sz w:val="13"/>
          <w:szCs w:val="13"/>
        </w:rPr>
        <w:t>您需充分认识投资风险，谨慎投资。</w:t>
      </w:r>
    </w:p>
    <w:p w14:paraId="53DFDD6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firstLineChars="200"/>
        <w:rPr>
          <w:rFonts w:hint="eastAsia" w:ascii="方正黑体_GBK" w:hAnsi="方正黑体_GBK" w:eastAsia="方正黑体_GBK"/>
          <w:bCs/>
          <w:color w:val="3D3D3D"/>
          <w:kern w:val="0"/>
          <w:sz w:val="13"/>
          <w:szCs w:val="13"/>
        </w:rPr>
      </w:pPr>
      <w:r>
        <w:rPr>
          <w:rFonts w:hint="eastAsia" w:ascii="方正黑体_GBK" w:hAnsi="方正黑体_GBK" w:eastAsia="方正黑体_GBK" w:cs="Times New Roman"/>
          <w:b/>
          <w:bCs/>
          <w:vanish w:val="0"/>
          <w:color w:val="3D3D3D"/>
          <w:kern w:val="0"/>
          <w:sz w:val="13"/>
          <w:szCs w:val="13"/>
        </w:rPr>
        <w:t>适合购买本理财产品的投资者</w:t>
      </w:r>
      <w:r>
        <w:rPr>
          <w:rFonts w:hint="eastAsia" w:ascii="方正黑体_GBK" w:hAnsi="方正黑体_GBK" w:eastAsia="方正黑体_GBK"/>
          <w:b/>
          <w:bCs/>
          <w:vanish w:val="0"/>
          <w:color w:val="3D3D3D"/>
          <w:kern w:val="0"/>
          <w:sz w:val="13"/>
          <w:szCs w:val="13"/>
        </w:rPr>
        <w:t>：</w:t>
      </w:r>
      <w:r>
        <w:rPr>
          <w:rFonts w:hint="eastAsia" w:ascii="方正黑体_GBK" w:hAnsi="方正黑体_GBK" w:eastAsia="方正黑体_GBK"/>
          <w:color w:val="3D3D3D"/>
          <w:kern w:val="0"/>
          <w:sz w:val="13"/>
          <w:szCs w:val="13"/>
        </w:rPr>
        <w:t>符合相关法律法规、监管规定要求的，经销售机构的风险承受能力评估体系评定为适合的个人和机构投资者。</w:t>
      </w:r>
    </w:p>
    <w:p w14:paraId="23519FA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nish w:val="0"/>
          <w:color w:val="3D3D3D"/>
          <w:kern w:val="0"/>
          <w:sz w:val="13"/>
          <w:szCs w:val="13"/>
        </w:rPr>
        <w:t>个人投资者在首次通过销售机构购买理财产品时应根据销售机构的要求进行风险承受能力评估</w:t>
      </w:r>
      <w:r>
        <w:rPr>
          <w:rFonts w:hint="eastAsia" w:ascii="方正黑体_GBK" w:hAnsi="方正黑体_GBK" w:eastAsia="方正黑体_GBK"/>
          <w:b/>
          <w:bCs/>
          <w:vanish w:val="0"/>
          <w:color w:val="3D3D3D"/>
          <w:kern w:val="0"/>
          <w:sz w:val="13"/>
          <w:szCs w:val="13"/>
        </w:rPr>
        <w:t>。如影响您风险承受能力的因素发生变化，</w:t>
      </w:r>
      <w:r>
        <w:rPr>
          <w:rFonts w:hint="eastAsia" w:ascii="方正黑体_GBK" w:hAnsi="方正黑体_GBK" w:eastAsia="方正黑体_GBK" w:cs="Times New Roman"/>
          <w:b/>
          <w:bCs/>
          <w:vanish w:val="0"/>
          <w:color w:val="3D3D3D"/>
          <w:kern w:val="0"/>
          <w:sz w:val="13"/>
          <w:szCs w:val="13"/>
        </w:rPr>
        <w:t>请及时完成风险承受能力评估</w:t>
      </w:r>
      <w:r>
        <w:rPr>
          <w:rFonts w:hint="eastAsia" w:ascii="方正黑体_GBK" w:hAnsi="方正黑体_GBK" w:eastAsia="方正黑体_GBK"/>
          <w:b/>
          <w:bCs/>
          <w:vanish w:val="0"/>
          <w:color w:val="3D3D3D"/>
          <w:kern w:val="0"/>
          <w:sz w:val="13"/>
          <w:szCs w:val="13"/>
        </w:rPr>
        <w:t>。</w:t>
      </w:r>
    </w:p>
    <w:p w14:paraId="551453A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cs="Times New Roman"/>
          <w:vanish w:val="0"/>
          <w:kern w:val="2"/>
          <w:sz w:val="21"/>
          <w:szCs w:val="21"/>
        </w:rPr>
      </w:pPr>
      <w:r>
        <w:rPr>
          <w:rFonts w:hint="eastAsia" w:ascii="方正黑体_GBK" w:hAnsi="方正黑体_GBK" w:eastAsia="方正黑体_GBK" w:cs="Times New Roman"/>
          <w:b/>
          <w:bCs/>
          <w:vanish w:val="0"/>
          <w:color w:val="3D3D3D"/>
          <w:kern w:val="0"/>
          <w:sz w:val="13"/>
          <w:szCs w:val="13"/>
        </w:rPr>
        <w:t>最不利投资情形下的投资结果</w:t>
      </w:r>
      <w:r>
        <w:rPr>
          <w:rFonts w:hint="eastAsia" w:ascii="方正黑体_GBK" w:hAnsi="方正黑体_GBK" w:eastAsia="方正黑体_GBK"/>
          <w:b/>
          <w:bCs/>
          <w:vanish w:val="0"/>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rFonts w:ascii="方正黑体_GBK" w:hAnsi="方正黑体_GBK" w:eastAsia="方正黑体_GBK"/>
          <w:b/>
          <w:bCs/>
          <w:vanish w:val="0"/>
          <w:color w:val="3D3D3D"/>
          <w:kern w:val="0"/>
          <w:sz w:val="13"/>
          <w:szCs w:val="13"/>
        </w:rPr>
        <w:t>0</w:t>
      </w:r>
      <w:r>
        <w:rPr>
          <w:rFonts w:hint="eastAsia" w:ascii="方正黑体_GBK" w:hAnsi="方正黑体_GBK" w:eastAsia="方正黑体_GBK"/>
          <w:b/>
          <w:bCs/>
          <w:vanish w:val="0"/>
          <w:color w:val="3D3D3D"/>
          <w:kern w:val="0"/>
          <w:sz w:val="13"/>
          <w:szCs w:val="13"/>
        </w:rPr>
        <w:t>，即投资者面临全部本金的损失。为保证当期理财投资者权益而产生的费用由当期理财产品承担。</w:t>
      </w:r>
    </w:p>
    <w:p w14:paraId="772AFE13">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b/>
          <w:bCs/>
          <w:vanish w:val="0"/>
          <w:color w:val="3D3D3D"/>
          <w:kern w:val="0"/>
          <w:sz w:val="13"/>
          <w:szCs w:val="13"/>
        </w:rPr>
        <w:t>示例：如投资者购买本理财产品，本金为</w:t>
      </w:r>
      <w:r>
        <w:rPr>
          <w:rFonts w:ascii="方正黑体_GBK" w:hAnsi="方正黑体_GBK" w:eastAsia="方正黑体_GBK"/>
          <w:b/>
          <w:bCs/>
          <w:vanish w:val="0"/>
          <w:color w:val="3D3D3D"/>
          <w:kern w:val="0"/>
          <w:sz w:val="13"/>
          <w:szCs w:val="13"/>
        </w:rPr>
        <w:t>1</w:t>
      </w:r>
      <w:r>
        <w:rPr>
          <w:rFonts w:hint="eastAsia" w:ascii="方正黑体_GBK" w:hAnsi="方正黑体_GBK" w:eastAsia="方正黑体_GBK"/>
          <w:b/>
          <w:bCs/>
          <w:vanish w:val="0"/>
          <w:color w:val="3D3D3D"/>
          <w:kern w:val="0"/>
          <w:sz w:val="13"/>
          <w:szCs w:val="13"/>
        </w:rPr>
        <w:t>万元，在理财产品资产组合项下资产全部亏损的最不利情况下，理财产品</w:t>
      </w:r>
      <w:r>
        <w:rPr>
          <w:rFonts w:ascii="方正黑体_GBK" w:hAnsi="方正黑体_GBK" w:eastAsia="方正黑体_GBK"/>
          <w:b/>
          <w:bCs/>
          <w:vanish w:val="0"/>
          <w:color w:val="3D3D3D"/>
          <w:kern w:val="0"/>
          <w:sz w:val="13"/>
          <w:szCs w:val="13"/>
        </w:rPr>
        <w:t>1</w:t>
      </w:r>
      <w:r>
        <w:rPr>
          <w:rFonts w:hint="eastAsia" w:ascii="方正黑体_GBK" w:hAnsi="方正黑体_GBK" w:eastAsia="方正黑体_GBK"/>
          <w:b/>
          <w:bCs/>
          <w:vanish w:val="0"/>
          <w:color w:val="3D3D3D"/>
          <w:kern w:val="0"/>
          <w:sz w:val="13"/>
          <w:szCs w:val="13"/>
        </w:rPr>
        <w:t>万元本金将全部损失。</w:t>
      </w:r>
    </w:p>
    <w:p w14:paraId="5C10779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Times New Roman"/>
          <w:b/>
          <w:bCs w:val="0"/>
          <w:vanish w:val="0"/>
          <w:color w:val="3D3D3D"/>
          <w:kern w:val="0"/>
          <w:sz w:val="13"/>
          <w:szCs w:val="13"/>
        </w:rPr>
      </w:pPr>
    </w:p>
    <w:p w14:paraId="1913BE6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jc w:val="center"/>
        <w:rPr>
          <w:rFonts w:ascii="方正黑体_GBK" w:hAnsi="方正黑体_GBK" w:eastAsia="方正黑体_GBK"/>
          <w:b/>
          <w:bCs w:val="0"/>
          <w:vanish w:val="0"/>
          <w:color w:val="3D3D3D"/>
          <w:kern w:val="0"/>
          <w:sz w:val="15"/>
          <w:szCs w:val="15"/>
          <w:u w:val="single"/>
        </w:rPr>
      </w:pPr>
      <w:r>
        <w:rPr>
          <w:rFonts w:hint="eastAsia" w:ascii="方正黑体_GBK" w:hAnsi="方正黑体_GBK" w:eastAsia="方正黑体_GBK"/>
          <w:b/>
          <w:bCs w:val="0"/>
          <w:vanish w:val="0"/>
          <w:color w:val="3D3D3D"/>
          <w:kern w:val="0"/>
          <w:sz w:val="15"/>
          <w:szCs w:val="15"/>
          <w:u w:val="single"/>
        </w:rPr>
        <w:t>上述风险客观存在，敬请投资者予以充分关注！</w:t>
      </w:r>
    </w:p>
    <w:p w14:paraId="2E1BEDD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jc w:val="center"/>
        <w:rPr>
          <w:rFonts w:ascii="方正黑体_GBK" w:hAnsi="方正黑体_GBK" w:eastAsia="方正黑体_GBK"/>
          <w:b/>
          <w:bCs w:val="0"/>
          <w:vanish w:val="0"/>
          <w:color w:val="3D3D3D"/>
          <w:kern w:val="0"/>
          <w:sz w:val="15"/>
          <w:szCs w:val="15"/>
          <w:u w:val="single"/>
        </w:rPr>
      </w:pPr>
    </w:p>
    <w:p w14:paraId="74FE79A9">
      <w:pPr>
        <w:pStyle w:val="18"/>
        <w:keepNext w:val="0"/>
        <w:keepLines w:val="0"/>
        <w:pageBreakBefore w:val="0"/>
        <w:widowControl/>
        <w:suppressLineNumbers w:val="0"/>
        <w:suppressAutoHyphens w:val="0"/>
        <w:spacing w:line="200" w:lineRule="exact"/>
        <w:ind w:firstLine="260"/>
        <w:jc w:val="left"/>
        <w:rPr>
          <w:rFonts w:hint="eastAsia" w:ascii="方正黑体_GBK" w:hAnsi="方正黑体_GBK" w:eastAsia="方正黑体_GBK"/>
          <w:b/>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ascii="方正黑体_GBK" w:hAnsi="方正黑体_GBK" w:eastAsia="方正黑体_GBK"/>
          <w:b/>
          <w:bCs w:val="0"/>
          <w:vanish w:val="0"/>
          <w:color w:val="3D3D3D"/>
          <w:kern w:val="0"/>
          <w:sz w:val="15"/>
          <w:szCs w:val="15"/>
          <w:u w:val="single"/>
        </w:rPr>
        <w:t>本风险揭示书</w:t>
      </w:r>
      <w:r>
        <w:rPr>
          <w:rFonts w:hint="eastAsia" w:ascii="方正黑体_GBK" w:hAnsi="方正黑体_GBK" w:eastAsia="方正黑体_GBK" w:cs="Times New Roman"/>
          <w:b/>
          <w:bCs w:val="0"/>
          <w:vanish w:val="0"/>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14:paraId="5DB74DE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rPr>
          <w:rFonts w:ascii="方正黑体_GBK" w:hAnsi="方正黑体_GBK" w:eastAsia="方正黑体_GBK"/>
          <w:b/>
          <w:bCs w:val="0"/>
          <w:vanish w:val="0"/>
          <w:color w:val="3D3D3D"/>
          <w:kern w:val="0"/>
          <w:sz w:val="15"/>
          <w:szCs w:val="15"/>
          <w:u w:val="single"/>
        </w:rPr>
      </w:pPr>
      <w:r>
        <w:rPr>
          <w:rFonts w:hint="eastAsia" w:ascii="方正黑体_GBK" w:hAnsi="方正黑体_GBK" w:eastAsia="方正黑体_GBK"/>
          <w:b/>
          <w:bCs w:val="0"/>
          <w:vanish w:val="0"/>
          <w:color w:val="3D3D3D"/>
          <w:kern w:val="0"/>
          <w:sz w:val="15"/>
          <w:szCs w:val="15"/>
          <w:u w:val="single"/>
        </w:rPr>
        <w:t>投资者声明：</w:t>
      </w:r>
    </w:p>
    <w:p w14:paraId="2698AB3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1.</w:t>
      </w:r>
      <w:r>
        <w:rPr>
          <w:rFonts w:hint="eastAsia" w:ascii="方正黑体_GBK" w:hAnsi="方正黑体_GBK" w:eastAsia="方正黑体_GBK" w:cs="Times New Roman"/>
          <w:b/>
          <w:bCs w:val="0"/>
          <w:vanish w:val="0"/>
          <w:color w:val="3D3D3D"/>
          <w:kern w:val="0"/>
          <w:sz w:val="15"/>
          <w:szCs w:val="15"/>
          <w:u w:val="single"/>
        </w:rPr>
        <w:t>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确认，本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购买本理财产品为本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真实的意思表示</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并认为该理财产品完全适合本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的投资目标、投资预期以及风险承受能力，本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自愿承担由此带来的一切后果。本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确认南银理财</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销售机构相关业务人员对于理财产品销售文件中限制或排除本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权利、增加或加重本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义务或责任以及有关免除或减轻南银理财责任或南银理财单方面拥有某些权利的条款已向本人予以说明，本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已完全理解并自愿接受。</w:t>
      </w:r>
    </w:p>
    <w:p w14:paraId="2DDA70A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2.</w:t>
      </w:r>
      <w:r>
        <w:rPr>
          <w:rFonts w:hint="eastAsia" w:ascii="方正黑体_GBK" w:hAnsi="方正黑体_GBK" w:eastAsia="方正黑体_GBK" w:cs="Times New Roman"/>
          <w:b/>
          <w:bCs w:val="0"/>
          <w:vanish w:val="0"/>
          <w:color w:val="3D3D3D"/>
          <w:kern w:val="0"/>
          <w:sz w:val="15"/>
          <w:szCs w:val="15"/>
          <w:u w:val="single"/>
        </w:rPr>
        <w:t>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确认，将向本理财产品销售机构真实提供信息，自主作出认购</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申购</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赎回等决定，自主承担投资风险。本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拒绝向销售机构提供或者未按照要求提供信息的，销售机构有权告知本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相应的后果和责任，并有权拒绝向本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提供销售服务。</w:t>
      </w:r>
    </w:p>
    <w:p w14:paraId="38D8AF58">
      <w:pPr>
        <w:keepNext w:val="0"/>
        <w:keepLines w:val="0"/>
        <w:pageBreakBefore w:val="0"/>
        <w:widowControl/>
        <w:suppressLineNumbers w:val="0"/>
        <w:suppressAutoHyphens w:val="0"/>
        <w:spacing w:line="200" w:lineRule="exact"/>
        <w:ind w:firstLine="420"/>
        <w:rPr>
          <w:rFonts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3.</w:t>
      </w:r>
      <w:r>
        <w:rPr>
          <w:rFonts w:hint="eastAsia" w:ascii="方正黑体_GBK" w:hAnsi="方正黑体_GBK" w:eastAsia="方正黑体_GBK" w:cs="Times New Roman"/>
          <w:b/>
          <w:bCs w:val="0"/>
          <w:vanish w:val="0"/>
          <w:color w:val="3D3D3D"/>
          <w:kern w:val="0"/>
          <w:sz w:val="15"/>
          <w:szCs w:val="15"/>
          <w:u w:val="single"/>
        </w:rPr>
        <w:t>本投资者确认，投资本理财产品的资金非贷款、发行债券等募集的非自有资金。</w:t>
      </w:r>
    </w:p>
    <w:p w14:paraId="0E01CFE1">
      <w:pPr>
        <w:keepNext w:val="0"/>
        <w:keepLines w:val="0"/>
        <w:pageBreakBefore w:val="0"/>
        <w:widowControl/>
        <w:suppressLineNumbers w:val="0"/>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4.</w:t>
      </w:r>
      <w:r>
        <w:rPr>
          <w:rFonts w:hint="eastAsia" w:ascii="方正黑体_GBK" w:hAnsi="方正黑体_GBK" w:eastAsia="方正黑体_GBK" w:cs="Times New Roman"/>
          <w:b/>
          <w:bCs w:val="0"/>
          <w:vanish w:val="0"/>
          <w:color w:val="3D3D3D"/>
          <w:kern w:val="0"/>
          <w:sz w:val="15"/>
          <w:szCs w:val="15"/>
          <w:u w:val="single"/>
        </w:rPr>
        <w:t>本投资者在购买本理财产品前已完成风险承受能力评估，且该评估结果具有效力。本投资者的风险评级结果为    （低、 中低、中、中高、高）。如果影响本投资者风险承受能力的因素发生变化，本投资者将及时完成风险承受能力评估，否则由此产生的责任和风险由本投资者自行承担。</w:t>
      </w:r>
      <w:r>
        <w:rPr>
          <w:rFonts w:hint="eastAsia" w:ascii="方正黑体_GBK" w:hAnsi="方正黑体_GBK" w:eastAsia="方正黑体_GBK"/>
          <w:b/>
          <w:bCs w:val="0"/>
          <w:vanish w:val="0"/>
          <w:color w:val="3D3D3D"/>
          <w:kern w:val="0"/>
          <w:sz w:val="15"/>
          <w:szCs w:val="15"/>
          <w:u w:val="single"/>
        </w:rPr>
        <w:t>（仅由个人投资者亲自填写）</w:t>
      </w:r>
    </w:p>
    <w:p w14:paraId="2992212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b/>
          <w:bCs w:val="0"/>
          <w:vanish w:val="0"/>
          <w:color w:val="3D3D3D"/>
          <w:kern w:val="0"/>
          <w:sz w:val="15"/>
          <w:szCs w:val="15"/>
        </w:rPr>
        <w:t>5.</w:t>
      </w:r>
      <w:r>
        <w:rPr>
          <w:rFonts w:hint="eastAsia" w:ascii="方正黑体_GBK" w:hAnsi="方正黑体_GBK" w:eastAsia="方正黑体_GBK"/>
          <w:b/>
          <w:bCs w:val="0"/>
          <w:vanish w:val="0"/>
          <w:color w:val="3D3D3D"/>
          <w:kern w:val="0"/>
          <w:sz w:val="15"/>
          <w:szCs w:val="15"/>
          <w:u w:val="single"/>
        </w:rPr>
        <w:t>本投资者已认真阅读并充分理解本风险揭示书</w:t>
      </w:r>
      <w:r>
        <w:rPr>
          <w:rFonts w:hint="eastAsia" w:ascii="方正黑体_GBK" w:hAnsi="方正黑体_GBK" w:eastAsia="方正黑体_GBK" w:cs="Times New Roman"/>
          <w:b/>
          <w:bCs w:val="0"/>
          <w:vanish w:val="0"/>
          <w:color w:val="3D3D3D"/>
          <w:kern w:val="0"/>
          <w:sz w:val="15"/>
          <w:szCs w:val="15"/>
          <w:u w:val="single"/>
        </w:rPr>
        <w:t>及对应期次</w:t>
      </w:r>
      <w:r>
        <w:rPr>
          <w:rFonts w:hint="eastAsia" w:ascii="方正黑体_GBK" w:hAnsi="方正黑体_GBK" w:eastAsia="方正黑体_GBK"/>
          <w:b/>
          <w:bCs w:val="0"/>
          <w:vanish w:val="0"/>
          <w:color w:val="3D3D3D"/>
          <w:kern w:val="0"/>
          <w:sz w:val="15"/>
          <w:szCs w:val="15"/>
          <w:u w:val="single"/>
        </w:rPr>
        <w:t>《理财产品销售协议书》《理财产品说明书》《投资者权益须知》</w:t>
      </w:r>
      <w:r>
        <w:rPr>
          <w:rFonts w:hint="eastAsia" w:ascii="方正黑体_GBK" w:hAnsi="方正黑体_GBK" w:eastAsia="方正黑体_GBK" w:cs="Times New Roman"/>
          <w:b/>
          <w:bCs w:val="0"/>
          <w:vanish w:val="0"/>
          <w:color w:val="3D3D3D"/>
          <w:kern w:val="0"/>
          <w:sz w:val="15"/>
          <w:szCs w:val="15"/>
          <w:u w:val="single"/>
        </w:rPr>
        <w:t>《理财产品投资协议书》等理财产品销售文件</w:t>
      </w:r>
      <w:r>
        <w:rPr>
          <w:rFonts w:hint="eastAsia" w:ascii="方正黑体_GBK" w:hAnsi="方正黑体_GBK" w:eastAsia="方正黑体_GBK"/>
          <w:b/>
          <w:bCs w:val="0"/>
          <w:vanish w:val="0"/>
          <w:color w:val="3D3D3D"/>
          <w:kern w:val="0"/>
          <w:sz w:val="15"/>
          <w:szCs w:val="15"/>
          <w:u w:val="single"/>
        </w:rPr>
        <w:t>的全部条款与内容，</w:t>
      </w:r>
      <w:r>
        <w:rPr>
          <w:rFonts w:hint="eastAsia" w:ascii="方正黑体_GBK" w:hAnsi="方正黑体_GBK" w:eastAsia="方正黑体_GBK" w:cs="Times New Roman"/>
          <w:b/>
          <w:bCs w:val="0"/>
          <w:vanish w:val="0"/>
          <w:color w:val="3D3D3D"/>
          <w:kern w:val="0"/>
          <w:sz w:val="15"/>
          <w:szCs w:val="15"/>
          <w:u w:val="single"/>
        </w:rPr>
        <w:t>完全清楚理财产品购买流程、风险评估、产品评级含义、信息披露方式及渠道、南银理财及销售机构联系方式及投诉程序等内容，</w:t>
      </w:r>
      <w:r>
        <w:rPr>
          <w:rFonts w:hint="eastAsia" w:ascii="方正黑体_GBK" w:hAnsi="方正黑体_GBK" w:eastAsia="方正黑体_GBK"/>
          <w:b/>
          <w:bCs w:val="0"/>
          <w:vanish w:val="0"/>
          <w:color w:val="3D3D3D"/>
          <w:kern w:val="0"/>
          <w:sz w:val="15"/>
          <w:szCs w:val="15"/>
          <w:u w:val="single"/>
        </w:rPr>
        <w:t>充分了解履行上述文件的责任，具有识别及承担相关风险的能力，充分了解本理财产品的风险并愿意承担相关风险。</w:t>
      </w:r>
    </w:p>
    <w:p w14:paraId="62F6D74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6.</w:t>
      </w:r>
      <w:r>
        <w:rPr>
          <w:rFonts w:hint="eastAsia" w:ascii="方正黑体_GBK" w:hAnsi="方正黑体_GBK" w:eastAsia="方正黑体_GBK" w:cs="Times New Roman"/>
          <w:b/>
          <w:bCs w:val="0"/>
          <w:vanish w:val="0"/>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品销售文件之外的任何陈述、说明、文件或承诺，南银理财和销售机构的义务和责任以理财产品销售文件明确记载的书面内容为准。</w:t>
      </w:r>
    </w:p>
    <w:p w14:paraId="6A90D463">
      <w:pPr>
        <w:keepNext w:val="0"/>
        <w:keepLines w:val="0"/>
        <w:pageBreakBefore w:val="0"/>
        <w:widowControl/>
        <w:suppressLineNumbers w:val="0"/>
        <w:suppressAutoHyphens w:val="0"/>
        <w:spacing w:line="200" w:lineRule="exact"/>
        <w:ind w:firstLine="420"/>
        <w:rPr>
          <w:rFonts w:ascii="方正黑体_GBK" w:hAnsi="方正黑体_GBK" w:eastAsia="方正黑体_GBK"/>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7.</w:t>
      </w:r>
      <w:r>
        <w:rPr>
          <w:rFonts w:hint="eastAsia" w:ascii="方正黑体_GBK" w:hAnsi="方正黑体_GBK" w:eastAsia="方正黑体_GBK" w:cs="Times New Roman"/>
          <w:b/>
          <w:bCs w:val="0"/>
          <w:vanish w:val="0"/>
          <w:color w:val="3D3D3D"/>
          <w:kern w:val="0"/>
          <w:sz w:val="15"/>
          <w:szCs w:val="15"/>
          <w:u w:val="single"/>
        </w:rPr>
        <w:t>如销售机构为管理人关联方的，本</w:t>
      </w:r>
      <w:r>
        <w:rPr>
          <w:rFonts w:hint="eastAsia" w:ascii="方正黑体_GBK" w:hAnsi="方正黑体_GBK" w:eastAsia="方正黑体_GBK"/>
          <w:b/>
          <w:bCs w:val="0"/>
          <w:vanish w:val="0"/>
          <w:color w:val="3D3D3D"/>
          <w:kern w:val="0"/>
          <w:sz w:val="15"/>
          <w:szCs w:val="15"/>
          <w:u w:val="single"/>
        </w:rPr>
        <w:t>投资者认可此等关联方及关联交易情形的存在并自愿承担相关投资风险。</w:t>
      </w:r>
    </w:p>
    <w:p w14:paraId="56DA7F30">
      <w:pPr>
        <w:keepNext w:val="0"/>
        <w:keepLines w:val="0"/>
        <w:pageBreakBefore w:val="0"/>
        <w:widowControl/>
        <w:suppressLineNumbers w:val="0"/>
        <w:suppressAutoHyphens w:val="0"/>
        <w:spacing w:line="200" w:lineRule="exact"/>
        <w:ind w:firstLine="420"/>
        <w:rPr>
          <w:rFonts w:ascii="方正黑体_GBK" w:hAnsi="方正黑体_GBK" w:eastAsia="方正黑体_GBK"/>
          <w:vanish w:val="0"/>
          <w:color w:val="3D3D3D"/>
          <w:kern w:val="0"/>
          <w:sz w:val="15"/>
          <w:szCs w:val="15"/>
          <w:u w:val="single"/>
        </w:rPr>
      </w:pPr>
      <w:r>
        <w:rPr>
          <w:rFonts w:hint="eastAsia" w:ascii="方正黑体_GBK" w:hAnsi="方正黑体_GBK" w:eastAsia="方正黑体_GBK"/>
          <w:vanish w:val="0"/>
          <w:color w:val="3D3D3D"/>
          <w:kern w:val="0"/>
          <w:sz w:val="15"/>
          <w:szCs w:val="15"/>
        </w:rPr>
        <w:t>8.以下划线部分，请投资者抄录确认：</w:t>
      </w:r>
      <w:r>
        <w:rPr>
          <w:rFonts w:ascii="方正黑体_GBK" w:hAnsi="方正黑体_GBK" w:eastAsia="方正黑体_GBK"/>
          <w:vanish w:val="0"/>
          <w:color w:val="3D3D3D"/>
          <w:kern w:val="0"/>
          <w:sz w:val="15"/>
          <w:szCs w:val="15"/>
        </w:rPr>
        <w:t>“</w:t>
      </w:r>
      <w:r>
        <w:rPr>
          <w:rFonts w:hint="eastAsia" w:ascii="方正黑体_GBK" w:hAnsi="方正黑体_GBK" w:eastAsia="方正黑体_GBK" w:cs="Times New Roman"/>
          <w:b/>
          <w:bCs w:val="0"/>
          <w:vanish w:val="0"/>
          <w:color w:val="3D3D3D"/>
          <w:kern w:val="0"/>
          <w:sz w:val="15"/>
          <w:szCs w:val="15"/>
          <w:u w:val="single"/>
        </w:rPr>
        <w:t>本人已经阅读风险揭示，愿意承担投资风险</w:t>
      </w:r>
      <w:r>
        <w:rPr>
          <w:rFonts w:ascii="方正黑体_GBK" w:hAnsi="方正黑体_GBK" w:eastAsia="方正黑体_GBK"/>
          <w:vanish w:val="0"/>
          <w:color w:val="3D3D3D"/>
          <w:kern w:val="0"/>
          <w:sz w:val="15"/>
          <w:szCs w:val="15"/>
        </w:rPr>
        <w:t>”</w:t>
      </w:r>
      <w:r>
        <w:rPr>
          <w:rFonts w:hint="eastAsia" w:ascii="方正黑体_GBK" w:hAnsi="方正黑体_GBK" w:eastAsia="方正黑体_GBK" w:cs="Times New Roman"/>
          <w:vanish w:val="0"/>
          <w:color w:val="3D3D3D"/>
          <w:kern w:val="0"/>
          <w:sz w:val="15"/>
          <w:szCs w:val="15"/>
        </w:rPr>
        <w:t>。</w:t>
      </w:r>
    </w:p>
    <w:p w14:paraId="1F1148D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 xml:space="preserve">         </w:t>
      </w:r>
    </w:p>
    <w:p w14:paraId="6DF1792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5"/>
          <w:szCs w:val="15"/>
        </w:rPr>
      </w:pPr>
    </w:p>
    <w:p w14:paraId="0B886D5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投资者抄录：</w:t>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p>
    <w:p w14:paraId="69288C6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3"/>
          <w:szCs w:val="13"/>
        </w:rPr>
      </w:pPr>
    </w:p>
    <w:p w14:paraId="1F3D4A3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jc w:val="left"/>
        <w:rPr>
          <w:rFonts w:ascii="方正黑体_GBK" w:hAnsi="方正黑体_GBK" w:eastAsia="方正黑体_GBK"/>
          <w:vanish w:val="0"/>
          <w:color w:val="3D3D3D"/>
          <w:kern w:val="0"/>
          <w:sz w:val="13"/>
          <w:szCs w:val="13"/>
        </w:rPr>
      </w:pPr>
    </w:p>
    <w:p w14:paraId="11427E3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jc w:val="left"/>
        <w:rPr>
          <w:rFonts w:ascii="方正黑体_GBK" w:hAnsi="方正黑体_GBK" w:eastAsia="方正黑体_GBK"/>
          <w:vanish w:val="0"/>
          <w:color w:val="3D3D3D"/>
          <w:kern w:val="0"/>
          <w:sz w:val="13"/>
          <w:szCs w:val="13"/>
        </w:rPr>
      </w:pPr>
    </w:p>
    <w:tbl>
      <w:tblPr>
        <w:tblStyle w:val="15"/>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287"/>
      </w:tblGrid>
      <w:tr w14:paraId="7D846D5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4"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14:paraId="1F2E1DC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ascii="方正黑体_GBK" w:hAnsi="方正黑体_GBK" w:eastAsia="方正黑体_GBK"/>
                <w:b/>
                <w:bCs w:val="0"/>
                <w:vanish w:val="0"/>
                <w:kern w:val="2"/>
                <w:sz w:val="15"/>
                <w:szCs w:val="15"/>
              </w:rPr>
            </w:pPr>
            <w:r>
              <w:rPr>
                <w:rFonts w:hint="eastAsia" w:ascii="方正黑体_GBK" w:hAnsi="方正黑体_GBK" w:eastAsia="方正黑体_GBK"/>
                <w:b/>
                <w:bCs w:val="0"/>
                <w:vanish w:val="0"/>
                <w:kern w:val="2"/>
                <w:sz w:val="15"/>
                <w:szCs w:val="15"/>
              </w:rPr>
              <w:t>个人投资者</w:t>
            </w:r>
          </w:p>
        </w:tc>
      </w:tr>
      <w:tr w14:paraId="242C38D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14:paraId="05F0DA04">
            <w:pPr>
              <w:keepNext w:val="0"/>
              <w:keepLines w:val="0"/>
              <w:pageBreakBefore w:val="0"/>
              <w:widowControl/>
              <w:suppressLineNumbers w:val="0"/>
              <w:suppressAutoHyphens w:val="0"/>
              <w:spacing w:after="0" w:afterAutospacing="0" w:line="360" w:lineRule="auto"/>
              <w:ind w:left="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auto"/>
                <w:kern w:val="2"/>
                <w:sz w:val="15"/>
                <w:szCs w:val="15"/>
              </w:rPr>
              <w:t>签名：</w:t>
            </w:r>
          </w:p>
          <w:p w14:paraId="6961BA1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60" w:lineRule="auto"/>
              <w:ind w:left="0" w:firstLine="130" w:firstLineChars="100"/>
              <w:rPr>
                <w:rFonts w:ascii="方正黑体_GBK" w:hAnsi="方正黑体_GBK" w:eastAsia="方正黑体_GBK"/>
                <w:vanish w:val="0"/>
                <w:color w:val="auto"/>
                <w:kern w:val="2"/>
                <w:sz w:val="15"/>
                <w:szCs w:val="15"/>
              </w:rPr>
            </w:pPr>
            <w:r>
              <w:rPr>
                <w:rFonts w:hint="eastAsia" w:ascii="方正黑体_GBK" w:hAnsi="方正黑体_GBK" w:eastAsia="方正黑体_GBK"/>
                <w:vanish w:val="0"/>
                <w:color w:val="3D3D3D"/>
                <w:kern w:val="0"/>
                <w:sz w:val="13"/>
                <w:szCs w:val="13"/>
              </w:rPr>
              <w:t>年</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月</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日</w:t>
            </w:r>
          </w:p>
        </w:tc>
      </w:tr>
      <w:tr w14:paraId="67055EB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1"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14:paraId="6E93FB3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ascii="方正黑体_GBK" w:hAnsi="方正黑体_GBK" w:eastAsia="方正黑体_GBK"/>
                <w:vanish w:val="0"/>
                <w:color w:val="auto"/>
                <w:kern w:val="2"/>
                <w:sz w:val="15"/>
                <w:szCs w:val="15"/>
              </w:rPr>
            </w:pPr>
            <w:r>
              <w:rPr>
                <w:rFonts w:hint="eastAsia" w:ascii="方正黑体_GBK" w:hAnsi="方正黑体_GBK" w:eastAsia="方正黑体_GBK"/>
                <w:b/>
                <w:bCs/>
                <w:vanish w:val="0"/>
                <w:color w:val="3D3D3D"/>
                <w:kern w:val="0"/>
                <w:sz w:val="15"/>
                <w:szCs w:val="15"/>
              </w:rPr>
              <w:t>机构投资者</w:t>
            </w:r>
          </w:p>
        </w:tc>
      </w:tr>
      <w:tr w14:paraId="0FB8550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14:paraId="1BB8D8B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p>
          <w:p w14:paraId="08CC920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盖章（公章）</w:t>
            </w:r>
          </w:p>
          <w:p w14:paraId="4C3BC03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p>
          <w:p w14:paraId="3BFD7DE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法定代表人或授权代理人（</w:t>
            </w:r>
            <w:r>
              <w:rPr>
                <w:rFonts w:hint="eastAsia" w:ascii="方正黑体_GBK" w:hAnsi="方正黑体_GBK" w:eastAsia="方正黑体_GBK" w:cs="Times New Roman"/>
                <w:b/>
                <w:bCs/>
                <w:vanish w:val="0"/>
                <w:color w:val="3D3D3D"/>
                <w:kern w:val="0"/>
                <w:sz w:val="15"/>
                <w:szCs w:val="15"/>
              </w:rPr>
              <w:t>签名</w:t>
            </w:r>
            <w:r>
              <w:rPr>
                <w:rFonts w:hint="eastAsia" w:ascii="方正黑体_GBK" w:hAnsi="方正黑体_GBK" w:eastAsia="方正黑体_GBK"/>
                <w:b/>
                <w:bCs/>
                <w:vanish w:val="0"/>
                <w:color w:val="3D3D3D"/>
                <w:kern w:val="0"/>
                <w:sz w:val="15"/>
                <w:szCs w:val="15"/>
              </w:rPr>
              <w:t>或盖章）：</w:t>
            </w:r>
            <w:r>
              <w:rPr>
                <w:rFonts w:ascii="方正黑体_GBK" w:hAnsi="方正黑体_GBK" w:eastAsia="方正黑体_GBK"/>
                <w:b/>
                <w:bCs/>
                <w:vanish w:val="0"/>
                <w:color w:val="3D3D3D"/>
                <w:kern w:val="0"/>
                <w:sz w:val="15"/>
                <w:szCs w:val="15"/>
              </w:rPr>
              <w:t xml:space="preserve"> </w:t>
            </w:r>
            <w:r>
              <w:rPr>
                <w:rFonts w:ascii="方正黑体_GBK" w:hAnsi="方正黑体_GBK" w:eastAsia="方正黑体_GBK"/>
                <w:b/>
                <w:bCs/>
                <w:vanish w:val="0"/>
                <w:color w:val="3D3D3D"/>
                <w:kern w:val="0"/>
                <w:sz w:val="15"/>
                <w:szCs w:val="15"/>
              </w:rPr>
              <w:tab/>
            </w:r>
          </w:p>
          <w:p w14:paraId="2E1860C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vanish w:val="0"/>
                <w:color w:val="3D3D3D"/>
                <w:kern w:val="0"/>
                <w:sz w:val="13"/>
                <w:szCs w:val="13"/>
              </w:rPr>
            </w:pPr>
          </w:p>
          <w:p w14:paraId="7B38395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vanish w:val="0"/>
                <w:color w:val="auto"/>
                <w:kern w:val="2"/>
                <w:sz w:val="15"/>
                <w:szCs w:val="15"/>
              </w:rPr>
            </w:pP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年</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月</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日</w:t>
            </w:r>
          </w:p>
        </w:tc>
      </w:tr>
      <w:tr w14:paraId="50ADC7A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1"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14:paraId="596DA84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ascii="方正黑体_GBK" w:hAnsi="方正黑体_GBK" w:eastAsia="方正黑体_GBK"/>
                <w:vanish w:val="0"/>
                <w:color w:val="auto"/>
                <w:kern w:val="2"/>
                <w:sz w:val="15"/>
                <w:szCs w:val="15"/>
              </w:rPr>
            </w:pPr>
            <w:r>
              <w:rPr>
                <w:rFonts w:hint="eastAsia" w:ascii="方正黑体_GBK" w:hAnsi="方正黑体_GBK" w:eastAsia="方正黑体_GBK"/>
                <w:b/>
                <w:bCs/>
                <w:vanish w:val="0"/>
                <w:color w:val="auto"/>
                <w:kern w:val="2"/>
                <w:sz w:val="15"/>
                <w:szCs w:val="15"/>
              </w:rPr>
              <w:t>电子</w:t>
            </w:r>
            <w:r>
              <w:rPr>
                <w:rFonts w:hint="eastAsia" w:ascii="方正黑体_GBK" w:hAnsi="方正黑体_GBK" w:eastAsia="方正黑体_GBK" w:cs="Times New Roman"/>
                <w:b/>
                <w:bCs/>
                <w:vanish w:val="0"/>
                <w:color w:val="auto"/>
                <w:kern w:val="2"/>
                <w:sz w:val="15"/>
                <w:szCs w:val="15"/>
              </w:rPr>
              <w:t>渠道</w:t>
            </w:r>
          </w:p>
        </w:tc>
      </w:tr>
      <w:tr w14:paraId="7183196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14:paraId="021D03A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firstLine="300" w:firstLineChars="200"/>
              <w:rPr>
                <w:rFonts w:ascii="方正黑体_GBK" w:hAnsi="方正黑体_GBK" w:eastAsia="方正黑体_GBK"/>
                <w:vanish w:val="0"/>
                <w:color w:val="auto"/>
                <w:kern w:val="2"/>
                <w:sz w:val="15"/>
                <w:szCs w:val="15"/>
              </w:rPr>
            </w:pPr>
            <w:r>
              <w:rPr>
                <w:rFonts w:hint="eastAsia" w:ascii="方正黑体_GBK" w:hAnsi="方正黑体_GBK" w:eastAsia="方正黑体_GBK"/>
                <w:b/>
                <w:bCs w:val="0"/>
                <w:vanish w:val="0"/>
                <w:color w:val="3D3D3D"/>
                <w:kern w:val="0"/>
                <w:sz w:val="15"/>
                <w:szCs w:val="15"/>
                <w:u w:val="single"/>
              </w:rPr>
              <w:t>如投资者通过电子</w:t>
            </w:r>
            <w:r>
              <w:rPr>
                <w:rFonts w:hint="eastAsia" w:ascii="方正黑体_GBK" w:hAnsi="方正黑体_GBK" w:eastAsia="方正黑体_GBK" w:cs="Times New Roman"/>
                <w:b/>
                <w:bCs w:val="0"/>
                <w:vanish w:val="0"/>
                <w:color w:val="3D3D3D"/>
                <w:kern w:val="0"/>
                <w:sz w:val="15"/>
                <w:szCs w:val="15"/>
                <w:u w:val="single"/>
              </w:rPr>
              <w:t>渠道</w:t>
            </w:r>
            <w:r>
              <w:rPr>
                <w:rFonts w:hint="eastAsia" w:ascii="方正黑体_GBK" w:hAnsi="方正黑体_GBK" w:eastAsia="方正黑体_GBK"/>
                <w:b/>
                <w:bCs w:val="0"/>
                <w:vanish w:val="0"/>
                <w:color w:val="3D3D3D"/>
                <w:kern w:val="0"/>
                <w:sz w:val="15"/>
                <w:szCs w:val="15"/>
                <w:u w:val="single"/>
              </w:rPr>
              <w:t>（包括但不限于网上银行、手机银行或官方网站等）购买本理财产品的，</w:t>
            </w:r>
            <w:r>
              <w:rPr>
                <w:rFonts w:hint="eastAsia" w:ascii="方正黑体_GBK" w:hAnsi="方正黑体_GBK" w:eastAsia="方正黑体_GBK"/>
                <w:vanish w:val="0"/>
                <w:spacing w:val="10"/>
                <w:kern w:val="2"/>
                <w:sz w:val="15"/>
                <w:szCs w:val="15"/>
              </w:rPr>
              <w:t>本风险揭示书以数据电文形式订立，</w:t>
            </w:r>
            <w:r>
              <w:rPr>
                <w:rFonts w:hint="eastAsia" w:ascii="方正黑体_GBK" w:hAnsi="方正黑体_GBK" w:eastAsia="方正黑体_GBK"/>
                <w:b/>
                <w:bCs w:val="0"/>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ascii="方正黑体_GBK" w:hAnsi="方正黑体_GBK" w:eastAsia="方正黑体_GBK"/>
                <w:b/>
                <w:bCs w:val="0"/>
                <w:vanish w:val="0"/>
                <w:color w:val="3D3D3D"/>
                <w:kern w:val="0"/>
                <w:sz w:val="15"/>
                <w:szCs w:val="15"/>
                <w:u w:val="single"/>
              </w:rPr>
              <w:t>即视为</w:t>
            </w:r>
            <w:r>
              <w:rPr>
                <w:rFonts w:hint="eastAsia" w:ascii="方正黑体_GBK" w:hAnsi="方正黑体_GBK" w:eastAsia="方正黑体_GBK" w:cs="Times New Roman"/>
                <w:b/>
                <w:bCs w:val="0"/>
                <w:vanish w:val="0"/>
                <w:color w:val="3D3D3D"/>
                <w:kern w:val="0"/>
                <w:sz w:val="15"/>
                <w:szCs w:val="15"/>
                <w:u w:val="single"/>
              </w:rPr>
              <w:t>投资者</w:t>
            </w:r>
            <w:r>
              <w:rPr>
                <w:rFonts w:hint="eastAsia" w:ascii="方正黑体_GBK" w:hAnsi="方正黑体_GBK" w:eastAsia="方正黑体_GBK"/>
                <w:b/>
                <w:bCs w:val="0"/>
                <w:vanish w:val="0"/>
                <w:color w:val="3D3D3D"/>
                <w:kern w:val="0"/>
                <w:sz w:val="15"/>
                <w:szCs w:val="15"/>
                <w:u w:val="single"/>
              </w:rPr>
              <w:t>确认其符合本理财产品的风险等级并自愿承担投资风险。</w:t>
            </w:r>
            <w:r>
              <w:rPr>
                <w:rFonts w:hint="eastAsia" w:ascii="方正黑体_GBK" w:hAnsi="方正黑体_GBK" w:eastAsia="方正黑体_GBK"/>
                <w:vanish w:val="0"/>
                <w:spacing w:val="10"/>
                <w:kern w:val="2"/>
                <w:sz w:val="15"/>
                <w:szCs w:val="15"/>
              </w:rPr>
              <w:t>电子</w:t>
            </w:r>
            <w:r>
              <w:rPr>
                <w:rFonts w:hint="eastAsia" w:ascii="方正黑体_GBK" w:hAnsi="方正黑体_GBK" w:eastAsia="方正黑体_GBK" w:cs="Times New Roman"/>
                <w:vanish w:val="0"/>
                <w:spacing w:val="10"/>
                <w:kern w:val="2"/>
                <w:sz w:val="15"/>
                <w:szCs w:val="15"/>
              </w:rPr>
              <w:t>渠道</w:t>
            </w:r>
            <w:r>
              <w:rPr>
                <w:rFonts w:hint="eastAsia" w:ascii="方正黑体_GBK" w:hAnsi="方正黑体_GBK" w:eastAsia="方正黑体_GBK"/>
                <w:vanish w:val="0"/>
                <w:spacing w:val="10"/>
                <w:kern w:val="2"/>
                <w:sz w:val="15"/>
                <w:szCs w:val="15"/>
              </w:rPr>
              <w:t>所生成和保留记载的相关电子数据及交易记录以及南银理财、</w:t>
            </w:r>
            <w:r>
              <w:rPr>
                <w:rFonts w:hint="eastAsia" w:ascii="方正黑体_GBK" w:hAnsi="方正黑体_GBK" w:eastAsia="方正黑体_GBK" w:cs="Times New Roman"/>
                <w:vanish w:val="0"/>
                <w:spacing w:val="10"/>
                <w:kern w:val="2"/>
                <w:sz w:val="15"/>
                <w:szCs w:val="15"/>
              </w:rPr>
              <w:t>销售机构</w:t>
            </w:r>
            <w:r>
              <w:rPr>
                <w:rFonts w:hint="eastAsia" w:ascii="方正黑体_GBK" w:hAnsi="方正黑体_GBK" w:eastAsia="方正黑体_GBK"/>
                <w:vanish w:val="0"/>
                <w:spacing w:val="10"/>
                <w:kern w:val="2"/>
                <w:sz w:val="15"/>
                <w:szCs w:val="15"/>
              </w:rPr>
              <w:t>、托管机构制作或保留的相关电子及纸质单据、凭证、记录等相关资料</w:t>
            </w:r>
            <w:r>
              <w:rPr>
                <w:rFonts w:hint="eastAsia" w:ascii="方正黑体_GBK" w:hAnsi="方正黑体_GBK" w:eastAsia="方正黑体_GBK" w:cs="Times New Roman"/>
                <w:vanish w:val="0"/>
                <w:spacing w:val="10"/>
                <w:kern w:val="2"/>
                <w:sz w:val="15"/>
                <w:szCs w:val="15"/>
              </w:rPr>
              <w:t>，</w:t>
            </w:r>
            <w:r>
              <w:rPr>
                <w:rFonts w:hint="eastAsia" w:ascii="方正黑体_GBK" w:hAnsi="方正黑体_GBK" w:eastAsia="方正黑体_GBK"/>
                <w:vanish w:val="0"/>
                <w:spacing w:val="10"/>
                <w:kern w:val="2"/>
                <w:sz w:val="15"/>
                <w:szCs w:val="15"/>
              </w:rPr>
              <w:t>构成有效证明投资者与南银理财双方之间权利义务关系的确定证据，投资者无条件认可电子数据的有效性和证据效力。</w:t>
            </w:r>
          </w:p>
        </w:tc>
      </w:tr>
    </w:tbl>
    <w:p w14:paraId="5EADC2FC">
      <w:r>
        <w:rPr>
          <w:rFonts w:ascii="方正黑体_GBK" w:hAnsi="方正黑体_GBK" w:eastAsia="方正黑体_GBK"/>
        </w:rPr>
        <w:br w:type="page"/>
      </w:r>
    </w:p>
    <w:p w14:paraId="36442030">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0" w:lineRule="atLeast"/>
        <w:ind w:left="0" w:right="0" w:firstLine="0"/>
        <w:contextualSpacing w:val="0"/>
        <w:jc w:val="center"/>
        <w:textAlignment w:val="auto"/>
        <w:outlineLvl w:val="9"/>
        <w:rPr>
          <w:rFonts w:ascii="方正黑体_GBK" w:hAnsi="方正黑体_GBK" w:eastAsia="方正黑体_GBK"/>
          <w:b/>
          <w:bCs/>
          <w:caps w:val="0"/>
          <w:smallCaps w:val="0"/>
          <w:snapToGrid/>
          <w:vanish w:val="0"/>
          <w:color w:val="auto"/>
          <w:kern w:val="0"/>
          <w:sz w:val="24"/>
          <w:szCs w:val="24"/>
          <w:vertAlign w:val="baseline"/>
        </w:rPr>
      </w:pPr>
      <w:r>
        <w:rPr>
          <w:rFonts w:ascii="方正黑体_GBK" w:hAnsi="方正黑体_GBK" w:eastAsia="方正黑体_GBK"/>
          <w:b/>
          <w:bCs/>
          <w:caps w:val="0"/>
          <w:smallCaps w:val="0"/>
          <w:snapToGrid/>
          <w:vanish w:val="0"/>
          <w:color w:val="auto"/>
          <w:kern w:val="0"/>
          <w:sz w:val="24"/>
          <w:szCs w:val="15"/>
          <w:vertAlign w:val="baseline"/>
        </w:rPr>
        <w:t xml:space="preserve"> </w:t>
      </w:r>
      <w:r>
        <w:rPr>
          <w:rFonts w:hint="eastAsia" w:ascii="方正黑体_GBK" w:hAnsi="方正黑体_GBK" w:eastAsia="方正黑体_GBK"/>
          <w:b/>
          <w:bCs/>
          <w:caps w:val="0"/>
          <w:smallCaps w:val="0"/>
          <w:snapToGrid/>
          <w:vanish w:val="0"/>
          <w:color w:val="auto"/>
          <w:kern w:val="0"/>
          <w:sz w:val="24"/>
          <w:szCs w:val="24"/>
          <w:vertAlign w:val="baseline"/>
        </w:rPr>
        <w:t>理财产品说明书</w:t>
      </w:r>
    </w:p>
    <w:p w14:paraId="20D870BF">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0" w:lineRule="atLeast"/>
        <w:ind w:left="0" w:right="0" w:firstLine="0"/>
        <w:contextualSpacing w:val="0"/>
        <w:jc w:val="center"/>
        <w:textAlignment w:val="auto"/>
        <w:outlineLvl w:val="9"/>
        <w:rPr>
          <w:rFonts w:ascii="方正黑体_GBK" w:hAnsi="方正黑体_GBK" w:eastAsia="方正黑体_GBK"/>
          <w:b/>
          <w:bCs/>
          <w:i/>
          <w:iCs/>
          <w:caps w:val="0"/>
          <w:smallCaps w:val="0"/>
          <w:snapToGrid/>
          <w:vanish w:val="0"/>
          <w:color w:val="auto"/>
          <w:kern w:val="0"/>
          <w:sz w:val="24"/>
          <w:szCs w:val="24"/>
          <w:u w:val="single"/>
          <w:vertAlign w:val="baseline"/>
        </w:rPr>
      </w:pPr>
      <w:r>
        <w:rPr>
          <w:rFonts w:ascii="方正黑体_GBK" w:hAnsi="方正黑体_GBK" w:eastAsia="方正黑体_GBK"/>
          <w:b/>
          <w:bCs/>
          <w:i/>
          <w:iCs/>
          <w:caps w:val="0"/>
          <w:smallCaps w:val="0"/>
          <w:snapToGrid/>
          <w:vanish w:val="0"/>
          <w:color w:val="auto"/>
          <w:kern w:val="0"/>
          <w:sz w:val="24"/>
          <w:szCs w:val="24"/>
          <w:u w:val="single"/>
          <w:vertAlign w:val="baseline"/>
        </w:rPr>
        <w:t>“</w:t>
      </w:r>
      <w:r>
        <w:rPr>
          <w:rFonts w:hint="eastAsia" w:ascii="方正黑体_GBK" w:hAnsi="方正黑体_GBK" w:eastAsia="方正黑体_GBK"/>
          <w:b/>
          <w:bCs/>
          <w:i/>
          <w:iCs/>
          <w:caps w:val="0"/>
          <w:smallCaps w:val="0"/>
          <w:snapToGrid/>
          <w:vanish w:val="0"/>
          <w:color w:val="auto"/>
          <w:kern w:val="0"/>
          <w:sz w:val="24"/>
          <w:szCs w:val="24"/>
          <w:u w:val="single"/>
          <w:vertAlign w:val="baseline"/>
        </w:rPr>
        <w:t>理财非存款、产品有风险、投资须谨慎</w:t>
      </w:r>
      <w:r>
        <w:rPr>
          <w:rFonts w:ascii="方正黑体_GBK" w:hAnsi="方正黑体_GBK" w:eastAsia="方正黑体_GBK"/>
          <w:b/>
          <w:bCs/>
          <w:i/>
          <w:iCs/>
          <w:caps w:val="0"/>
          <w:smallCaps w:val="0"/>
          <w:snapToGrid/>
          <w:vanish w:val="0"/>
          <w:color w:val="auto"/>
          <w:kern w:val="0"/>
          <w:sz w:val="24"/>
          <w:szCs w:val="24"/>
          <w:u w:val="single"/>
          <w:vertAlign w:val="baseline"/>
        </w:rPr>
        <w:t>”</w:t>
      </w:r>
      <w:r>
        <w:rPr>
          <w:rFonts w:hint="eastAsia" w:ascii="方正黑体_GBK" w:hAnsi="方正黑体_GBK" w:eastAsia="方正黑体_GBK"/>
          <w:b/>
          <w:bCs/>
          <w:i/>
          <w:iCs/>
          <w:caps w:val="0"/>
          <w:smallCaps w:val="0"/>
          <w:snapToGrid/>
          <w:vanish w:val="0"/>
          <w:color w:val="auto"/>
          <w:kern w:val="0"/>
          <w:sz w:val="24"/>
          <w:szCs w:val="24"/>
          <w:u w:val="single"/>
          <w:vertAlign w:val="baseline"/>
        </w:rPr>
        <w:t>！</w:t>
      </w:r>
    </w:p>
    <w:p w14:paraId="1B9D8890">
      <w:pPr>
        <w:pStyle w:val="45"/>
        <w:keepNext w:val="0"/>
        <w:keepLines w:val="0"/>
        <w:pageBreakBefore w:val="0"/>
        <w:widowControl/>
        <w:suppressLineNumbers w:val="0"/>
        <w:suppressAutoHyphens w:val="0"/>
        <w:spacing w:line="200" w:lineRule="exact"/>
        <w:ind w:firstLine="0"/>
        <w:jc w:val="both"/>
        <w:textAlignment w:val="baseline"/>
        <w:rPr>
          <w:rFonts w:ascii="方正黑体_GBK" w:hAnsi="方正黑体_GBK" w:eastAsia="方正黑体_GBK"/>
          <w:b/>
          <w:bCs w:val="0"/>
          <w:caps w:val="0"/>
          <w:smallCaps w:val="0"/>
          <w:snapToGrid/>
          <w:vanish w:val="0"/>
          <w:color w:val="3D3D3D"/>
          <w:kern w:val="0"/>
          <w:sz w:val="15"/>
          <w:szCs w:val="15"/>
          <w:vertAlign w:val="baseline"/>
        </w:rPr>
      </w:pPr>
      <w:r>
        <w:rPr>
          <w:rFonts w:hint="eastAsia" w:ascii="方正黑体_GBK" w:hAnsi="方正黑体_GBK" w:eastAsia="方正黑体_GBK"/>
          <w:b/>
          <w:bCs w:val="0"/>
          <w:caps w:val="0"/>
          <w:smallCaps w:val="0"/>
          <w:snapToGrid/>
          <w:vanish w:val="0"/>
          <w:color w:val="3D3D3D"/>
          <w:kern w:val="0"/>
          <w:sz w:val="15"/>
          <w:szCs w:val="15"/>
          <w:vertAlign w:val="baseline"/>
        </w:rPr>
        <w:t>第一条</w:t>
      </w:r>
      <w:r>
        <w:rPr>
          <w:rFonts w:ascii="方正黑体_GBK" w:hAnsi="方正黑体_GBK" w:eastAsia="方正黑体_GBK" w:cs="Times New Roman"/>
          <w:b/>
          <w:bCs w:val="0"/>
          <w:caps w:val="0"/>
          <w:smallCaps w:val="0"/>
          <w:snapToGrid/>
          <w:vanish w:val="0"/>
          <w:color w:val="3D3D3D"/>
          <w:kern w:val="0"/>
          <w:sz w:val="15"/>
          <w:szCs w:val="15"/>
          <w:vertAlign w:val="baseline"/>
        </w:rPr>
        <w:t xml:space="preserve">  </w:t>
      </w:r>
      <w:r>
        <w:rPr>
          <w:rFonts w:hint="eastAsia" w:ascii="方正黑体_GBK" w:hAnsi="方正黑体_GBK" w:eastAsia="方正黑体_GBK"/>
          <w:b/>
          <w:bCs w:val="0"/>
          <w:caps w:val="0"/>
          <w:smallCaps w:val="0"/>
          <w:snapToGrid/>
          <w:vanish w:val="0"/>
          <w:color w:val="3D3D3D"/>
          <w:kern w:val="0"/>
          <w:sz w:val="15"/>
          <w:szCs w:val="15"/>
          <w:vertAlign w:val="baseline"/>
        </w:rPr>
        <w:t>产品基本要素</w:t>
      </w:r>
    </w:p>
    <w:tbl>
      <w:tblPr>
        <w:tblStyle w:val="15"/>
        <w:tblW w:w="781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
      <w:tblGrid>
        <w:gridCol w:w="1702"/>
        <w:gridCol w:w="6113"/>
      </w:tblGrid>
      <w:tr w14:paraId="3D542E6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1702" w:type="dxa"/>
            <w:tcBorders>
              <w:top w:val="single" w:color="auto" w:sz="4" w:space="0"/>
              <w:left w:val="single" w:color="auto" w:sz="4" w:space="0"/>
              <w:bottom w:val="single" w:color="auto" w:sz="2" w:space="0"/>
              <w:right w:val="single" w:color="auto" w:sz="4" w:space="0"/>
              <w:tl2br w:val="nil"/>
              <w:tr2bl w:val="nil"/>
            </w:tcBorders>
            <w:vAlign w:val="center"/>
          </w:tcPr>
          <w:p w14:paraId="0F240E5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产品名称</w:t>
            </w:r>
          </w:p>
        </w:tc>
        <w:tc>
          <w:tcPr>
            <w:tcW w:w="6113" w:type="dxa"/>
            <w:tcBorders>
              <w:top w:val="single" w:color="auto" w:sz="4" w:space="0"/>
              <w:left w:val="nil"/>
              <w:bottom w:val="single" w:color="auto" w:sz="2" w:space="0"/>
              <w:right w:val="single" w:color="auto" w:sz="4" w:space="0"/>
              <w:tl2br w:val="nil"/>
              <w:tr2bl w:val="nil"/>
            </w:tcBorders>
            <w:vAlign w:val="center"/>
          </w:tcPr>
          <w:p w14:paraId="393CEB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南银理财鼎瑞行稳一年定开2025第1期公募人民币理财产品</w:t>
            </w:r>
          </w:p>
        </w:tc>
      </w:tr>
      <w:tr w14:paraId="22A71FB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1702" w:type="dxa"/>
            <w:tcBorders>
              <w:top w:val="single" w:color="auto" w:sz="2" w:space="0"/>
              <w:left w:val="single" w:color="auto" w:sz="2" w:space="0"/>
              <w:bottom w:val="single" w:color="auto" w:sz="2" w:space="0"/>
              <w:right w:val="single" w:color="auto" w:sz="2" w:space="0"/>
            </w:tcBorders>
            <w:vAlign w:val="center"/>
          </w:tcPr>
          <w:p w14:paraId="0437633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产品类型</w:t>
            </w:r>
          </w:p>
        </w:tc>
        <w:tc>
          <w:tcPr>
            <w:tcW w:w="6113" w:type="dxa"/>
            <w:tcBorders>
              <w:top w:val="single" w:color="auto" w:sz="2" w:space="0"/>
              <w:left w:val="single" w:color="auto" w:sz="2" w:space="0"/>
              <w:bottom w:val="single" w:color="auto" w:sz="2" w:space="0"/>
              <w:right w:val="single" w:color="auto" w:sz="2" w:space="0"/>
            </w:tcBorders>
            <w:vAlign w:val="center"/>
          </w:tcPr>
          <w:p w14:paraId="7DAB996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定期开放式、固定收益类、公募、净值型</w:t>
            </w:r>
          </w:p>
        </w:tc>
      </w:tr>
      <w:tr w14:paraId="767E8FC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1702" w:type="dxa"/>
            <w:tcBorders>
              <w:top w:val="single" w:color="auto" w:sz="2" w:space="0"/>
              <w:left w:val="single" w:color="auto" w:sz="2" w:space="0"/>
              <w:bottom w:val="single" w:color="auto" w:sz="2" w:space="0"/>
              <w:right w:val="single" w:color="auto" w:sz="2" w:space="0"/>
            </w:tcBorders>
            <w:vAlign w:val="center"/>
          </w:tcPr>
          <w:p w14:paraId="4AD146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募集方式</w:t>
            </w:r>
          </w:p>
        </w:tc>
        <w:tc>
          <w:tcPr>
            <w:tcW w:w="6113" w:type="dxa"/>
            <w:tcBorders>
              <w:top w:val="single" w:color="auto" w:sz="2" w:space="0"/>
              <w:left w:val="single" w:color="auto" w:sz="2" w:space="0"/>
              <w:bottom w:val="single" w:color="auto" w:sz="2" w:space="0"/>
              <w:right w:val="single" w:color="auto" w:sz="2" w:space="0"/>
            </w:tcBorders>
            <w:vAlign w:val="center"/>
          </w:tcPr>
          <w:p w14:paraId="74CDD86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公开募集</w:t>
            </w:r>
          </w:p>
        </w:tc>
      </w:tr>
      <w:tr w14:paraId="2DB9B3A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1702" w:type="dxa"/>
            <w:tcBorders>
              <w:top w:val="single" w:color="auto" w:sz="2" w:space="0"/>
              <w:left w:val="single" w:color="auto" w:sz="4" w:space="0"/>
              <w:bottom w:val="single" w:color="auto" w:sz="4" w:space="0"/>
              <w:right w:val="single" w:color="auto" w:sz="4" w:space="0"/>
              <w:tl2br w:val="nil"/>
              <w:tr2bl w:val="nil"/>
            </w:tcBorders>
            <w:vAlign w:val="center"/>
          </w:tcPr>
          <w:p w14:paraId="3E947E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理财产品代码</w:t>
            </w:r>
          </w:p>
        </w:tc>
        <w:tc>
          <w:tcPr>
            <w:tcW w:w="6113" w:type="dxa"/>
            <w:tcBorders>
              <w:top w:val="single" w:color="auto" w:sz="2" w:space="0"/>
              <w:left w:val="nil"/>
              <w:bottom w:val="single" w:color="auto" w:sz="4" w:space="0"/>
              <w:right w:val="single" w:color="auto" w:sz="4" w:space="0"/>
              <w:tl2br w:val="nil"/>
              <w:tr2bl w:val="nil"/>
            </w:tcBorders>
            <w:vAlign w:val="center"/>
          </w:tcPr>
          <w:p w14:paraId="57E556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ZZ700322400621</w:t>
            </w:r>
          </w:p>
        </w:tc>
      </w:tr>
      <w:tr w14:paraId="6AD4EB1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25" w:hRule="atLeast"/>
          <w:jc w:val="center"/>
          <w:hidden/>
        </w:trPr>
        <w:tc>
          <w:tcPr>
            <w:tcW w:w="1702" w:type="dxa"/>
            <w:tcBorders>
              <w:top w:val="single" w:color="auto" w:sz="4" w:space="0"/>
              <w:left w:val="single" w:color="auto" w:sz="4" w:space="0"/>
              <w:bottom w:val="single" w:color="auto" w:sz="4" w:space="0"/>
              <w:right w:val="single" w:color="auto" w:sz="4" w:space="0"/>
              <w:tl2br w:val="nil"/>
              <w:tr2bl w:val="nil"/>
            </w:tcBorders>
            <w:vAlign w:val="center"/>
          </w:tcPr>
          <w:p w14:paraId="0B677AF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产品登记编码</w:t>
            </w:r>
          </w:p>
        </w:tc>
        <w:tc>
          <w:tcPr>
            <w:tcW w:w="6113" w:type="dxa"/>
            <w:tcBorders>
              <w:top w:val="single" w:color="auto" w:sz="4" w:space="0"/>
              <w:left w:val="nil"/>
              <w:bottom w:val="single" w:color="auto" w:sz="4" w:space="0"/>
              <w:right w:val="single" w:color="auto" w:sz="4" w:space="0"/>
              <w:tl2br w:val="nil"/>
              <w:tr2bl w:val="nil"/>
            </w:tcBorders>
            <w:vAlign w:val="center"/>
          </w:tcPr>
          <w:p w14:paraId="596E697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宋体"/>
                <w:caps w:val="0"/>
                <w:smallCaps w:val="0"/>
                <w:snapToGrid/>
                <w:vanish w:val="0"/>
                <w:color w:val="auto"/>
                <w:kern w:val="0"/>
                <w:sz w:val="18"/>
                <w:szCs w:val="18"/>
                <w:vertAlign w:val="baseline"/>
              </w:rPr>
              <w:t>Z7003225000016(投资者可依据该编码在中国理财网www.chinawealth.com.cn查询理财产品相关信息）</w:t>
            </w:r>
          </w:p>
        </w:tc>
      </w:tr>
      <w:tr w14:paraId="319923B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1702" w:type="dxa"/>
            <w:tcBorders>
              <w:top w:val="single" w:color="auto" w:sz="4" w:space="0"/>
              <w:left w:val="single" w:color="auto" w:sz="4" w:space="0"/>
              <w:bottom w:val="single" w:color="auto" w:sz="4" w:space="0"/>
              <w:right w:val="single" w:color="auto" w:sz="4" w:space="0"/>
              <w:tl2br w:val="nil"/>
              <w:tr2bl w:val="nil"/>
            </w:tcBorders>
            <w:vAlign w:val="center"/>
          </w:tcPr>
          <w:p w14:paraId="49093D2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内部销售代码</w:t>
            </w:r>
          </w:p>
        </w:tc>
        <w:tc>
          <w:tcPr>
            <w:tcW w:w="6113" w:type="dxa"/>
            <w:tcBorders>
              <w:top w:val="single" w:color="auto" w:sz="4" w:space="0"/>
              <w:left w:val="nil"/>
              <w:bottom w:val="single" w:color="auto" w:sz="4" w:space="0"/>
              <w:right w:val="single" w:color="auto" w:sz="4" w:space="0"/>
              <w:tl2br w:val="nil"/>
              <w:tr2bl w:val="nil"/>
            </w:tcBorders>
            <w:vAlign w:val="center"/>
          </w:tcPr>
          <w:p w14:paraId="7500FDD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center"/>
              <w:outlineLvl w:val="9"/>
              <w:rPr>
                <w:rFonts w:ascii="方正黑体_GBK" w:hAnsi="方正黑体_GBK" w:eastAsia="方正黑体_GBK"/>
                <w:caps w:val="0"/>
                <w:smallCaps w:val="0"/>
                <w:snapToGrid/>
                <w:vanish w:val="0"/>
                <w:color w:val="auto"/>
                <w:kern w:val="2"/>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Z10053</w:t>
            </w:r>
          </w:p>
        </w:tc>
      </w:tr>
      <w:tr w14:paraId="74718A2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1702" w:type="dxa"/>
            <w:tcBorders>
              <w:top w:val="single" w:color="auto" w:sz="4" w:space="0"/>
              <w:left w:val="single" w:color="auto" w:sz="4" w:space="0"/>
              <w:bottom w:val="single" w:color="auto" w:sz="4" w:space="0"/>
              <w:right w:val="single" w:color="auto" w:sz="4" w:space="0"/>
              <w:tl2br w:val="nil"/>
              <w:tr2bl w:val="nil"/>
            </w:tcBorders>
            <w:vAlign w:val="center"/>
          </w:tcPr>
          <w:p w14:paraId="1FB79D48">
            <w:pPr>
              <w:keepNext w:val="0"/>
              <w:keepLines w:val="0"/>
              <w:pageBreakBefore w:val="0"/>
              <w:widowControl/>
              <w:suppressLineNumbers w:val="0"/>
              <w:suppressAutoHyphens w:val="0"/>
              <w:spacing w:line="200" w:lineRule="exact"/>
              <w:jc w:val="left"/>
              <w:rPr>
                <w:rFonts w:ascii="方正黑体_GBK" w:hAnsi="方正黑体_GBK" w:eastAsia="方正黑体_GBK"/>
                <w:caps w:val="0"/>
                <w:smallCaps w:val="0"/>
                <w:snapToGrid/>
                <w:vanish w:val="0"/>
                <w:color w:val="auto"/>
                <w:kern w:val="0"/>
                <w:sz w:val="18"/>
                <w:szCs w:val="18"/>
                <w:vertAlign w:val="baseline"/>
              </w:rPr>
            </w:pPr>
            <w:r>
              <w:rPr>
                <w:rFonts w:ascii="方正黑体_GBK" w:hAnsi="方正黑体_GBK" w:eastAsia="方正黑体_GBK"/>
                <w:caps w:val="0"/>
                <w:smallCaps w:val="0"/>
                <w:snapToGrid/>
                <w:vanish w:val="0"/>
                <w:color w:val="auto"/>
                <w:kern w:val="0"/>
                <w:sz w:val="18"/>
                <w:szCs w:val="18"/>
                <w:vertAlign w:val="baseline"/>
              </w:rPr>
              <w:t>理财期限</w:t>
            </w:r>
          </w:p>
        </w:tc>
        <w:tc>
          <w:tcPr>
            <w:tcW w:w="6113" w:type="dxa"/>
            <w:tcBorders>
              <w:top w:val="single" w:color="auto" w:sz="4" w:space="0"/>
              <w:left w:val="nil"/>
              <w:bottom w:val="single" w:color="auto" w:sz="4" w:space="0"/>
              <w:right w:val="single" w:color="auto" w:sz="4" w:space="0"/>
              <w:tl2br w:val="nil"/>
              <w:tr2bl w:val="nil"/>
            </w:tcBorders>
            <w:vAlign w:val="center"/>
          </w:tcPr>
          <w:p w14:paraId="68A9FE0A">
            <w:pPr>
              <w:keepNext w:val="0"/>
              <w:keepLines w:val="0"/>
              <w:pageBreakBefore w:val="0"/>
              <w:widowControl/>
              <w:suppressLineNumbers w:val="0"/>
              <w:suppressAutoHyphens w:val="0"/>
              <w:spacing w:line="200" w:lineRule="exact"/>
              <w:jc w:val="left"/>
              <w:textAlignment w:val="center"/>
              <w:rPr>
                <w:rFonts w:ascii="方正黑体_GBK" w:hAnsi="方正黑体_GBK" w:eastAsia="方正黑体_GBK"/>
                <w:sz w:val="18"/>
                <w:szCs w:val="18"/>
              </w:rPr>
            </w:pPr>
            <w:r>
              <w:rPr>
                <w:rFonts w:hint="eastAsia" w:ascii="方正黑体_GBK" w:hAnsi="方正黑体_GBK" w:eastAsia="方正黑体_GBK"/>
                <w:kern w:val="0"/>
                <w:sz w:val="18"/>
                <w:szCs w:val="18"/>
              </w:rPr>
              <w:t>10年（管理人有权提前终止或延期终止）</w:t>
            </w:r>
          </w:p>
        </w:tc>
      </w:tr>
      <w:tr w14:paraId="4E49EC7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1702" w:type="dxa"/>
            <w:tcBorders>
              <w:top w:val="single" w:color="auto" w:sz="4" w:space="0"/>
              <w:left w:val="single" w:color="auto" w:sz="4" w:space="0"/>
              <w:bottom w:val="single" w:color="auto" w:sz="4" w:space="0"/>
              <w:right w:val="single" w:color="auto" w:sz="4" w:space="0"/>
              <w:tl2br w:val="nil"/>
              <w:tr2bl w:val="nil"/>
            </w:tcBorders>
            <w:vAlign w:val="center"/>
          </w:tcPr>
          <w:p w14:paraId="7AE6EE6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销售区域</w:t>
            </w:r>
          </w:p>
        </w:tc>
        <w:tc>
          <w:tcPr>
            <w:tcW w:w="6113" w:type="dxa"/>
            <w:tcBorders>
              <w:top w:val="single" w:color="auto" w:sz="4" w:space="0"/>
              <w:left w:val="nil"/>
              <w:bottom w:val="single" w:color="auto" w:sz="4" w:space="0"/>
              <w:right w:val="single" w:color="auto" w:sz="4" w:space="0"/>
              <w:tl2br w:val="nil"/>
              <w:tr2bl w:val="nil"/>
            </w:tcBorders>
            <w:vAlign w:val="center"/>
          </w:tcPr>
          <w:p w14:paraId="5632DE9A">
            <w:pPr>
              <w:spacing w:line="200" w:lineRule="exact"/>
            </w:pPr>
            <w:r>
              <w:rPr>
                <w:rFonts w:ascii="方正黑体_GBK" w:hAnsi="方正黑体_GBK" w:eastAsia="方正黑体_GBK" w:cs="宋体"/>
                <w:sz w:val="18"/>
                <w:szCs w:val="18"/>
              </w:rPr>
              <w:t>全国</w:t>
            </w:r>
          </w:p>
        </w:tc>
      </w:tr>
      <w:tr w14:paraId="315677B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1702" w:type="dxa"/>
            <w:tcBorders>
              <w:top w:val="single" w:color="auto" w:sz="4" w:space="0"/>
              <w:left w:val="single" w:color="auto" w:sz="4" w:space="0"/>
              <w:bottom w:val="single" w:color="auto" w:sz="4" w:space="0"/>
              <w:right w:val="single" w:color="auto" w:sz="4" w:space="0"/>
              <w:tl2br w:val="nil"/>
              <w:tr2bl w:val="nil"/>
            </w:tcBorders>
            <w:vAlign w:val="center"/>
          </w:tcPr>
          <w:p w14:paraId="3E8867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币种</w:t>
            </w:r>
          </w:p>
        </w:tc>
        <w:tc>
          <w:tcPr>
            <w:tcW w:w="6113" w:type="dxa"/>
            <w:tcBorders>
              <w:top w:val="single" w:color="auto" w:sz="4" w:space="0"/>
              <w:left w:val="nil"/>
              <w:bottom w:val="single" w:color="auto" w:sz="4" w:space="0"/>
              <w:right w:val="single" w:color="auto" w:sz="4" w:space="0"/>
              <w:tl2br w:val="nil"/>
              <w:tr2bl w:val="nil"/>
            </w:tcBorders>
            <w:vAlign w:val="center"/>
          </w:tcPr>
          <w:p w14:paraId="37597ACF">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ind w:left="0" w:firstLine="0"/>
              <w:contextualSpacing w:val="0"/>
              <w:jc w:val="left"/>
              <w:textAlignment w:val="center"/>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kern w:val="0"/>
                <w:sz w:val="18"/>
                <w:szCs w:val="18"/>
              </w:rPr>
              <w:t>人民币</w:t>
            </w:r>
          </w:p>
        </w:tc>
      </w:tr>
      <w:tr w14:paraId="02AA183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04" w:hRule="atLeast"/>
          <w:jc w:val="center"/>
          <w:hidden/>
        </w:trPr>
        <w:tc>
          <w:tcPr>
            <w:tcW w:w="1702" w:type="dxa"/>
            <w:tcBorders>
              <w:top w:val="single" w:color="auto" w:sz="4" w:space="0"/>
              <w:left w:val="single" w:color="auto" w:sz="4" w:space="0"/>
              <w:bottom w:val="single" w:color="auto" w:sz="4" w:space="0"/>
              <w:right w:val="single" w:color="auto" w:sz="4" w:space="0"/>
              <w:tl2br w:val="nil"/>
              <w:tr2bl w:val="nil"/>
            </w:tcBorders>
            <w:vAlign w:val="center"/>
          </w:tcPr>
          <w:p w14:paraId="6A39EBE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产品规模</w:t>
            </w:r>
          </w:p>
        </w:tc>
        <w:tc>
          <w:tcPr>
            <w:tcW w:w="6113" w:type="dxa"/>
            <w:tcBorders>
              <w:top w:val="single" w:color="auto" w:sz="4" w:space="0"/>
              <w:left w:val="nil"/>
              <w:bottom w:val="single" w:color="auto" w:sz="4" w:space="0"/>
              <w:right w:val="single" w:color="auto" w:sz="4" w:space="0"/>
              <w:tl2br w:val="nil"/>
              <w:tr2bl w:val="nil"/>
            </w:tcBorders>
            <w:vAlign w:val="center"/>
          </w:tcPr>
          <w:p w14:paraId="6474E480">
            <w:pPr>
              <w:spacing w:line="200" w:lineRule="exact"/>
            </w:pPr>
            <w:r>
              <w:rPr>
                <w:rFonts w:ascii="方正黑体_GBK" w:hAnsi="方正黑体_GBK" w:eastAsia="方正黑体_GBK" w:cs="宋体"/>
                <w:sz w:val="18"/>
                <w:szCs w:val="18"/>
              </w:rPr>
              <w:t>本理财产品规模上限为500亿元。理财产品管理人有权对上述规模上限根据实际业务需求进行调整。</w:t>
            </w:r>
          </w:p>
        </w:tc>
      </w:tr>
      <w:tr w14:paraId="79F8241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509" w:hRule="atLeast"/>
          <w:jc w:val="center"/>
          <w:hidden/>
        </w:trPr>
        <w:tc>
          <w:tcPr>
            <w:tcW w:w="1702" w:type="dxa"/>
            <w:tcBorders>
              <w:top w:val="single" w:color="auto" w:sz="4" w:space="0"/>
              <w:left w:val="single" w:color="auto" w:sz="4" w:space="0"/>
              <w:bottom w:val="single" w:color="auto" w:sz="4" w:space="0"/>
              <w:right w:val="single" w:color="auto" w:sz="4" w:space="0"/>
              <w:tl2br w:val="nil"/>
              <w:tr2bl w:val="nil"/>
            </w:tcBorders>
            <w:vAlign w:val="center"/>
          </w:tcPr>
          <w:p w14:paraId="28E9CB7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风险等级</w:t>
            </w:r>
          </w:p>
        </w:tc>
        <w:tc>
          <w:tcPr>
            <w:tcW w:w="6113" w:type="dxa"/>
            <w:tcBorders>
              <w:top w:val="single" w:color="auto" w:sz="4" w:space="0"/>
              <w:left w:val="nil"/>
              <w:bottom w:val="single" w:color="auto" w:sz="4" w:space="0"/>
              <w:right w:val="single" w:color="auto" w:sz="4" w:space="0"/>
              <w:tl2br w:val="nil"/>
              <w:tr2bl w:val="nil"/>
            </w:tcBorders>
            <w:vAlign w:val="center"/>
          </w:tcPr>
          <w:p w14:paraId="4E650484">
            <w:pPr>
              <w:spacing w:line="200" w:lineRule="exact"/>
            </w:pPr>
            <w:r>
              <w:rPr>
                <w:rFonts w:ascii="方正黑体_GBK" w:hAnsi="方正黑体_GBK" w:eastAsia="方正黑体_GBK" w:cs="宋体"/>
                <w:sz w:val="18"/>
                <w:szCs w:val="18"/>
              </w:rPr>
              <w:t>根据理财产品管理人对理财产品的内部风险评估，本理财产品风险等级为</w:t>
            </w:r>
            <w:r>
              <w:rPr>
                <w:rFonts w:ascii="方正黑体_GBK" w:hAnsi="方正黑体_GBK" w:eastAsia="方正黑体_GBK" w:cs="宋体"/>
                <w:b/>
                <w:sz w:val="18"/>
                <w:szCs w:val="18"/>
              </w:rPr>
              <w:t>中低风险</w:t>
            </w:r>
            <w:r>
              <w:rPr>
                <w:rFonts w:ascii="方正黑体_GBK" w:hAnsi="方正黑体_GBK" w:eastAsia="方正黑体_GBK" w:cs="宋体"/>
                <w:sz w:val="18"/>
                <w:szCs w:val="18"/>
              </w:rPr>
              <w:t>（本风险等级为管理人内部风险评估结果，仅供参考）。</w:t>
            </w:r>
          </w:p>
          <w:p w14:paraId="1C4D4E3D">
            <w:pPr>
              <w:spacing w:line="200" w:lineRule="exact"/>
            </w:pPr>
            <w:r>
              <w:rPr>
                <w:rFonts w:ascii="方正黑体_GBK" w:hAnsi="方正黑体_GBK" w:eastAsia="方正黑体_GBK"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14:paraId="4E6E9B8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34" w:hRule="atLeast"/>
          <w:jc w:val="center"/>
          <w:hidden/>
        </w:trPr>
        <w:tc>
          <w:tcPr>
            <w:tcW w:w="1702" w:type="dxa"/>
            <w:tcBorders>
              <w:top w:val="single" w:color="auto" w:sz="4" w:space="0"/>
              <w:left w:val="single" w:color="auto" w:sz="4" w:space="0"/>
              <w:bottom w:val="single" w:color="auto" w:sz="4" w:space="0"/>
              <w:right w:val="single" w:color="auto" w:sz="4" w:space="0"/>
              <w:tl2br w:val="nil"/>
              <w:tr2bl w:val="nil"/>
            </w:tcBorders>
            <w:vAlign w:val="center"/>
          </w:tcPr>
          <w:p w14:paraId="097F3E3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发行对象</w:t>
            </w:r>
          </w:p>
        </w:tc>
        <w:tc>
          <w:tcPr>
            <w:tcW w:w="6113" w:type="dxa"/>
            <w:tcBorders>
              <w:top w:val="single" w:color="auto" w:sz="4" w:space="0"/>
              <w:left w:val="nil"/>
              <w:bottom w:val="single" w:color="auto" w:sz="4" w:space="0"/>
              <w:right w:val="single" w:color="auto" w:sz="4" w:space="0"/>
              <w:tl2br w:val="nil"/>
              <w:tr2bl w:val="nil"/>
            </w:tcBorders>
            <w:vAlign w:val="center"/>
          </w:tcPr>
          <w:p w14:paraId="1C0BC5AB">
            <w:pPr>
              <w:spacing w:line="200" w:lineRule="exact"/>
            </w:pPr>
            <w:r>
              <w:rPr>
                <w:rFonts w:ascii="方正黑体_GBK" w:hAnsi="方正黑体_GBK" w:eastAsia="方正黑体_GBK" w:cs="宋体"/>
                <w:sz w:val="18"/>
                <w:szCs w:val="18"/>
              </w:rPr>
              <w:t>符合相关法律法规、监管规定要求的，经销售机构的风险承受能力评估体系评定为适合的个人和机构投资者。</w:t>
            </w:r>
          </w:p>
        </w:tc>
      </w:tr>
      <w:tr w14:paraId="308D530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19" w:hRule="atLeast"/>
          <w:jc w:val="center"/>
          <w:hidden/>
        </w:trPr>
        <w:tc>
          <w:tcPr>
            <w:tcW w:w="1702" w:type="dxa"/>
            <w:tcBorders>
              <w:top w:val="single" w:color="auto" w:sz="4" w:space="0"/>
              <w:left w:val="single" w:color="auto" w:sz="4" w:space="0"/>
              <w:bottom w:val="single" w:color="auto" w:sz="4" w:space="0"/>
              <w:right w:val="single" w:color="auto" w:sz="4" w:space="0"/>
              <w:tl2br w:val="nil"/>
              <w:tr2bl w:val="nil"/>
            </w:tcBorders>
            <w:vAlign w:val="center"/>
          </w:tcPr>
          <w:p w14:paraId="6B941C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投资起点金额、递增金额</w:t>
            </w:r>
          </w:p>
        </w:tc>
        <w:tc>
          <w:tcPr>
            <w:tcW w:w="6113" w:type="dxa"/>
            <w:tcBorders>
              <w:top w:val="single" w:color="auto" w:sz="4" w:space="0"/>
              <w:left w:val="nil"/>
              <w:bottom w:val="single" w:color="auto" w:sz="4" w:space="0"/>
              <w:right w:val="single" w:color="auto" w:sz="4" w:space="0"/>
              <w:tl2br w:val="nil"/>
              <w:tr2bl w:val="nil"/>
            </w:tcBorders>
            <w:vAlign w:val="center"/>
          </w:tcPr>
          <w:p w14:paraId="36008275">
            <w:pPr>
              <w:spacing w:line="200" w:lineRule="exact"/>
            </w:pPr>
            <w:r>
              <w:rPr>
                <w:rFonts w:ascii="方正黑体_GBK" w:hAnsi="方正黑体_GBK" w:eastAsia="方正黑体_GBK" w:cs="宋体"/>
                <w:sz w:val="18"/>
                <w:szCs w:val="18"/>
              </w:rPr>
              <w:t>个人投资者投资起点金额1元人民币，以1元的整数倍递增；</w:t>
            </w:r>
          </w:p>
          <w:p w14:paraId="32070ADA">
            <w:pPr>
              <w:spacing w:line="200" w:lineRule="exact"/>
            </w:pPr>
            <w:r>
              <w:rPr>
                <w:rFonts w:ascii="方正黑体_GBK" w:hAnsi="方正黑体_GBK" w:eastAsia="方正黑体_GBK" w:cs="宋体"/>
                <w:sz w:val="18"/>
                <w:szCs w:val="18"/>
              </w:rPr>
              <w:t>机构投资者投资起点金额1元人民币，以1元的整数倍递增；</w:t>
            </w:r>
          </w:p>
          <w:p w14:paraId="2218333B">
            <w:pPr>
              <w:spacing w:line="200" w:lineRule="exact"/>
            </w:pPr>
            <w:r>
              <w:rPr>
                <w:rFonts w:ascii="方正黑体_GBK" w:hAnsi="方正黑体_GBK" w:eastAsia="方正黑体_GBK" w:cs="宋体"/>
                <w:sz w:val="18"/>
                <w:szCs w:val="18"/>
              </w:rPr>
              <w:t>后续在符合监管政策规定的条件下，理财产品管理人有权对上述投资起点金额和递增金额进行调整，并在调整日前至少3个工作日进行信息披露。</w:t>
            </w:r>
          </w:p>
          <w:p w14:paraId="7F5DE38D">
            <w:pPr>
              <w:spacing w:line="200" w:lineRule="exact"/>
            </w:pPr>
            <w:r>
              <w:rPr>
                <w:rFonts w:ascii="方正黑体_GBK" w:hAnsi="方正黑体_GBK" w:eastAsia="方正黑体_GBK" w:cs="宋体"/>
                <w:sz w:val="18"/>
                <w:szCs w:val="18"/>
              </w:rPr>
              <w:t>代销机构可根据其销售需要对投资起点金额、递增金额进行重新设定，投资者通过代销机构购买本理财产品的，以该代销机构最终披露的投资起点金额、递增金额为准。</w:t>
            </w:r>
          </w:p>
        </w:tc>
      </w:tr>
      <w:tr w14:paraId="559B490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1702" w:type="dxa"/>
            <w:tcBorders>
              <w:top w:val="single" w:color="auto" w:sz="4" w:space="0"/>
              <w:left w:val="single" w:color="auto" w:sz="4" w:space="0"/>
              <w:bottom w:val="single" w:color="auto" w:sz="4" w:space="0"/>
              <w:right w:val="single" w:color="auto" w:sz="4" w:space="0"/>
              <w:tl2br w:val="nil"/>
              <w:tr2bl w:val="nil"/>
            </w:tcBorders>
            <w:vAlign w:val="center"/>
          </w:tcPr>
          <w:p w14:paraId="0228ACA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s="Times New Roman"/>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单一投资者持有比例上限</w:t>
            </w:r>
          </w:p>
        </w:tc>
        <w:tc>
          <w:tcPr>
            <w:tcW w:w="6113" w:type="dxa"/>
            <w:tcBorders>
              <w:top w:val="single" w:color="auto" w:sz="4" w:space="0"/>
              <w:left w:val="nil"/>
              <w:bottom w:val="single" w:color="auto" w:sz="4" w:space="0"/>
              <w:right w:val="single" w:color="auto" w:sz="4" w:space="0"/>
              <w:tl2br w:val="nil"/>
              <w:tr2bl w:val="nil"/>
            </w:tcBorders>
            <w:vAlign w:val="center"/>
          </w:tcPr>
          <w:p w14:paraId="435016B6">
            <w:pPr>
              <w:spacing w:line="200" w:lineRule="exact"/>
              <w:jc w:val="left"/>
            </w:pPr>
            <w:r>
              <w:rPr>
                <w:rFonts w:ascii="方正黑体_GBK" w:hAnsi="方正黑体_GBK" w:eastAsia="方正黑体_GBK" w:cs="宋体"/>
                <w:sz w:val="18"/>
                <w:szCs w:val="18"/>
              </w:rPr>
              <w:t>本理财产品单一投资者持有的份额（含已确认和待确认的份额）不得超过本理财产品总份额的50%，管理人有权拒绝导致投资者持有份额突破前述50%比例限制的认申购申请。</w:t>
            </w:r>
          </w:p>
          <w:p w14:paraId="2783F222">
            <w:pPr>
              <w:spacing w:line="200" w:lineRule="exact"/>
              <w:jc w:val="left"/>
            </w:pPr>
            <w:r>
              <w:rPr>
                <w:rFonts w:ascii="方正黑体_GBK" w:hAnsi="方正黑体_GBK" w:eastAsia="方正黑体_GBK" w:cs="宋体"/>
                <w:sz w:val="18"/>
                <w:szCs w:val="18"/>
              </w:rPr>
              <w:t>非因管理人主观因素导致突破上述50%比例限制的，在单一投资者持有比例降至50%以下之前，管理人不再接受该投资者对本理财产品的认申购申请。</w:t>
            </w:r>
          </w:p>
        </w:tc>
      </w:tr>
      <w:tr w14:paraId="1A75F6B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1702" w:type="dxa"/>
            <w:tcBorders>
              <w:top w:val="single" w:color="auto" w:sz="4" w:space="0"/>
              <w:left w:val="single" w:color="auto" w:sz="4" w:space="0"/>
              <w:bottom w:val="single" w:color="auto" w:sz="4" w:space="0"/>
              <w:right w:val="single" w:color="auto" w:sz="4" w:space="0"/>
              <w:tl2br w:val="nil"/>
              <w:tr2bl w:val="nil"/>
            </w:tcBorders>
            <w:vAlign w:val="center"/>
          </w:tcPr>
          <w:p w14:paraId="47018A8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募集期</w:t>
            </w:r>
          </w:p>
        </w:tc>
        <w:tc>
          <w:tcPr>
            <w:tcW w:w="6113" w:type="dxa"/>
            <w:tcBorders>
              <w:top w:val="single" w:color="auto" w:sz="4" w:space="0"/>
              <w:left w:val="nil"/>
              <w:bottom w:val="single" w:color="auto" w:sz="4" w:space="0"/>
              <w:right w:val="single" w:color="auto" w:sz="4" w:space="0"/>
              <w:tl2br w:val="nil"/>
              <w:tr2bl w:val="nil"/>
            </w:tcBorders>
            <w:vAlign w:val="center"/>
          </w:tcPr>
          <w:p w14:paraId="09BA2FAC">
            <w:pPr>
              <w:spacing w:line="200" w:lineRule="exact"/>
            </w:pPr>
            <w:r>
              <w:rPr>
                <w:rFonts w:ascii="方正黑体_GBK" w:hAnsi="方正黑体_GBK" w:eastAsia="方正黑体_GBK" w:cs="宋体"/>
                <w:color w:val="000000"/>
                <w:sz w:val="18"/>
                <w:szCs w:val="18"/>
              </w:rPr>
              <w:t>2025年01月09日 09:00—2025年01月15日 17:00（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14:paraId="1953BE6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1702" w:type="dxa"/>
            <w:tcBorders>
              <w:top w:val="single" w:color="auto" w:sz="4" w:space="0"/>
              <w:left w:val="single" w:color="auto" w:sz="4" w:space="0"/>
              <w:bottom w:val="single" w:color="auto" w:sz="4" w:space="0"/>
              <w:right w:val="single" w:color="auto" w:sz="4" w:space="0"/>
              <w:tl2br w:val="nil"/>
              <w:tr2bl w:val="nil"/>
            </w:tcBorders>
            <w:vAlign w:val="center"/>
          </w:tcPr>
          <w:p w14:paraId="15381ED0">
            <w:pPr>
              <w:keepNext w:val="0"/>
              <w:keepLines w:val="0"/>
              <w:pageBreakBefore w:val="0"/>
              <w:widowControl/>
              <w:suppressLineNumbers w:val="0"/>
              <w:suppressAutoHyphens w:val="0"/>
              <w:spacing w:line="200" w:lineRule="exact"/>
              <w:jc w:val="left"/>
              <w:rPr>
                <w:rFonts w:ascii="方正黑体_GBK" w:hAnsi="方正黑体_GBK" w:eastAsia="方正黑体_GBK"/>
                <w:caps w:val="0"/>
                <w:smallCaps w:val="0"/>
                <w:snapToGrid/>
                <w:vanish w:val="0"/>
                <w:color w:val="auto"/>
                <w:kern w:val="0"/>
                <w:sz w:val="18"/>
                <w:szCs w:val="18"/>
                <w:vertAlign w:val="baseline"/>
              </w:rPr>
            </w:pPr>
            <w:r>
              <w:rPr>
                <w:rFonts w:ascii="方正黑体_GBK" w:hAnsi="方正黑体_GBK" w:eastAsia="方正黑体_GBK"/>
                <w:caps w:val="0"/>
                <w:smallCaps w:val="0"/>
                <w:snapToGrid/>
                <w:vanish w:val="0"/>
                <w:color w:val="auto"/>
                <w:kern w:val="0"/>
                <w:sz w:val="18"/>
                <w:szCs w:val="18"/>
                <w:vertAlign w:val="baseline"/>
              </w:rPr>
              <w:t>认购份额计算</w:t>
            </w:r>
          </w:p>
        </w:tc>
        <w:tc>
          <w:tcPr>
            <w:tcW w:w="6113" w:type="dxa"/>
            <w:tcBorders>
              <w:top w:val="single" w:color="auto" w:sz="4" w:space="0"/>
              <w:left w:val="nil"/>
              <w:bottom w:val="single" w:color="auto" w:sz="4" w:space="0"/>
              <w:right w:val="single" w:color="auto" w:sz="4" w:space="0"/>
              <w:tl2br w:val="nil"/>
              <w:tr2bl w:val="nil"/>
            </w:tcBorders>
            <w:vAlign w:val="center"/>
          </w:tcPr>
          <w:p w14:paraId="023248F2">
            <w:pPr>
              <w:spacing w:line="200" w:lineRule="exact"/>
            </w:pPr>
            <w:r>
              <w:rPr>
                <w:rFonts w:ascii="方正黑体_GBK" w:hAnsi="方正黑体_GBK" w:eastAsia="方正黑体_GBK" w:cs="宋体"/>
                <w:sz w:val="18"/>
                <w:szCs w:val="18"/>
              </w:rPr>
              <w:t>认购份额=确认认购金额/1。（认购份额以去尾法保留两位小数）</w:t>
            </w:r>
          </w:p>
        </w:tc>
      </w:tr>
      <w:tr w14:paraId="4BCC951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1702" w:type="dxa"/>
            <w:tcBorders>
              <w:top w:val="single" w:color="auto" w:sz="4" w:space="0"/>
              <w:left w:val="single" w:color="auto" w:sz="4" w:space="0"/>
              <w:bottom w:val="single" w:color="auto" w:sz="4" w:space="0"/>
              <w:right w:val="single" w:color="auto" w:sz="4" w:space="0"/>
              <w:tl2br w:val="nil"/>
              <w:tr2bl w:val="nil"/>
            </w:tcBorders>
            <w:vAlign w:val="center"/>
          </w:tcPr>
          <w:p w14:paraId="61B1F68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理财封闭期</w:t>
            </w:r>
          </w:p>
        </w:tc>
        <w:tc>
          <w:tcPr>
            <w:tcW w:w="6113" w:type="dxa"/>
            <w:tcBorders>
              <w:top w:val="single" w:color="auto" w:sz="4" w:space="0"/>
              <w:left w:val="nil"/>
              <w:bottom w:val="single" w:color="auto" w:sz="4" w:space="0"/>
              <w:right w:val="single" w:color="auto" w:sz="4" w:space="0"/>
              <w:tl2br w:val="nil"/>
              <w:tr2bl w:val="nil"/>
            </w:tcBorders>
            <w:vAlign w:val="center"/>
          </w:tcPr>
          <w:p w14:paraId="34248620">
            <w:pPr>
              <w:spacing w:line="200" w:lineRule="exact"/>
            </w:pPr>
            <w:r>
              <w:rPr>
                <w:rFonts w:ascii="方正黑体_GBK" w:hAnsi="方正黑体_GBK" w:eastAsia="方正黑体_GBK" w:cs="宋体"/>
                <w:sz w:val="18"/>
                <w:szCs w:val="18"/>
              </w:rPr>
              <w:t>本理财产品每期封闭期为一年，当期封闭期起止时间以公告为准。</w:t>
            </w:r>
          </w:p>
        </w:tc>
      </w:tr>
      <w:tr w14:paraId="059DA6F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1702" w:type="dxa"/>
            <w:tcBorders>
              <w:top w:val="single" w:color="auto" w:sz="4" w:space="0"/>
              <w:left w:val="single" w:color="auto" w:sz="4" w:space="0"/>
              <w:bottom w:val="single" w:color="auto" w:sz="4" w:space="0"/>
              <w:right w:val="single" w:color="auto" w:sz="4" w:space="0"/>
              <w:tl2br w:val="nil"/>
              <w:tr2bl w:val="nil"/>
            </w:tcBorders>
            <w:vAlign w:val="center"/>
          </w:tcPr>
          <w:p w14:paraId="702EA99C">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认购确认日</w:t>
            </w:r>
          </w:p>
        </w:tc>
        <w:tc>
          <w:tcPr>
            <w:tcW w:w="6113" w:type="dxa"/>
            <w:tcBorders>
              <w:top w:val="single" w:color="auto" w:sz="4" w:space="0"/>
              <w:left w:val="nil"/>
              <w:bottom w:val="single" w:color="auto" w:sz="4" w:space="0"/>
              <w:right w:val="single" w:color="auto" w:sz="4" w:space="0"/>
              <w:tl2br w:val="nil"/>
              <w:tr2bl w:val="nil"/>
            </w:tcBorders>
            <w:vAlign w:val="center"/>
          </w:tcPr>
          <w:p w14:paraId="60E8E693">
            <w:pPr>
              <w:keepNext w:val="0"/>
              <w:keepLines w:val="0"/>
              <w:pageBreakBefore w:val="0"/>
              <w:widowControl w:val="0"/>
              <w:suppressLineNumbers w:val="0"/>
              <w:suppressAutoHyphens w:val="0"/>
              <w:kinsoku/>
              <w:wordWrap/>
              <w:overflowPunct/>
              <w:topLinePunct w:val="0"/>
              <w:autoSpaceDE/>
              <w:autoSpaceDN/>
              <w:bidi w:val="0"/>
              <w:adjustRightInd/>
              <w:snapToGrid/>
              <w:spacing w:line="200" w:lineRule="exact"/>
              <w:contextualSpacing w:val="0"/>
              <w:rPr>
                <w:rFonts w:ascii="方正黑体_GBK" w:hAnsi="方正黑体_GBK" w:eastAsia="方正黑体_GBK"/>
                <w:color w:val="000000"/>
                <w:kern w:val="0"/>
                <w:sz w:val="18"/>
                <w:szCs w:val="18"/>
              </w:rPr>
            </w:pPr>
            <w:r>
              <w:rPr>
                <w:rFonts w:hint="eastAsia" w:ascii="方正黑体_GBK" w:hAnsi="方正黑体_GBK" w:eastAsia="方正黑体_GBK"/>
                <w:color w:val="000000"/>
                <w:kern w:val="0"/>
                <w:sz w:val="18"/>
                <w:szCs w:val="18"/>
              </w:rPr>
              <w:t>同产品成立日</w:t>
            </w:r>
          </w:p>
        </w:tc>
      </w:tr>
      <w:tr w14:paraId="26378DB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14" w:hRule="atLeast"/>
          <w:jc w:val="center"/>
          <w:hidden/>
        </w:trPr>
        <w:tc>
          <w:tcPr>
            <w:tcW w:w="1702" w:type="dxa"/>
            <w:tcBorders>
              <w:top w:val="single" w:color="auto" w:sz="4" w:space="0"/>
              <w:left w:val="single" w:color="auto" w:sz="4" w:space="0"/>
              <w:bottom w:val="single" w:color="auto" w:sz="4" w:space="0"/>
              <w:right w:val="single" w:color="auto" w:sz="4" w:space="0"/>
              <w:tl2br w:val="nil"/>
              <w:tr2bl w:val="nil"/>
            </w:tcBorders>
            <w:vAlign w:val="center"/>
          </w:tcPr>
          <w:p w14:paraId="0AAB2F1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产品成立日</w:t>
            </w:r>
          </w:p>
        </w:tc>
        <w:tc>
          <w:tcPr>
            <w:tcW w:w="6113" w:type="dxa"/>
            <w:tcBorders>
              <w:top w:val="single" w:color="auto" w:sz="4" w:space="0"/>
              <w:left w:val="nil"/>
              <w:bottom w:val="single" w:color="auto" w:sz="4" w:space="0"/>
              <w:right w:val="single" w:color="auto" w:sz="4" w:space="0"/>
              <w:tl2br w:val="nil"/>
              <w:tr2bl w:val="nil"/>
            </w:tcBorders>
            <w:vAlign w:val="center"/>
          </w:tcPr>
          <w:p w14:paraId="57AC46E9">
            <w:pPr>
              <w:keepNext w:val="0"/>
              <w:keepLines w:val="0"/>
              <w:pageBreakBefore w:val="0"/>
              <w:widowControl w:val="0"/>
              <w:suppressLineNumbers w:val="0"/>
              <w:suppressAutoHyphens w:val="0"/>
              <w:kinsoku/>
              <w:wordWrap/>
              <w:overflowPunct/>
              <w:topLinePunct w:val="0"/>
              <w:autoSpaceDE/>
              <w:autoSpaceDN/>
              <w:bidi w:val="0"/>
              <w:adjustRightInd/>
              <w:snapToGrid/>
              <w:spacing w:line="200" w:lineRule="exact"/>
              <w:contextualSpacing w:val="0"/>
            </w:pPr>
            <w:r>
              <w:rPr>
                <w:rFonts w:hint="eastAsia" w:ascii="方正黑体_GBK" w:hAnsi="方正黑体_GBK" w:eastAsia="方正黑体_GBK"/>
                <w:kern w:val="0"/>
                <w:sz w:val="18"/>
                <w:szCs w:val="18"/>
              </w:rPr>
              <w:t>2025年01月16日</w:t>
            </w:r>
          </w:p>
        </w:tc>
      </w:tr>
      <w:tr w14:paraId="6329B04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1702" w:type="dxa"/>
            <w:tcBorders>
              <w:top w:val="single" w:color="auto" w:sz="4" w:space="0"/>
              <w:left w:val="single" w:color="auto" w:sz="4" w:space="0"/>
              <w:bottom w:val="single" w:color="auto" w:sz="4" w:space="0"/>
              <w:right w:val="single" w:color="auto" w:sz="4" w:space="0"/>
              <w:tl2br w:val="nil"/>
              <w:tr2bl w:val="nil"/>
            </w:tcBorders>
            <w:vAlign w:val="center"/>
          </w:tcPr>
          <w:p w14:paraId="32CC74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产品存续期</w:t>
            </w:r>
          </w:p>
        </w:tc>
        <w:tc>
          <w:tcPr>
            <w:tcW w:w="6113" w:type="dxa"/>
            <w:tcBorders>
              <w:top w:val="single" w:color="auto" w:sz="4" w:space="0"/>
              <w:left w:val="nil"/>
              <w:bottom w:val="single" w:color="auto" w:sz="4" w:space="0"/>
              <w:right w:val="single" w:color="auto" w:sz="4" w:space="0"/>
              <w:tl2br w:val="nil"/>
              <w:tr2bl w:val="nil"/>
            </w:tcBorders>
            <w:vAlign w:val="center"/>
          </w:tcPr>
          <w:p w14:paraId="6B24B7B5">
            <w:pPr>
              <w:spacing w:line="200" w:lineRule="exact"/>
            </w:pPr>
            <w:r>
              <w:rPr>
                <w:rFonts w:ascii="方正黑体_GBK" w:hAnsi="方正黑体_GBK" w:eastAsia="方正黑体_GBK" w:cs="宋体"/>
                <w:sz w:val="18"/>
                <w:szCs w:val="18"/>
              </w:rPr>
              <w:t>2025年01月16日—实际到期日（若本理财产品未被提前终止或延期终止，则实际到期日即为名义到期日，存续期限10年；若本理财产品被提前终止或延期终止，则实际到期日为提前终止日或延期终止日。</w:t>
            </w:r>
            <w:r>
              <w:rPr>
                <w:rFonts w:ascii="方正黑体_GBK" w:hAnsi="方正黑体_GBK" w:eastAsia="方正黑体_GBK" w:cs="宋体"/>
                <w:b/>
                <w:sz w:val="18"/>
                <w:szCs w:val="18"/>
              </w:rPr>
              <w:t>理财产品管理人有权根据市场变化情况调整产品存续期，届时管理人将调整相关日期并进行信息披露。）</w:t>
            </w:r>
          </w:p>
        </w:tc>
      </w:tr>
      <w:tr w14:paraId="1817FCE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525" w:hRule="atLeast"/>
          <w:jc w:val="center"/>
          <w:hidden/>
        </w:trPr>
        <w:tc>
          <w:tcPr>
            <w:tcW w:w="1702" w:type="dxa"/>
            <w:tcBorders>
              <w:top w:val="single" w:color="auto" w:sz="4" w:space="0"/>
              <w:left w:val="single" w:color="auto" w:sz="4" w:space="0"/>
              <w:bottom w:val="single" w:color="auto" w:sz="4" w:space="0"/>
              <w:right w:val="single" w:color="auto" w:sz="4" w:space="0"/>
              <w:tl2br w:val="nil"/>
              <w:tr2bl w:val="nil"/>
            </w:tcBorders>
            <w:vAlign w:val="center"/>
          </w:tcPr>
          <w:p w14:paraId="76680D0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名义到期日</w:t>
            </w:r>
          </w:p>
        </w:tc>
        <w:tc>
          <w:tcPr>
            <w:tcW w:w="6113" w:type="dxa"/>
            <w:tcBorders>
              <w:top w:val="single" w:color="auto" w:sz="4" w:space="0"/>
              <w:left w:val="nil"/>
              <w:bottom w:val="single" w:color="auto" w:sz="4" w:space="0"/>
              <w:right w:val="single" w:color="auto" w:sz="4" w:space="0"/>
              <w:tl2br w:val="nil"/>
              <w:tr2bl w:val="nil"/>
            </w:tcBorders>
            <w:vAlign w:val="center"/>
          </w:tcPr>
          <w:p w14:paraId="68CAF5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2035年12月28日</w:t>
            </w:r>
            <w:r>
              <w:rPr>
                <w:rFonts w:hint="eastAsia" w:ascii="方正黑体_GBK" w:hAnsi="方正黑体_GBK" w:eastAsia="方正黑体_GBK" w:cs="Times New Roman"/>
                <w:b/>
                <w:bCs/>
                <w:caps w:val="0"/>
                <w:smallCaps w:val="0"/>
                <w:snapToGrid/>
                <w:vanish w:val="0"/>
                <w:color w:val="auto"/>
                <w:kern w:val="0"/>
                <w:sz w:val="18"/>
                <w:szCs w:val="18"/>
                <w:vertAlign w:val="baseline"/>
              </w:rPr>
              <w:t>（如遇国家法定节假日，管理人可结合国家法定节假日安排进行调整，并进行</w:t>
            </w:r>
            <w:r>
              <w:rPr>
                <w:rFonts w:hint="eastAsia" w:ascii="方正黑体_GBK" w:hAnsi="方正黑体_GBK" w:eastAsia="方正黑体_GBK"/>
                <w:b/>
                <w:bCs/>
                <w:caps w:val="0"/>
                <w:smallCaps w:val="0"/>
                <w:snapToGrid/>
                <w:vanish w:val="0"/>
                <w:color w:val="auto"/>
                <w:kern w:val="0"/>
                <w:sz w:val="18"/>
                <w:szCs w:val="18"/>
                <w:vertAlign w:val="baseline"/>
              </w:rPr>
              <w:t>信息披露</w:t>
            </w:r>
            <w:r>
              <w:rPr>
                <w:rFonts w:hint="eastAsia" w:ascii="方正黑体_GBK" w:hAnsi="方正黑体_GBK" w:eastAsia="方正黑体_GBK" w:cs="Times New Roman"/>
                <w:b/>
                <w:bCs/>
                <w:caps w:val="0"/>
                <w:smallCaps w:val="0"/>
                <w:snapToGrid/>
                <w:vanish w:val="0"/>
                <w:color w:val="auto"/>
                <w:kern w:val="0"/>
                <w:sz w:val="18"/>
                <w:szCs w:val="18"/>
                <w:vertAlign w:val="baseline"/>
              </w:rPr>
              <w:t>）</w:t>
            </w:r>
          </w:p>
        </w:tc>
      </w:tr>
      <w:tr w14:paraId="6150634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4" w:hRule="atLeast"/>
          <w:jc w:val="center"/>
          <w:hidden/>
        </w:trPr>
        <w:tc>
          <w:tcPr>
            <w:tcW w:w="1702" w:type="dxa"/>
            <w:tcBorders>
              <w:top w:val="single" w:color="auto" w:sz="4" w:space="0"/>
              <w:left w:val="single" w:color="auto" w:sz="4" w:space="0"/>
              <w:bottom w:val="single" w:color="auto" w:sz="4" w:space="0"/>
              <w:right w:val="single" w:color="auto" w:sz="4" w:space="0"/>
              <w:tl2br w:val="nil"/>
              <w:tr2bl w:val="nil"/>
            </w:tcBorders>
            <w:vAlign w:val="center"/>
          </w:tcPr>
          <w:p w14:paraId="30756EEA">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s="Times New Roman"/>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申购开放日和确认日</w:t>
            </w:r>
          </w:p>
        </w:tc>
        <w:tc>
          <w:tcPr>
            <w:tcW w:w="6113" w:type="dxa"/>
            <w:tcBorders>
              <w:top w:val="single" w:color="auto" w:sz="4" w:space="0"/>
              <w:left w:val="nil"/>
              <w:bottom w:val="single" w:color="auto" w:sz="4" w:space="0"/>
              <w:right w:val="single" w:color="auto" w:sz="4" w:space="0"/>
              <w:tl2br w:val="nil"/>
              <w:tr2bl w:val="nil"/>
            </w:tcBorders>
            <w:vAlign w:val="center"/>
          </w:tcPr>
          <w:p w14:paraId="7A540A44">
            <w:pPr>
              <w:spacing w:line="200" w:lineRule="exact"/>
            </w:pPr>
            <w:r>
              <w:rPr>
                <w:rFonts w:ascii="方正黑体_GBK" w:hAnsi="方正黑体_GBK" w:eastAsia="方正黑体_GBK" w:cs="宋体"/>
                <w:sz w:val="18"/>
                <w:szCs w:val="18"/>
              </w:rPr>
              <w:t>本理财产品存续期内按每一年开放申购，如遇节假日调整，申购开放日和申购确认日以公告为准。</w:t>
            </w:r>
          </w:p>
        </w:tc>
      </w:tr>
      <w:tr w14:paraId="621C8D4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69" w:hRule="atLeast"/>
          <w:jc w:val="center"/>
          <w:hidden/>
        </w:trPr>
        <w:tc>
          <w:tcPr>
            <w:tcW w:w="1702" w:type="dxa"/>
            <w:tcBorders>
              <w:top w:val="single" w:color="auto" w:sz="4" w:space="0"/>
              <w:left w:val="single" w:color="auto" w:sz="4" w:space="0"/>
              <w:bottom w:val="single" w:color="auto" w:sz="4" w:space="0"/>
              <w:right w:val="single" w:color="auto" w:sz="4" w:space="0"/>
              <w:tl2br w:val="nil"/>
              <w:tr2bl w:val="nil"/>
            </w:tcBorders>
            <w:vAlign w:val="center"/>
          </w:tcPr>
          <w:p w14:paraId="1EE633C5">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s="Times New Roman"/>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赎回开放日和确认日</w:t>
            </w:r>
          </w:p>
        </w:tc>
        <w:tc>
          <w:tcPr>
            <w:tcW w:w="6113" w:type="dxa"/>
            <w:tcBorders>
              <w:top w:val="single" w:color="auto" w:sz="4" w:space="0"/>
              <w:left w:val="nil"/>
              <w:bottom w:val="single" w:color="auto" w:sz="4" w:space="0"/>
              <w:right w:val="single" w:color="auto" w:sz="4" w:space="0"/>
              <w:tl2br w:val="nil"/>
              <w:tr2bl w:val="nil"/>
            </w:tcBorders>
            <w:vAlign w:val="center"/>
          </w:tcPr>
          <w:p w14:paraId="200014F4">
            <w:pPr>
              <w:spacing w:line="200" w:lineRule="exact"/>
            </w:pPr>
            <w:r>
              <w:rPr>
                <w:rFonts w:ascii="方正黑体_GBK" w:hAnsi="方正黑体_GBK" w:eastAsia="方正黑体_GBK" w:cs="宋体"/>
                <w:sz w:val="18"/>
                <w:szCs w:val="18"/>
              </w:rPr>
              <w:t>本理财产品存续期内按每一年开放赎回，如遇节假日调整，赎回开放日和赎回确认日以公告为准，投资者可提交赎回申请，系统不自动赎回。产品终止时，产品将对所有份额进行强制赎回。</w:t>
            </w:r>
          </w:p>
        </w:tc>
      </w:tr>
      <w:tr w14:paraId="4D3F0C6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4" w:hRule="atLeast"/>
          <w:jc w:val="center"/>
          <w:hidden/>
        </w:trPr>
        <w:tc>
          <w:tcPr>
            <w:tcW w:w="1702" w:type="dxa"/>
            <w:tcBorders>
              <w:top w:val="single" w:color="auto" w:sz="4" w:space="0"/>
              <w:left w:val="single" w:color="auto" w:sz="4" w:space="0"/>
              <w:bottom w:val="single" w:color="auto" w:sz="4" w:space="0"/>
              <w:right w:val="single" w:color="auto" w:sz="4" w:space="0"/>
              <w:tl2br w:val="nil"/>
              <w:tr2bl w:val="nil"/>
            </w:tcBorders>
            <w:vAlign w:val="center"/>
          </w:tcPr>
          <w:p w14:paraId="39A4F92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申购/赎回时间</w:t>
            </w:r>
          </w:p>
        </w:tc>
        <w:tc>
          <w:tcPr>
            <w:tcW w:w="6113" w:type="dxa"/>
            <w:tcBorders>
              <w:top w:val="single" w:color="auto" w:sz="4" w:space="0"/>
              <w:left w:val="nil"/>
              <w:bottom w:val="single" w:color="auto" w:sz="4" w:space="0"/>
              <w:right w:val="single" w:color="auto" w:sz="4" w:space="0"/>
              <w:tl2br w:val="nil"/>
              <w:tr2bl w:val="nil"/>
            </w:tcBorders>
            <w:vAlign w:val="center"/>
          </w:tcPr>
          <w:p w14:paraId="6713E9A6">
            <w:pPr>
              <w:spacing w:line="200" w:lineRule="exact"/>
              <w:jc w:val="left"/>
            </w:pPr>
            <w:r>
              <w:rPr>
                <w:rFonts w:ascii="方正黑体_GBK" w:hAnsi="方正黑体_GBK" w:eastAsia="方正黑体_GBK" w:cs="宋体"/>
                <w:sz w:val="18"/>
                <w:szCs w:val="18"/>
              </w:rPr>
              <w:t>申购时间：申购开放期首日9：00-申购开放期末日17：00。</w:t>
            </w:r>
          </w:p>
          <w:p w14:paraId="3F52BB83">
            <w:pPr>
              <w:spacing w:line="200" w:lineRule="exact"/>
              <w:jc w:val="left"/>
            </w:pPr>
            <w:r>
              <w:rPr>
                <w:rFonts w:ascii="方正黑体_GBK" w:hAnsi="方正黑体_GBK" w:eastAsia="方正黑体_GBK" w:cs="宋体"/>
                <w:sz w:val="18"/>
                <w:szCs w:val="18"/>
              </w:rPr>
              <w:t>赎回时间：赎回开放期首日9：00-赎回开放期末日17：00。</w:t>
            </w:r>
          </w:p>
          <w:p w14:paraId="2D03B3AF">
            <w:pPr>
              <w:spacing w:line="200" w:lineRule="exact"/>
              <w:jc w:val="left"/>
            </w:pPr>
            <w:r>
              <w:rPr>
                <w:rFonts w:ascii="方正黑体_GBK" w:hAnsi="方正黑体_GBK" w:eastAsia="方正黑体_GBK" w:cs="宋体"/>
                <w:sz w:val="18"/>
                <w:szCs w:val="18"/>
              </w:rPr>
              <w:t>申购/赎回开放日和确认日另行公告。</w:t>
            </w:r>
          </w:p>
          <w:p w14:paraId="14C8D2C6">
            <w:pPr>
              <w:spacing w:line="200" w:lineRule="exact"/>
            </w:pPr>
            <w:r>
              <w:rPr>
                <w:rFonts w:ascii="方正黑体_GBK" w:hAnsi="方正黑体_GBK" w:eastAsia="方正黑体_GBK" w:cs="宋体"/>
                <w:sz w:val="18"/>
                <w:szCs w:val="18"/>
              </w:rPr>
              <w:t>在销售机构支持的前提下，申购/赎回开放期末日17:00前可以撤销申购/赎回申请。</w:t>
            </w:r>
          </w:p>
          <w:p w14:paraId="3473EABF">
            <w:pPr>
              <w:spacing w:line="200" w:lineRule="exact"/>
            </w:pPr>
            <w:r>
              <w:rPr>
                <w:rFonts w:ascii="方正黑体_GBK" w:hAnsi="方正黑体_GBK" w:eastAsia="方正黑体_GBK" w:cs="宋体"/>
                <w:sz w:val="18"/>
                <w:szCs w:val="18"/>
              </w:rPr>
              <w:t>代销机构可根据其销售需要在管理人设定的申购/赎回时间范围内对申购/赎回时间进行重新设定，投资者通过代销机构购买本理财产品的，以该代销机构最终披露的时间为准。</w:t>
            </w:r>
          </w:p>
        </w:tc>
      </w:tr>
      <w:tr w14:paraId="7AFDA7A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84" w:hRule="atLeast"/>
          <w:jc w:val="center"/>
          <w:hidden/>
        </w:trPr>
        <w:tc>
          <w:tcPr>
            <w:tcW w:w="1702" w:type="dxa"/>
            <w:tcBorders>
              <w:top w:val="single" w:color="auto" w:sz="4" w:space="0"/>
              <w:left w:val="single" w:color="auto" w:sz="4" w:space="0"/>
              <w:bottom w:val="single" w:color="auto" w:sz="4" w:space="0"/>
              <w:right w:val="single" w:color="auto" w:sz="4" w:space="0"/>
              <w:tl2br w:val="nil"/>
              <w:tr2bl w:val="nil"/>
            </w:tcBorders>
            <w:vAlign w:val="center"/>
          </w:tcPr>
          <w:p w14:paraId="3AA1EC9C">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申购</w:t>
            </w:r>
            <w:r>
              <w:rPr>
                <w:rFonts w:hint="eastAsia" w:ascii="方正黑体_GBK" w:hAnsi="方正黑体_GBK" w:eastAsia="方正黑体_GBK"/>
                <w:caps w:val="0"/>
                <w:smallCaps w:val="0"/>
                <w:snapToGrid/>
                <w:vanish w:val="0"/>
                <w:color w:val="auto"/>
                <w:kern w:val="0"/>
                <w:sz w:val="18"/>
                <w:szCs w:val="18"/>
                <w:vertAlign w:val="baseline"/>
              </w:rPr>
              <w:t>份额计算</w:t>
            </w:r>
          </w:p>
        </w:tc>
        <w:tc>
          <w:tcPr>
            <w:tcW w:w="6113" w:type="dxa"/>
            <w:tcBorders>
              <w:top w:val="single" w:color="auto" w:sz="4" w:space="0"/>
              <w:left w:val="nil"/>
              <w:bottom w:val="single" w:color="auto" w:sz="4" w:space="0"/>
              <w:right w:val="single" w:color="auto" w:sz="4" w:space="0"/>
              <w:tl2br w:val="nil"/>
              <w:tr2bl w:val="nil"/>
            </w:tcBorders>
            <w:vAlign w:val="center"/>
          </w:tcPr>
          <w:p w14:paraId="50ED9FAF">
            <w:pPr>
              <w:spacing w:line="200" w:lineRule="exact"/>
            </w:pPr>
            <w:r>
              <w:rPr>
                <w:rFonts w:ascii="方正黑体_GBK" w:hAnsi="方正黑体_GBK" w:eastAsia="方正黑体_GBK" w:cs="宋体"/>
                <w:sz w:val="18"/>
                <w:szCs w:val="18"/>
              </w:rPr>
              <w:t>申购份额=确认申购金额/S。S为申购确认日理财产品单位净值（已扣除相关费用）。申购份额以去尾法保留两位小数。</w:t>
            </w:r>
          </w:p>
        </w:tc>
      </w:tr>
      <w:tr w14:paraId="1C234E9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14" w:hRule="atLeast"/>
          <w:jc w:val="center"/>
          <w:hidden/>
        </w:trPr>
        <w:tc>
          <w:tcPr>
            <w:tcW w:w="1702" w:type="dxa"/>
            <w:tcBorders>
              <w:top w:val="single" w:color="auto" w:sz="4" w:space="0"/>
              <w:left w:val="single" w:color="auto" w:sz="4" w:space="0"/>
              <w:bottom w:val="single" w:color="auto" w:sz="4" w:space="0"/>
              <w:right w:val="single" w:color="auto" w:sz="4" w:space="0"/>
              <w:tl2br w:val="nil"/>
              <w:tr2bl w:val="nil"/>
            </w:tcBorders>
            <w:vAlign w:val="center"/>
          </w:tcPr>
          <w:p w14:paraId="56DC35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赎回金额计算</w:t>
            </w:r>
          </w:p>
        </w:tc>
        <w:tc>
          <w:tcPr>
            <w:tcW w:w="6113" w:type="dxa"/>
            <w:tcBorders>
              <w:top w:val="single" w:color="auto" w:sz="4" w:space="0"/>
              <w:left w:val="nil"/>
              <w:bottom w:val="single" w:color="auto" w:sz="4" w:space="0"/>
              <w:right w:val="single" w:color="auto" w:sz="4" w:space="0"/>
              <w:tl2br w:val="nil"/>
              <w:tr2bl w:val="nil"/>
            </w:tcBorders>
            <w:vAlign w:val="center"/>
          </w:tcPr>
          <w:p w14:paraId="6F8B9EFE">
            <w:pPr>
              <w:spacing w:line="200" w:lineRule="exact"/>
            </w:pPr>
            <w:r>
              <w:rPr>
                <w:rFonts w:ascii="方正黑体_GBK" w:hAnsi="方正黑体_GBK" w:eastAsia="方正黑体_GBK" w:cs="宋体"/>
                <w:sz w:val="18"/>
                <w:szCs w:val="18"/>
              </w:rPr>
              <w:t>赎回金额=确认赎回份额×R。 R为赎回确认日理财产品单位净值（已扣除相关费用，赎回金额以去尾法保留两位小数）</w:t>
            </w:r>
          </w:p>
        </w:tc>
      </w:tr>
      <w:tr w14:paraId="7EA207B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trPr>
        <w:tc>
          <w:tcPr>
            <w:tcW w:w="1702" w:type="dxa"/>
            <w:tcBorders>
              <w:top w:val="single" w:color="auto" w:sz="4" w:space="0"/>
              <w:left w:val="single" w:color="auto" w:sz="4" w:space="0"/>
              <w:bottom w:val="single" w:color="auto" w:sz="4" w:space="0"/>
              <w:right w:val="single" w:color="auto" w:sz="4" w:space="0"/>
              <w:tl2br w:val="nil"/>
              <w:tr2bl w:val="nil"/>
            </w:tcBorders>
            <w:vAlign w:val="center"/>
          </w:tcPr>
          <w:p w14:paraId="60F161FA">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ind w:left="0" w:firstLine="0"/>
              <w:contextualSpacing w:val="0"/>
              <w:jc w:val="left"/>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kern w:val="0"/>
                <w:sz w:val="18"/>
                <w:szCs w:val="18"/>
              </w:rPr>
              <w:t>到期兑付金额计算</w:t>
            </w:r>
          </w:p>
        </w:tc>
        <w:tc>
          <w:tcPr>
            <w:tcW w:w="6113" w:type="dxa"/>
            <w:tcBorders>
              <w:top w:val="single" w:color="auto" w:sz="4" w:space="0"/>
              <w:left w:val="nil"/>
              <w:bottom w:val="single" w:color="auto" w:sz="4" w:space="0"/>
              <w:right w:val="single" w:color="auto" w:sz="4" w:space="0"/>
              <w:tl2br w:val="nil"/>
              <w:tr2bl w:val="nil"/>
            </w:tcBorders>
            <w:vAlign w:val="center"/>
          </w:tcPr>
          <w:p w14:paraId="462BD804">
            <w:pPr>
              <w:spacing w:line="200" w:lineRule="exact"/>
            </w:pPr>
            <w:r>
              <w:rPr>
                <w:rFonts w:ascii="方正黑体_GBK" w:hAnsi="方正黑体_GBK" w:eastAsia="方正黑体_GBK" w:cs="宋体"/>
                <w:color w:val="000000"/>
                <w:sz w:val="18"/>
                <w:szCs w:val="18"/>
              </w:rPr>
              <w:t>到期兑付金额=到期时持有份额×P。 P为期末理财产品单位净值。（已扣除相关费用，到期兑付金额以去尾法保留两位小数）</w:t>
            </w:r>
          </w:p>
        </w:tc>
      </w:tr>
      <w:tr w14:paraId="00F2D3E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1702" w:type="dxa"/>
            <w:tcBorders>
              <w:top w:val="single" w:color="auto" w:sz="4" w:space="0"/>
              <w:left w:val="single" w:color="auto" w:sz="4" w:space="0"/>
              <w:bottom w:val="single" w:color="auto" w:sz="4" w:space="0"/>
              <w:right w:val="single" w:color="auto" w:sz="4" w:space="0"/>
              <w:tl2br w:val="nil"/>
              <w:tr2bl w:val="nil"/>
            </w:tcBorders>
            <w:vAlign w:val="center"/>
          </w:tcPr>
          <w:p w14:paraId="214909A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收益分配</w:t>
            </w:r>
          </w:p>
        </w:tc>
        <w:tc>
          <w:tcPr>
            <w:tcW w:w="6113" w:type="dxa"/>
            <w:tcBorders>
              <w:top w:val="single" w:color="auto" w:sz="4" w:space="0"/>
              <w:left w:val="nil"/>
              <w:bottom w:val="single" w:color="auto" w:sz="4" w:space="0"/>
              <w:right w:val="single" w:color="auto" w:sz="4" w:space="0"/>
              <w:tl2br w:val="nil"/>
              <w:tr2bl w:val="nil"/>
            </w:tcBorders>
            <w:vAlign w:val="center"/>
          </w:tcPr>
          <w:p w14:paraId="45AE79C2">
            <w:pPr>
              <w:spacing w:line="200" w:lineRule="exact"/>
            </w:pPr>
            <w:r>
              <w:rPr>
                <w:rFonts w:ascii="方正黑体_GBK" w:hAnsi="方正黑体_GBK" w:eastAsia="方正黑体_GBK" w:cs="宋体"/>
                <w:sz w:val="18"/>
                <w:szCs w:val="18"/>
              </w:rPr>
              <w:t>当理财产品单位净值不低于1时，管理人可以根据实际情况进行收益分配，分配方式为现金分红，具体分配方案以信息披露为准（分配后理财产品净值不低于1）。</w:t>
            </w:r>
          </w:p>
          <w:p w14:paraId="20EC7F72">
            <w:pPr>
              <w:spacing w:line="200" w:lineRule="exact"/>
            </w:pPr>
            <w:r>
              <w:rPr>
                <w:rFonts w:ascii="方正黑体_GBK" w:hAnsi="方正黑体_GBK" w:eastAsia="方正黑体_GBK" w:cs="宋体"/>
                <w:sz w:val="18"/>
                <w:szCs w:val="18"/>
              </w:rPr>
              <w:t>产品到期后，理财产品管理人和代销机构将根据理财资金所投资资产实际运作情况向投资者分配到期款项。</w:t>
            </w:r>
          </w:p>
        </w:tc>
      </w:tr>
      <w:tr w14:paraId="5825F4F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99" w:hRule="atLeast"/>
          <w:jc w:val="center"/>
          <w:hidden/>
        </w:trPr>
        <w:tc>
          <w:tcPr>
            <w:tcW w:w="1702" w:type="dxa"/>
            <w:tcBorders>
              <w:top w:val="single" w:color="auto" w:sz="4" w:space="0"/>
              <w:left w:val="single" w:color="auto" w:sz="4" w:space="0"/>
              <w:bottom w:val="single" w:color="auto" w:sz="4" w:space="0"/>
              <w:right w:val="single" w:color="auto" w:sz="4" w:space="0"/>
              <w:tl2br w:val="nil"/>
              <w:tr2bl w:val="nil"/>
            </w:tcBorders>
            <w:vAlign w:val="center"/>
          </w:tcPr>
          <w:p w14:paraId="58E4826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资金到账日</w:t>
            </w:r>
          </w:p>
        </w:tc>
        <w:tc>
          <w:tcPr>
            <w:tcW w:w="6113" w:type="dxa"/>
            <w:tcBorders>
              <w:top w:val="single" w:color="auto" w:sz="4" w:space="0"/>
              <w:left w:val="nil"/>
              <w:bottom w:val="single" w:color="auto" w:sz="4" w:space="0"/>
              <w:right w:val="single" w:color="auto" w:sz="4" w:space="0"/>
              <w:tl2br w:val="nil"/>
              <w:tr2bl w:val="nil"/>
            </w:tcBorders>
            <w:vAlign w:val="center"/>
          </w:tcPr>
          <w:p w14:paraId="6ECD8FCF">
            <w:pPr>
              <w:spacing w:line="200" w:lineRule="exact"/>
              <w:jc w:val="left"/>
            </w:pPr>
            <w:r>
              <w:rPr>
                <w:rFonts w:ascii="方正黑体_GBK" w:hAnsi="方正黑体_GBK" w:eastAsia="方正黑体_GBK" w:cs="宋体"/>
                <w:sz w:val="18"/>
                <w:szCs w:val="18"/>
              </w:rPr>
              <w:t>赎回资金、分红资金（如有）、到期资金将于赎回确认日、分红权益登记日（如有）、实际到期日后5个工作日内划入投资者授权指定账户，赎回确认日、分红权益登记日（如有）、实际到期日后至投资者收益划到投资者授权指定账户之前不计任何收益。</w:t>
            </w:r>
          </w:p>
          <w:p w14:paraId="01EC6320">
            <w:pPr>
              <w:spacing w:line="200" w:lineRule="exact"/>
              <w:jc w:val="left"/>
            </w:pPr>
            <w:r>
              <w:rPr>
                <w:rFonts w:ascii="方正黑体_GBK" w:hAnsi="方正黑体_GBK" w:eastAsia="方正黑体_GBK" w:cs="宋体"/>
                <w:sz w:val="18"/>
                <w:szCs w:val="18"/>
              </w:rPr>
              <w:t>分红权益登记日指管理人确认投资者所持份额是否享受本次分红的日期。</w:t>
            </w:r>
          </w:p>
        </w:tc>
      </w:tr>
      <w:tr w14:paraId="0ABD81C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54" w:hRule="atLeast"/>
          <w:jc w:val="center"/>
          <w:hidden/>
        </w:trPr>
        <w:tc>
          <w:tcPr>
            <w:tcW w:w="1702" w:type="dxa"/>
            <w:tcBorders>
              <w:top w:val="single" w:color="auto" w:sz="4" w:space="0"/>
              <w:left w:val="single" w:color="auto" w:sz="4" w:space="0"/>
              <w:bottom w:val="single" w:color="auto" w:sz="4" w:space="0"/>
              <w:right w:val="single" w:color="auto" w:sz="4" w:space="0"/>
              <w:tl2br w:val="nil"/>
              <w:tr2bl w:val="nil"/>
            </w:tcBorders>
            <w:vAlign w:val="center"/>
          </w:tcPr>
          <w:p w14:paraId="2CE412A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投资范围</w:t>
            </w:r>
          </w:p>
        </w:tc>
        <w:tc>
          <w:tcPr>
            <w:tcW w:w="6113" w:type="dxa"/>
            <w:tcBorders>
              <w:top w:val="single" w:color="auto" w:sz="4" w:space="0"/>
              <w:left w:val="nil"/>
              <w:bottom w:val="single" w:color="auto" w:sz="4" w:space="0"/>
              <w:right w:val="single" w:color="auto" w:sz="4" w:space="0"/>
              <w:tl2br w:val="nil"/>
              <w:tr2bl w:val="nil"/>
            </w:tcBorders>
            <w:vAlign w:val="center"/>
          </w:tcPr>
          <w:p w14:paraId="1C09A989">
            <w:pPr>
              <w:spacing w:line="200" w:lineRule="exact"/>
              <w:jc w:val="left"/>
            </w:pPr>
            <w:r>
              <w:rPr>
                <w:rFonts w:ascii="方正黑体_GBK" w:hAnsi="方正黑体_GBK" w:eastAsia="方正黑体_GBK" w:cs="宋体"/>
                <w:sz w:val="18"/>
                <w:szCs w:val="18"/>
              </w:rPr>
              <w:t>本理财产品募集的资金投资于以下金融资产和金融工具，包括但不限于：</w:t>
            </w:r>
          </w:p>
          <w:p w14:paraId="32E680EB">
            <w:pPr>
              <w:spacing w:line="200" w:lineRule="exact"/>
              <w:jc w:val="left"/>
            </w:pPr>
            <w:r>
              <w:rPr>
                <w:rFonts w:ascii="方正黑体_GBK" w:hAnsi="方正黑体_GBK" w:eastAsia="方正黑体_GBK" w:cs="宋体"/>
                <w:sz w:val="18"/>
                <w:szCs w:val="18"/>
              </w:rPr>
              <w:t>1.现金、银行存款、银行承兑汇票、同业存款、大额存单、同业存单、债券回购、货币基金等货币市场工具；</w:t>
            </w:r>
          </w:p>
          <w:p w14:paraId="6C724671">
            <w:pPr>
              <w:spacing w:line="200" w:lineRule="exact"/>
              <w:jc w:val="left"/>
            </w:pPr>
            <w:r>
              <w:rPr>
                <w:rFonts w:ascii="方正黑体_GBK" w:hAnsi="方正黑体_GBK" w:eastAsia="方正黑体_GBK" w:cs="宋体"/>
                <w:sz w:val="18"/>
                <w:szCs w:val="18"/>
              </w:rPr>
              <w:t>2.国债、央票、企业债、金融债、政策性金融债、次级债、二级资本债、永续债、资产支持证券、资产支持票据、地方政府债、中期票据、超短期融资券、短期融资券、公司债、可转债、可交债、非公开定向债务融资工具(PPN)、公募债券型证券投资基金等标准化债权类资产；</w:t>
            </w:r>
          </w:p>
          <w:p w14:paraId="09067A03">
            <w:pPr>
              <w:spacing w:line="200" w:lineRule="exact"/>
              <w:jc w:val="left"/>
            </w:pPr>
            <w:r>
              <w:rPr>
                <w:rFonts w:ascii="方正黑体_GBK" w:hAnsi="方正黑体_GBK" w:eastAsia="方正黑体_GBK" w:cs="宋体"/>
                <w:sz w:val="18"/>
                <w:szCs w:val="18"/>
              </w:rPr>
              <w:t>3.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14:paraId="2C0DD1D9">
            <w:pPr>
              <w:spacing w:line="200" w:lineRule="exact"/>
              <w:jc w:val="left"/>
            </w:pPr>
            <w:r>
              <w:rPr>
                <w:rFonts w:ascii="方正黑体_GBK" w:hAnsi="方正黑体_GBK" w:eastAsia="方正黑体_GBK" w:cs="宋体"/>
                <w:sz w:val="18"/>
                <w:szCs w:val="18"/>
              </w:rPr>
              <w:t>4.公开募集基础设施证券投资基金等符合监管要求的公募证券投资基金；</w:t>
            </w:r>
          </w:p>
          <w:p w14:paraId="13691ECF">
            <w:pPr>
              <w:spacing w:line="200" w:lineRule="exact"/>
              <w:jc w:val="left"/>
            </w:pPr>
            <w:r>
              <w:rPr>
                <w:rFonts w:ascii="方正黑体_GBK" w:hAnsi="方正黑体_GBK" w:eastAsia="方正黑体_GBK" w:cs="宋体"/>
                <w:sz w:val="18"/>
                <w:szCs w:val="18"/>
              </w:rPr>
              <w:t>5.投资范围为上述资产的信托计划、资产管理计划等资产管理产品；</w:t>
            </w:r>
          </w:p>
          <w:p w14:paraId="76DD7359">
            <w:pPr>
              <w:spacing w:line="200" w:lineRule="exact"/>
              <w:jc w:val="left"/>
            </w:pPr>
            <w:r>
              <w:rPr>
                <w:rFonts w:ascii="方正黑体_GBK" w:hAnsi="方正黑体_GBK" w:eastAsia="方正黑体_GBK" w:cs="宋体"/>
                <w:sz w:val="18"/>
                <w:szCs w:val="18"/>
              </w:rPr>
              <w:t>6.法律法规或监管机构允许投资的符合本理财产品投资性质的其他金融工具；</w:t>
            </w:r>
          </w:p>
          <w:p w14:paraId="3DBFBEF9">
            <w:pPr>
              <w:spacing w:line="200" w:lineRule="exact"/>
              <w:jc w:val="left"/>
            </w:pPr>
            <w:r>
              <w:rPr>
                <w:rFonts w:ascii="方正黑体_GBK" w:hAnsi="方正黑体_GBK" w:eastAsia="方正黑体_GBK" w:cs="宋体"/>
                <w:sz w:val="18"/>
                <w:szCs w:val="18"/>
              </w:rPr>
              <w:t>7.如存在法律法规或监管机构以后允许投资的其他品种或法律法规或监管政策出现调整，管理人在履行本理财产品销售文件规定的适当程序后，有权调整以上品种。</w:t>
            </w:r>
          </w:p>
        </w:tc>
      </w:tr>
      <w:tr w14:paraId="522AB01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1702" w:type="dxa"/>
            <w:tcBorders>
              <w:top w:val="single" w:color="auto" w:sz="4" w:space="0"/>
              <w:left w:val="single" w:color="auto" w:sz="4" w:space="0"/>
              <w:bottom w:val="single" w:color="auto" w:sz="4" w:space="0"/>
              <w:right w:val="single" w:color="auto" w:sz="4" w:space="0"/>
              <w:tl2br w:val="nil"/>
              <w:tr2bl w:val="nil"/>
            </w:tcBorders>
            <w:vAlign w:val="center"/>
          </w:tcPr>
          <w:p w14:paraId="377FE7A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投资比例</w:t>
            </w:r>
          </w:p>
        </w:tc>
        <w:tc>
          <w:tcPr>
            <w:tcW w:w="6113" w:type="dxa"/>
            <w:tcBorders>
              <w:top w:val="single" w:color="auto" w:sz="4" w:space="0"/>
              <w:left w:val="nil"/>
              <w:bottom w:val="single" w:color="auto" w:sz="4" w:space="0"/>
              <w:right w:val="single" w:color="auto" w:sz="4" w:space="0"/>
              <w:tl2br w:val="nil"/>
              <w:tr2bl w:val="nil"/>
            </w:tcBorders>
            <w:vAlign w:val="center"/>
          </w:tcPr>
          <w:p w14:paraId="0D0228EE">
            <w:pPr>
              <w:spacing w:line="200" w:lineRule="exact"/>
            </w:pPr>
            <w:r>
              <w:rPr>
                <w:rFonts w:ascii="方正黑体_GBK" w:hAnsi="方正黑体_GBK" w:eastAsia="方正黑体_GBK" w:cs="宋体"/>
                <w:sz w:val="18"/>
                <w:szCs w:val="18"/>
              </w:rPr>
              <w:t>本理财产品投资于固定收益类资产的比例不低于80%,投资于非标准化债权类资产的比例不高于50%。</w:t>
            </w:r>
          </w:p>
          <w:p w14:paraId="757F737F">
            <w:pPr>
              <w:spacing w:line="200" w:lineRule="exact"/>
            </w:pPr>
            <w:r>
              <w:rPr>
                <w:rFonts w:ascii="方正黑体_GBK" w:hAnsi="方正黑体_GBK" w:eastAsia="方正黑体_GBK" w:cs="宋体"/>
                <w:sz w:val="18"/>
                <w:szCs w:val="18"/>
              </w:rPr>
              <w:t>注：非因管理人主观因素导致突破上述比例限制的，管理人将在流动性受限资产可出售、可转让或者恢复交易的15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14:paraId="2DE6E98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1702" w:type="dxa"/>
            <w:tcBorders>
              <w:top w:val="single" w:color="auto" w:sz="4" w:space="0"/>
              <w:left w:val="single" w:color="auto" w:sz="4" w:space="0"/>
              <w:bottom w:val="single" w:color="auto" w:sz="4" w:space="0"/>
              <w:right w:val="single" w:color="auto" w:sz="4" w:space="0"/>
              <w:tl2br w:val="nil"/>
              <w:tr2bl w:val="nil"/>
            </w:tcBorders>
            <w:vAlign w:val="center"/>
          </w:tcPr>
          <w:p w14:paraId="0F22C28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投资策略</w:t>
            </w:r>
          </w:p>
        </w:tc>
        <w:tc>
          <w:tcPr>
            <w:tcW w:w="6113" w:type="dxa"/>
            <w:tcBorders>
              <w:top w:val="single" w:color="auto" w:sz="4" w:space="0"/>
              <w:left w:val="nil"/>
              <w:bottom w:val="single" w:color="auto" w:sz="4" w:space="0"/>
              <w:right w:val="single" w:color="auto" w:sz="4" w:space="0"/>
              <w:tl2br w:val="nil"/>
              <w:tr2bl w:val="nil"/>
            </w:tcBorders>
            <w:vAlign w:val="center"/>
          </w:tcPr>
          <w:p w14:paraId="5E1C7443">
            <w:pPr>
              <w:spacing w:line="200" w:lineRule="exact"/>
            </w:pPr>
            <w:r>
              <w:rPr>
                <w:rFonts w:ascii="方正黑体_GBK" w:hAnsi="方正黑体_GBK" w:eastAsia="方正黑体_GBK" w:cs="宋体"/>
                <w:sz w:val="18"/>
                <w:szCs w:val="18"/>
              </w:rPr>
              <w:t>本产品通过对宏观经济、政策环境、市场状况和资金供求的深入分析，对所投资产行业和品种的深入分析，自上而下进行积极主动的资产配置，构建合理的投资组合方案。力争控制回撤幅度，追求稳健的投资回报。</w:t>
            </w:r>
          </w:p>
        </w:tc>
      </w:tr>
      <w:tr w14:paraId="2F47128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614" w:hRule="atLeast"/>
          <w:jc w:val="center"/>
          <w:hidden/>
        </w:trPr>
        <w:tc>
          <w:tcPr>
            <w:tcW w:w="1702" w:type="dxa"/>
            <w:tcBorders>
              <w:top w:val="single" w:color="auto" w:sz="4" w:space="0"/>
              <w:left w:val="single" w:color="auto" w:sz="4" w:space="0"/>
              <w:bottom w:val="single" w:color="auto" w:sz="4" w:space="0"/>
              <w:right w:val="single" w:color="auto" w:sz="4" w:space="0"/>
              <w:tl2br w:val="nil"/>
              <w:tr2bl w:val="nil"/>
            </w:tcBorders>
            <w:vAlign w:val="center"/>
          </w:tcPr>
          <w:p w14:paraId="79F242D2">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拟投资非标准化债权类资产</w:t>
            </w:r>
          </w:p>
        </w:tc>
        <w:tc>
          <w:tcPr>
            <w:tcW w:w="6113" w:type="dxa"/>
            <w:tcBorders>
              <w:top w:val="single" w:color="auto" w:sz="4" w:space="0"/>
              <w:left w:val="nil"/>
              <w:bottom w:val="single" w:color="auto" w:sz="4" w:space="0"/>
              <w:right w:val="single" w:color="auto" w:sz="4" w:space="0"/>
              <w:tl2br w:val="nil"/>
              <w:tr2bl w:val="nil"/>
            </w:tcBorders>
            <w:vAlign w:val="center"/>
          </w:tcPr>
          <w:p w14:paraId="61BD4006">
            <w:pPr>
              <w:spacing w:line="200" w:lineRule="exact"/>
            </w:pPr>
            <w:r>
              <w:rPr>
                <w:rFonts w:ascii="方正黑体_GBK" w:hAnsi="方正黑体_GBK" w:eastAsia="方正黑体_GBK" w:cs="宋体"/>
                <w:b/>
                <w:sz w:val="18"/>
                <w:szCs w:val="18"/>
              </w:rPr>
              <w:t>本理财产品拟投资以下备选非标准化债权类资产：</w:t>
            </w:r>
          </w:p>
          <w:p w14:paraId="07EFFDDD">
            <w:pPr>
              <w:spacing w:line="200" w:lineRule="exact"/>
            </w:pPr>
            <w:r>
              <w:rPr>
                <w:rFonts w:ascii="方正黑体_GBK" w:hAnsi="方正黑体_GBK" w:eastAsia="方正黑体_GBK" w:cs="宋体"/>
                <w:sz w:val="18"/>
                <w:szCs w:val="18"/>
              </w:rPr>
              <w:t>1、信托贷款：资产类型为信托公司设立的资金信托计划，底层资产为蚂蚁及信托公司双重审核、信托公司自主风控后发放的“花呗”消费授信付款资产，消费场景包含线上网购、线下实体店、O2O、航旅、缴费、公共出行等众多领域，资产到期日不超过理财产品到期日。</w:t>
            </w:r>
          </w:p>
          <w:p w14:paraId="2642E076">
            <w:pPr>
              <w:spacing w:line="200" w:lineRule="exact"/>
            </w:pPr>
            <w:r>
              <w:rPr>
                <w:rFonts w:ascii="方正黑体_GBK" w:hAnsi="方正黑体_GBK" w:eastAsia="方正黑体_GBK" w:cs="宋体"/>
                <w:sz w:val="18"/>
                <w:szCs w:val="18"/>
              </w:rPr>
              <w:t>2、信托贷款：资产类型为信托公司设立的资金信托计划，底层资产为抖音及信托公司双重审核、信托公司自主风控后发放的“月付”个人消费贷款债权，消费场景以线上购物为主，资产到期日不超过理财产品到期日。</w:t>
            </w:r>
          </w:p>
          <w:p w14:paraId="32313872">
            <w:pPr>
              <w:spacing w:line="200" w:lineRule="exact"/>
            </w:pPr>
            <w:r>
              <w:rPr>
                <w:rFonts w:ascii="方正黑体_GBK" w:hAnsi="方正黑体_GBK" w:eastAsia="方正黑体_GBK" w:cs="宋体"/>
                <w:sz w:val="18"/>
                <w:szCs w:val="18"/>
              </w:rPr>
              <w:t>3、资产支持计划：资产类型为保险资产管理公司设立的资产支持计划，底层资产为抖音及信托公司双重审核、信托公司自主风控后发放的“月付”个人消费贷款债权，消费场景以线上购物为主，资产到期日不超过理财产品到期日。</w:t>
            </w:r>
          </w:p>
          <w:p w14:paraId="46B7FF76">
            <w:pPr>
              <w:spacing w:line="200" w:lineRule="exact"/>
            </w:pPr>
            <w:r>
              <w:rPr>
                <w:rFonts w:ascii="方正黑体_GBK" w:hAnsi="方正黑体_GBK" w:eastAsia="方正黑体_GBK" w:cs="宋体"/>
                <w:b/>
                <w:sz w:val="18"/>
                <w:szCs w:val="18"/>
              </w:rPr>
              <w:t>以上资产剩余期限均不超过产品期限。</w:t>
            </w:r>
            <w:r>
              <w:rPr>
                <w:rFonts w:ascii="方正黑体_GBK" w:hAnsi="方正黑体_GBK" w:eastAsia="方正黑体_GBK"/>
              </w:rPr>
              <w:br w:type="textWrapping"/>
            </w:r>
            <w:r>
              <w:rPr>
                <w:rFonts w:ascii="方正黑体_GBK" w:hAnsi="方正黑体_GBK" w:eastAsia="方正黑体_GBK" w:cs="宋体"/>
                <w:b/>
                <w:sz w:val="18"/>
                <w:szCs w:val="18"/>
              </w:rPr>
              <w:t>若本理财产品投资上述备选非标准化债权类资产以外的非标准化债权类资产，管理人将优选与上述资产同类型的、符合监管要求的非标准化债权类资产，履行内部严格的审批流程，并在本理财产品的定期报告中进行信息披露。</w:t>
            </w:r>
          </w:p>
        </w:tc>
      </w:tr>
      <w:tr w14:paraId="131BD2A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1702" w:type="dxa"/>
            <w:tcBorders>
              <w:top w:val="single" w:color="auto" w:sz="4" w:space="0"/>
              <w:left w:val="single" w:color="auto" w:sz="4" w:space="0"/>
              <w:bottom w:val="single" w:color="auto" w:sz="4" w:space="0"/>
              <w:right w:val="single" w:color="auto" w:sz="4" w:space="0"/>
              <w:tl2br w:val="nil"/>
              <w:tr2bl w:val="nil"/>
            </w:tcBorders>
            <w:vAlign w:val="center"/>
          </w:tcPr>
          <w:p w14:paraId="27345F5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s="Times New Roman"/>
                <w:caps w:val="0"/>
                <w:smallCaps w:val="0"/>
                <w:snapToGrid/>
                <w:vanish w:val="0"/>
                <w:color w:val="auto"/>
                <w:kern w:val="0"/>
                <w:sz w:val="18"/>
                <w:szCs w:val="18"/>
                <w:vertAlign w:val="baseline"/>
              </w:rPr>
            </w:pPr>
            <w:r>
              <w:rPr>
                <w:rFonts w:hint="eastAsia" w:ascii="方正黑体_GBK" w:hAnsi="方正黑体_GBK" w:eastAsia="方正黑体_GBK" w:cs="Times New Roman"/>
                <w:bCs/>
                <w:caps w:val="0"/>
                <w:smallCaps w:val="0"/>
                <w:snapToGrid/>
                <w:vanish w:val="0"/>
                <w:color w:val="auto"/>
                <w:kern w:val="0"/>
                <w:sz w:val="18"/>
                <w:szCs w:val="18"/>
                <w:vertAlign w:val="baseline"/>
              </w:rPr>
              <w:t>业绩比较基准</w:t>
            </w:r>
          </w:p>
        </w:tc>
        <w:tc>
          <w:tcPr>
            <w:tcW w:w="6113" w:type="dxa"/>
            <w:tcBorders>
              <w:top w:val="single" w:color="auto" w:sz="4" w:space="0"/>
              <w:left w:val="nil"/>
              <w:bottom w:val="single" w:color="auto" w:sz="4" w:space="0"/>
              <w:right w:val="single" w:color="auto" w:sz="4" w:space="0"/>
              <w:tl2br w:val="nil"/>
              <w:tr2bl w:val="nil"/>
            </w:tcBorders>
            <w:vAlign w:val="center"/>
          </w:tcPr>
          <w:p w14:paraId="0A48F2CD">
            <w:pPr>
              <w:spacing w:line="200" w:lineRule="exact"/>
              <w:jc w:val="left"/>
            </w:pPr>
            <w:r>
              <w:rPr>
                <w:rFonts w:ascii="方正黑体_GBK" w:hAnsi="方正黑体_GBK" w:eastAsia="方正黑体_GBK" w:cs="宋体"/>
                <w:b/>
                <w:sz w:val="18"/>
                <w:szCs w:val="18"/>
              </w:rPr>
              <w:t>本理财产品业绩比较基准为：中债新综合全价(1-3年)指数收益率 。</w:t>
            </w:r>
          </w:p>
          <w:p w14:paraId="181188C6">
            <w:pPr>
              <w:spacing w:line="200" w:lineRule="exact"/>
              <w:jc w:val="left"/>
            </w:pPr>
            <w:r>
              <w:rPr>
                <w:rFonts w:ascii="方正黑体_GBK" w:hAnsi="方正黑体_GBK" w:eastAsia="方正黑体_GBK" w:cs="宋体"/>
                <w:sz w:val="18"/>
                <w:szCs w:val="18"/>
              </w:rPr>
              <w:t>注：</w:t>
            </w:r>
          </w:p>
          <w:p w14:paraId="376BAA03">
            <w:pPr>
              <w:spacing w:line="200" w:lineRule="exact"/>
              <w:jc w:val="left"/>
            </w:pPr>
            <w:r>
              <w:rPr>
                <w:rFonts w:ascii="方正黑体_GBK" w:hAnsi="方正黑体_GBK" w:eastAsia="方正黑体_GBK" w:cs="宋体"/>
                <w:sz w:val="18"/>
                <w:szCs w:val="18"/>
              </w:rPr>
              <w:t>1.中债新综合全价(1-3年)指数为中央国债登记结算有限责任公司发布的债券指数，投资者可登陆中国债券信息网查询。</w:t>
            </w:r>
          </w:p>
          <w:p w14:paraId="1FF5017F">
            <w:pPr>
              <w:spacing w:line="200" w:lineRule="exact"/>
              <w:jc w:val="left"/>
            </w:pPr>
            <w:r>
              <w:rPr>
                <w:rFonts w:ascii="方正黑体_GBK" w:hAnsi="方正黑体_GBK" w:eastAsia="方正黑体_GBK" w:cs="宋体"/>
                <w:sz w:val="18"/>
                <w:szCs w:val="18"/>
              </w:rPr>
              <w:t>2.在某一封闭期内，以上指数收益率（年化）计算方式为：（封闭期末日的指数收盘价÷封闭期首日前一工作日的指数收盘价-1）÷该封闭期天数×365天。</w:t>
            </w:r>
          </w:p>
          <w:p w14:paraId="1F152938">
            <w:pPr>
              <w:spacing w:line="200" w:lineRule="exact"/>
              <w:jc w:val="left"/>
            </w:pPr>
            <w:r>
              <w:rPr>
                <w:rFonts w:ascii="方正黑体_GBK" w:hAnsi="方正黑体_GBK" w:eastAsia="方正黑体_GBK" w:cs="宋体"/>
                <w:sz w:val="18"/>
                <w:szCs w:val="18"/>
              </w:rPr>
              <w:t>3.管理人将在本理财产品定期报告中对以上业绩比较基准进行跟踪和披露。</w:t>
            </w:r>
          </w:p>
          <w:p w14:paraId="6C2242B2">
            <w:pPr>
              <w:spacing w:line="200" w:lineRule="exact"/>
            </w:pPr>
            <w:r>
              <w:rPr>
                <w:rFonts w:ascii="方正黑体_GBK" w:hAnsi="方正黑体_GBK" w:eastAsia="方正黑体_GBK" w:cs="宋体"/>
                <w:sz w:val="18"/>
                <w:szCs w:val="18"/>
              </w:rPr>
              <w:t>4.南银理财可根据市场情况对业绩比较基准进行适当调整，如有调整，将至少于调整前3个工作日公布调整方案。</w:t>
            </w:r>
          </w:p>
          <w:p w14:paraId="5827C58A">
            <w:pPr>
              <w:spacing w:line="200" w:lineRule="exact"/>
              <w:jc w:val="left"/>
            </w:pPr>
            <w:r>
              <w:rPr>
                <w:rFonts w:ascii="方正黑体_GBK" w:hAnsi="方正黑体_GBK" w:eastAsia="方正黑体_GBK" w:cs="宋体"/>
                <w:sz w:val="18"/>
                <w:szCs w:val="18"/>
              </w:rPr>
              <w:t>本理财产品业绩比较基准是管理人基于过往投资经验、对产品存续期拟投资标的和相应投资市场波动的预判设定的投资目标。本理财产品投资于固定收益类资产不低于80%，投资于非标准化债权类资产的比例不高于50%。结合债券市场和拟投资的非标准化债权类资产的收益和波动水平预判，在本理财产品约定的投资策略基础上，管理人设定了本理财产品投资周期内业绩比较基准。</w:t>
            </w:r>
          </w:p>
          <w:p w14:paraId="377F5FC9">
            <w:pPr>
              <w:spacing w:line="200" w:lineRule="exact"/>
            </w:pPr>
            <w:r>
              <w:rPr>
                <w:rFonts w:ascii="方正黑体_GBK" w:hAnsi="方正黑体_GBK" w:eastAsia="方正黑体_GBK" w:cs="宋体"/>
                <w:b/>
                <w:color w:val="333333"/>
                <w:sz w:val="18"/>
                <w:szCs w:val="18"/>
                <w:shd w:val="clear" w:fill="FFFFFF"/>
              </w:rPr>
              <w:t>本理财产品为净值型理财产品，业绩比较基准不是预期收益率，不代表产品的未来表现和实际收益，不构成对产品收益的承诺。</w:t>
            </w:r>
          </w:p>
        </w:tc>
      </w:tr>
      <w:tr w14:paraId="3E79F2B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1702" w:type="dxa"/>
            <w:tcBorders>
              <w:top w:val="single" w:color="auto" w:sz="4" w:space="0"/>
              <w:left w:val="single" w:color="auto" w:sz="4" w:space="0"/>
              <w:bottom w:val="single" w:color="auto" w:sz="4" w:space="0"/>
              <w:right w:val="single" w:color="auto" w:sz="4" w:space="0"/>
              <w:tl2br w:val="nil"/>
              <w:tr2bl w:val="nil"/>
            </w:tcBorders>
            <w:vAlign w:val="center"/>
          </w:tcPr>
          <w:p w14:paraId="1CE01AC6">
            <w:pPr>
              <w:keepNext w:val="0"/>
              <w:keepLines w:val="0"/>
              <w:pageBreakBefore w:val="0"/>
              <w:widowControl/>
              <w:suppressLineNumbers w:val="0"/>
              <w:suppressAutoHyphens w:val="0"/>
              <w:spacing w:line="200" w:lineRule="exact"/>
              <w:jc w:val="left"/>
              <w:rPr>
                <w:rFonts w:ascii="方正黑体_GBK" w:hAnsi="方正黑体_GBK" w:eastAsia="方正黑体_GBK" w:cs="Times New Roman"/>
                <w:bCs/>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产品</w:t>
            </w:r>
            <w:r>
              <w:rPr>
                <w:rFonts w:hint="eastAsia" w:ascii="方正黑体_GBK" w:hAnsi="方正黑体_GBK" w:eastAsia="方正黑体_GBK"/>
                <w:caps w:val="0"/>
                <w:smallCaps w:val="0"/>
                <w:snapToGrid/>
                <w:vanish w:val="0"/>
                <w:color w:val="auto"/>
                <w:kern w:val="0"/>
                <w:sz w:val="18"/>
                <w:szCs w:val="18"/>
                <w:vertAlign w:val="baseline"/>
              </w:rPr>
              <w:t>费用</w:t>
            </w:r>
          </w:p>
        </w:tc>
        <w:tc>
          <w:tcPr>
            <w:tcW w:w="6113" w:type="dxa"/>
            <w:tcBorders>
              <w:top w:val="single" w:color="auto" w:sz="4" w:space="0"/>
              <w:left w:val="nil"/>
              <w:bottom w:val="single" w:color="auto" w:sz="4" w:space="0"/>
              <w:right w:val="single" w:color="auto" w:sz="4" w:space="0"/>
              <w:tl2br w:val="nil"/>
              <w:tr2bl w:val="nil"/>
            </w:tcBorders>
            <w:vAlign w:val="center"/>
          </w:tcPr>
          <w:p w14:paraId="024C5BA6">
            <w:pPr>
              <w:spacing w:line="200" w:lineRule="exact"/>
            </w:pPr>
            <w:r>
              <w:rPr>
                <w:rFonts w:ascii="方正黑体_GBK" w:hAnsi="方正黑体_GBK" w:eastAsia="方正黑体_GBK" w:cs="宋体"/>
                <w:b/>
                <w:sz w:val="18"/>
                <w:szCs w:val="18"/>
              </w:rPr>
              <w:t>认/申购费：本理财产品暂不收取认/申购费。</w:t>
            </w:r>
          </w:p>
          <w:p w14:paraId="68BA255A">
            <w:pPr>
              <w:spacing w:line="200" w:lineRule="exact"/>
            </w:pPr>
            <w:r>
              <w:rPr>
                <w:rFonts w:ascii="方正黑体_GBK" w:hAnsi="方正黑体_GBK" w:eastAsia="方正黑体_GBK" w:cs="宋体"/>
                <w:b/>
                <w:sz w:val="18"/>
                <w:szCs w:val="18"/>
              </w:rPr>
              <w:t>赎回费：本理财产品暂不收取赎回费。</w:t>
            </w:r>
          </w:p>
          <w:p w14:paraId="2303EFE1">
            <w:pPr>
              <w:spacing w:line="200" w:lineRule="exact"/>
            </w:pPr>
            <w:r>
              <w:rPr>
                <w:rFonts w:ascii="方正黑体_GBK" w:hAnsi="方正黑体_GBK" w:eastAsia="方正黑体_GBK" w:cs="宋体"/>
                <w:b/>
                <w:sz w:val="18"/>
                <w:szCs w:val="18"/>
              </w:rPr>
              <w:t>销售费：本理财产品按前一日理财产品资产净值收取年化0.3%的销售费，按日计提。</w:t>
            </w:r>
          </w:p>
          <w:p w14:paraId="71D7643F">
            <w:pPr>
              <w:spacing w:line="200" w:lineRule="exact"/>
            </w:pPr>
            <w:r>
              <w:rPr>
                <w:rFonts w:ascii="方正黑体_GBK" w:hAnsi="方正黑体_GBK" w:eastAsia="方正黑体_GBK" w:cs="宋体"/>
                <w:b/>
                <w:sz w:val="18"/>
                <w:szCs w:val="18"/>
              </w:rPr>
              <w:t>每日计提的销售费=前一日理财产品资产净值×年化销售费率÷365</w:t>
            </w:r>
          </w:p>
          <w:p w14:paraId="7F344C9F">
            <w:pPr>
              <w:spacing w:line="200" w:lineRule="exact"/>
            </w:pPr>
            <w:r>
              <w:rPr>
                <w:rFonts w:ascii="方正黑体_GBK" w:hAnsi="方正黑体_GBK" w:eastAsia="方正黑体_GBK" w:cs="宋体"/>
                <w:b/>
                <w:sz w:val="18"/>
                <w:szCs w:val="18"/>
              </w:rPr>
              <w:t>固定管理费：本理财产品按前一日理财产品资产净值收取年化0.5%的固定管理费，按日计提。</w:t>
            </w:r>
          </w:p>
          <w:p w14:paraId="515F19E8">
            <w:pPr>
              <w:spacing w:line="200" w:lineRule="exact"/>
            </w:pPr>
            <w:r>
              <w:rPr>
                <w:rFonts w:ascii="方正黑体_GBK" w:hAnsi="方正黑体_GBK" w:eastAsia="方正黑体_GBK" w:cs="宋体"/>
                <w:b/>
                <w:sz w:val="18"/>
                <w:szCs w:val="18"/>
              </w:rPr>
              <w:t>每日计提的固定管理费=前一日理财产品资产净值×年化固定管理费率÷365</w:t>
            </w:r>
          </w:p>
          <w:p w14:paraId="7CFED2B2">
            <w:pPr>
              <w:spacing w:line="200" w:lineRule="exact"/>
            </w:pPr>
            <w:r>
              <w:rPr>
                <w:rFonts w:ascii="方正黑体_GBK" w:hAnsi="方正黑体_GBK" w:eastAsia="方正黑体_GBK" w:cs="宋体"/>
                <w:b/>
                <w:sz w:val="18"/>
                <w:szCs w:val="18"/>
              </w:rPr>
              <w:t>托管费：本理财产品按前一日理财产品资产净值收取年化0.02%的托管费，按日计提。</w:t>
            </w:r>
          </w:p>
          <w:p w14:paraId="1E9EF93A">
            <w:pPr>
              <w:spacing w:line="200" w:lineRule="exact"/>
            </w:pPr>
            <w:r>
              <w:rPr>
                <w:rFonts w:ascii="方正黑体_GBK" w:hAnsi="方正黑体_GBK" w:eastAsia="方正黑体_GBK" w:cs="宋体"/>
                <w:b/>
                <w:sz w:val="18"/>
                <w:szCs w:val="18"/>
              </w:rPr>
              <w:t>每日计提的托管费=前一日理财产品资产净值×年化托管费率÷365</w:t>
            </w:r>
          </w:p>
          <w:p w14:paraId="5E669D21">
            <w:pPr>
              <w:spacing w:line="200" w:lineRule="exact"/>
            </w:pPr>
            <w:r>
              <w:rPr>
                <w:rFonts w:ascii="方正黑体_GBK" w:hAnsi="方正黑体_GBK" w:eastAsia="方正黑体_GBK" w:cs="宋体"/>
                <w:b/>
                <w:sz w:val="18"/>
                <w:szCs w:val="18"/>
              </w:rPr>
              <w:t>业绩报酬：申购/赎回确认日和产品实际到期时，当期产品投资的实际资产组合收益（扣除销售费、固定管理费、托管费等相关费用）超过3.3%（年化，即产品该份额对应的业绩报酬计提基准）时，超过部分管理人将按40%收取业绩报酬。</w:t>
            </w:r>
          </w:p>
          <w:p w14:paraId="3D738D14">
            <w:pPr>
              <w:spacing w:line="200" w:lineRule="exact"/>
            </w:pPr>
            <w:r>
              <w:rPr>
                <w:rFonts w:ascii="方正黑体_GBK" w:hAnsi="方正黑体_GBK" w:eastAsia="方正黑体_GBK"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14:paraId="004BDEF1">
            <w:pPr>
              <w:spacing w:line="200" w:lineRule="exact"/>
            </w:pPr>
            <w:r>
              <w:rPr>
                <w:rFonts w:ascii="方正黑体_GBK" w:hAnsi="方正黑体_GBK" w:eastAsia="方正黑体_GBK"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14:paraId="127B6242">
            <w:pPr>
              <w:spacing w:line="200" w:lineRule="exact"/>
            </w:pPr>
            <w:r>
              <w:rPr>
                <w:rFonts w:ascii="方正黑体_GBK" w:hAnsi="方正黑体_GBK" w:eastAsia="方正黑体_GBK" w:cs="宋体"/>
                <w:b/>
                <w:sz w:val="18"/>
                <w:szCs w:val="18"/>
              </w:rPr>
              <w:t>注：1.根据财政部《资产管理产品相关会计处理规定》（财会〔2022〕14号）“将当期发生的管理人报酬计入当期损益”的相关规定，本理财产品将每日计提暂估的业绩报酬（如有）。</w:t>
            </w:r>
          </w:p>
          <w:p w14:paraId="1A46973E">
            <w:pPr>
              <w:spacing w:line="200" w:lineRule="exact"/>
            </w:pPr>
            <w:r>
              <w:rPr>
                <w:rFonts w:ascii="方正黑体_GBK" w:hAnsi="方正黑体_GBK" w:eastAsia="方正黑体_GBK" w:cs="宋体"/>
                <w:b/>
                <w:sz w:val="18"/>
                <w:szCs w:val="18"/>
              </w:rPr>
              <w:t>2.产品存续期的每个估值日，如果产品各份额当期起始日至估值日（即本区间）的年化收益率大于当期业绩报酬计提基准，则相应计提暂估业绩报酬，披露的各份额的单位净值为扣除暂估业绩报酬（如有）之后的水平。</w:t>
            </w:r>
          </w:p>
          <w:p w14:paraId="246CEEB8">
            <w:pPr>
              <w:spacing w:line="200" w:lineRule="exact"/>
            </w:pPr>
            <w:r>
              <w:rPr>
                <w:rFonts w:ascii="方正黑体_GBK" w:hAnsi="方正黑体_GBK" w:eastAsia="方正黑体_GBK" w:cs="宋体"/>
                <w:b/>
                <w:sz w:val="18"/>
                <w:szCs w:val="18"/>
              </w:rPr>
              <w:t>计算本区间业绩报酬的公式如下：</w:t>
            </w:r>
          </w:p>
          <w:p w14:paraId="7B1E34E7">
            <w:pPr>
              <w:spacing w:line="200" w:lineRule="exact"/>
            </w:pPr>
            <w:r>
              <w:rPr>
                <w:rFonts w:ascii="方正黑体_GBK" w:hAnsi="方正黑体_GBK" w:eastAsia="方正黑体_GBK" w:cs="宋体"/>
                <w:b/>
                <w:sz w:val="18"/>
                <w:szCs w:val="18"/>
              </w:rPr>
              <w:t>A={B-C*D*(1+E*F/365)}*G。</w:t>
            </w:r>
          </w:p>
          <w:p w14:paraId="29F26E9B">
            <w:pPr>
              <w:spacing w:line="200" w:lineRule="exact"/>
            </w:pPr>
            <w:r>
              <w:rPr>
                <w:rFonts w:ascii="方正黑体_GBK" w:hAnsi="方正黑体_GBK" w:eastAsia="方正黑体_GBK" w:cs="宋体"/>
                <w:b/>
                <w:sz w:val="18"/>
                <w:szCs w:val="18"/>
              </w:rPr>
              <w:t>其中：A是产品该份额从当期起始日到估值日应计提的业绩报酬金额，B是产品该份额估值日当日未扣除业绩报酬前的资产净值，C是产品该份额当期起始日的产品份额，D是产品该份额当期起始日前一自然日的单位净值，E是产品该份额当期的业绩报酬计提基准，F是产品该份额当期起始日（含）到估值日（含）的天数，G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14:paraId="08F86A5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04" w:hRule="atLeast"/>
          <w:jc w:val="center"/>
          <w:hidden/>
        </w:trPr>
        <w:tc>
          <w:tcPr>
            <w:tcW w:w="1702" w:type="dxa"/>
            <w:tcBorders>
              <w:top w:val="single" w:color="auto" w:sz="4" w:space="0"/>
              <w:left w:val="single" w:color="auto" w:sz="4" w:space="0"/>
              <w:bottom w:val="single" w:color="auto" w:sz="4" w:space="0"/>
              <w:right w:val="single" w:color="auto" w:sz="4" w:space="0"/>
              <w:tl2br w:val="nil"/>
              <w:tr2bl w:val="nil"/>
            </w:tcBorders>
            <w:vAlign w:val="center"/>
          </w:tcPr>
          <w:p w14:paraId="461E9C4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风险事件说明</w:t>
            </w:r>
          </w:p>
        </w:tc>
        <w:tc>
          <w:tcPr>
            <w:tcW w:w="6113" w:type="dxa"/>
            <w:tcBorders>
              <w:top w:val="single" w:color="auto" w:sz="4" w:space="0"/>
              <w:left w:val="nil"/>
              <w:bottom w:val="single" w:color="auto" w:sz="4" w:space="0"/>
              <w:right w:val="single" w:color="auto" w:sz="4" w:space="0"/>
              <w:tl2br w:val="nil"/>
              <w:tr2bl w:val="nil"/>
            </w:tcBorders>
            <w:vAlign w:val="center"/>
          </w:tcPr>
          <w:p w14:paraId="5B6A927F">
            <w:pPr>
              <w:spacing w:line="200" w:lineRule="exact"/>
              <w:jc w:val="left"/>
            </w:pPr>
            <w:r>
              <w:rPr>
                <w:rFonts w:ascii="方正黑体_GBK" w:hAnsi="方正黑体_GBK" w:eastAsia="方正黑体_GBK" w:cs="宋体"/>
                <w:color w:val="000000"/>
                <w:sz w:val="18"/>
                <w:szCs w:val="18"/>
              </w:rPr>
              <w:t>具体参见本理财产品风险揭示书。</w:t>
            </w:r>
          </w:p>
          <w:p w14:paraId="11B58D95">
            <w:pPr>
              <w:spacing w:line="200" w:lineRule="exact"/>
              <w:jc w:val="left"/>
            </w:pPr>
            <w:r>
              <w:rPr>
                <w:rFonts w:ascii="方正黑体_GBK" w:hAnsi="方正黑体_GBK" w:eastAsia="方正黑体_GBK" w:cs="宋体"/>
                <w:color w:val="000000"/>
                <w:sz w:val="18"/>
                <w:szCs w:val="18"/>
              </w:rPr>
              <w:t>本理财产品的拟投资市场主要为全国银行间债券市场、证券交易所等流动性较好的规范型交易场所，主要拟投资资产为具有良好流动性的金融工具，一般情况下，所投资资产市场流动性较好，但不排除在特定阶段、特定市场环境下特定投资标的出现流动性较差的情况。因此，本产品所投资资产可能存在以下流动性风险：</w:t>
            </w:r>
          </w:p>
          <w:p w14:paraId="0B3EA859">
            <w:pPr>
              <w:spacing w:line="200" w:lineRule="exact"/>
              <w:jc w:val="left"/>
            </w:pPr>
            <w:r>
              <w:rPr>
                <w:rFonts w:ascii="方正黑体_GBK" w:hAnsi="方正黑体_GBK" w:eastAsia="方正黑体_GBK" w:cs="宋体"/>
                <w:color w:val="000000"/>
                <w:sz w:val="18"/>
                <w:szCs w:val="18"/>
              </w:rPr>
              <w:t>一是建仓或进行组合调整时，若投资资产包括债券或基金，可能由于特定债券或基金的流动性相对不足而无法按预期的价格买进（申购）或卖出（赎回）；</w:t>
            </w:r>
          </w:p>
          <w:p w14:paraId="79056952">
            <w:pPr>
              <w:spacing w:line="200" w:lineRule="exact"/>
              <w:jc w:val="left"/>
            </w:pPr>
            <w:r>
              <w:rPr>
                <w:rFonts w:ascii="方正黑体_GBK" w:hAnsi="方正黑体_GBK" w:eastAsia="方正黑体_GBK" w:cs="宋体"/>
                <w:color w:val="000000"/>
                <w:sz w:val="18"/>
                <w:szCs w:val="18"/>
              </w:rPr>
              <w:t>二是为应对投资者的赎回，被迫以不适当的价格卖出债券或赎回基金；</w:t>
            </w:r>
          </w:p>
          <w:p w14:paraId="18845FE0">
            <w:pPr>
              <w:spacing w:line="200" w:lineRule="exact"/>
              <w:jc w:val="left"/>
            </w:pPr>
            <w:r>
              <w:rPr>
                <w:rFonts w:ascii="方正黑体_GBK" w:hAnsi="方正黑体_GBK" w:eastAsia="方正黑体_GBK" w:cs="宋体"/>
                <w:color w:val="000000"/>
                <w:sz w:val="18"/>
                <w:szCs w:val="18"/>
              </w:rPr>
              <w:t>三是若投资资产包括非标准化债权类资产，可能由于资产缺少流动性而难以变现。</w:t>
            </w:r>
          </w:p>
          <w:p w14:paraId="7D0089ED">
            <w:pPr>
              <w:spacing w:line="200" w:lineRule="exact"/>
              <w:jc w:val="left"/>
            </w:pPr>
            <w:r>
              <w:rPr>
                <w:rFonts w:ascii="方正黑体_GBK" w:hAnsi="方正黑体_GBK" w:eastAsia="方正黑体_GBK" w:cs="宋体"/>
                <w:color w:val="000000"/>
                <w:sz w:val="18"/>
                <w:szCs w:val="18"/>
              </w:rPr>
              <w:t>以上情形均可能使产品净值受到不利影响。</w:t>
            </w:r>
          </w:p>
        </w:tc>
      </w:tr>
      <w:tr w14:paraId="167253D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614" w:hRule="atLeast"/>
          <w:jc w:val="center"/>
          <w:hidden/>
        </w:trPr>
        <w:tc>
          <w:tcPr>
            <w:tcW w:w="1702" w:type="dxa"/>
            <w:tcBorders>
              <w:top w:val="single" w:color="auto" w:sz="4" w:space="0"/>
              <w:left w:val="single" w:color="auto" w:sz="4" w:space="0"/>
              <w:bottom w:val="single" w:color="auto" w:sz="4" w:space="0"/>
              <w:right w:val="single" w:color="auto" w:sz="4" w:space="0"/>
              <w:tl2br w:val="nil"/>
              <w:tr2bl w:val="nil"/>
            </w:tcBorders>
            <w:vAlign w:val="center"/>
          </w:tcPr>
          <w:p w14:paraId="578116C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理财产品管理人及管理人职责</w:t>
            </w:r>
          </w:p>
        </w:tc>
        <w:tc>
          <w:tcPr>
            <w:tcW w:w="6113" w:type="dxa"/>
            <w:tcBorders>
              <w:top w:val="single" w:color="auto" w:sz="4" w:space="0"/>
              <w:left w:val="nil"/>
              <w:bottom w:val="single" w:color="auto" w:sz="4" w:space="0"/>
              <w:right w:val="single" w:color="auto" w:sz="4" w:space="0"/>
              <w:tl2br w:val="nil"/>
              <w:tr2bl w:val="nil"/>
            </w:tcBorders>
            <w:vAlign w:val="center"/>
          </w:tcPr>
          <w:p w14:paraId="280DE349">
            <w:pPr>
              <w:spacing w:line="200" w:lineRule="exact"/>
              <w:jc w:val="left"/>
            </w:pPr>
            <w:r>
              <w:rPr>
                <w:rFonts w:ascii="方正黑体_GBK" w:hAnsi="方正黑体_GBK" w:eastAsia="方正黑体_GBK" w:cs="宋体"/>
                <w:color w:val="000000"/>
                <w:sz w:val="18"/>
                <w:szCs w:val="18"/>
              </w:rPr>
              <w:t>本理财产品管理人为南银理财有限责任公司，南银理财系南京银行股份有限公司全资控股的银行理财子公司。南银理财成立于2020年8月，专业从事理财产品发行、投资管理、理财顾问和咨询服务等业务，注册资本金20 亿元人民币。管理人主要职责如下：</w:t>
            </w:r>
          </w:p>
          <w:p w14:paraId="50683D8E">
            <w:pPr>
              <w:spacing w:line="200" w:lineRule="exact"/>
              <w:jc w:val="left"/>
            </w:pPr>
            <w:r>
              <w:rPr>
                <w:rFonts w:ascii="方正黑体_GBK" w:hAnsi="方正黑体_GBK" w:eastAsia="方正黑体_GBK" w:cs="宋体"/>
                <w:color w:val="000000"/>
                <w:sz w:val="18"/>
                <w:szCs w:val="18"/>
              </w:rPr>
              <w:t>1.按照法律法规、监管规定及理财产品销售文件的约定，发行并管理理财产品；</w:t>
            </w:r>
          </w:p>
          <w:p w14:paraId="0608F151">
            <w:pPr>
              <w:spacing w:line="200" w:lineRule="exact"/>
              <w:jc w:val="left"/>
            </w:pPr>
            <w:r>
              <w:rPr>
                <w:rFonts w:ascii="方正黑体_GBK" w:hAnsi="方正黑体_GBK" w:eastAsia="方正黑体_GBK" w:cs="宋体"/>
                <w:color w:val="000000"/>
                <w:sz w:val="18"/>
                <w:szCs w:val="18"/>
              </w:rPr>
              <w:t>2.根据理财产品的投资组合、同类产品过往业绩和风险状况等因素，对理财产品进行评级；</w:t>
            </w:r>
          </w:p>
          <w:p w14:paraId="267E14E1">
            <w:pPr>
              <w:spacing w:line="200" w:lineRule="exact"/>
              <w:jc w:val="left"/>
            </w:pPr>
            <w:r>
              <w:rPr>
                <w:rFonts w:ascii="方正黑体_GBK" w:hAnsi="方正黑体_GBK" w:eastAsia="方正黑体_GBK" w:cs="宋体"/>
                <w:color w:val="000000"/>
                <w:sz w:val="18"/>
                <w:szCs w:val="18"/>
              </w:rPr>
              <w:t>3.按照法律法规、监管规定及与投资者约定的信息披露渠道及时披露理财产品相关信息；</w:t>
            </w:r>
          </w:p>
          <w:p w14:paraId="7AAEB3B2">
            <w:pPr>
              <w:spacing w:line="200" w:lineRule="exact"/>
              <w:jc w:val="left"/>
            </w:pPr>
            <w:r>
              <w:rPr>
                <w:rFonts w:ascii="方正黑体_GBK" w:hAnsi="方正黑体_GBK" w:eastAsia="方正黑体_GBK" w:cs="宋体"/>
                <w:color w:val="000000"/>
                <w:sz w:val="18"/>
                <w:szCs w:val="18"/>
              </w:rPr>
              <w:t>4.按照理财产品销售文件约定的投资范围和权限，负责理财产品资金的运用和管理，向投资者进行收益分配；</w:t>
            </w:r>
          </w:p>
          <w:p w14:paraId="3493A958">
            <w:pPr>
              <w:spacing w:line="200" w:lineRule="exact"/>
              <w:jc w:val="left"/>
            </w:pPr>
            <w:r>
              <w:rPr>
                <w:rFonts w:ascii="方正黑体_GBK" w:hAnsi="方正黑体_GBK" w:eastAsia="方正黑体_GBK" w:cs="宋体"/>
                <w:color w:val="000000"/>
                <w:sz w:val="18"/>
                <w:szCs w:val="18"/>
              </w:rPr>
              <w:t>5.审慎选择理财产品销售机构，切实履行对销售机构的管理责任；</w:t>
            </w:r>
          </w:p>
          <w:p w14:paraId="73EB7E23">
            <w:pPr>
              <w:spacing w:line="200" w:lineRule="exact"/>
              <w:jc w:val="left"/>
            </w:pPr>
            <w:r>
              <w:rPr>
                <w:rFonts w:ascii="方正黑体_GBK" w:hAnsi="方正黑体_GBK" w:eastAsia="方正黑体_GBK" w:cs="宋体"/>
                <w:color w:val="000000"/>
                <w:sz w:val="18"/>
                <w:szCs w:val="18"/>
              </w:rPr>
              <w:t>6.根据法律法规、监管规定建立健全投资者权益保护管理体系；</w:t>
            </w:r>
          </w:p>
          <w:p w14:paraId="6FEB7506">
            <w:pPr>
              <w:spacing w:line="200" w:lineRule="exact"/>
              <w:jc w:val="left"/>
            </w:pPr>
            <w:r>
              <w:rPr>
                <w:rFonts w:ascii="方正黑体_GBK" w:hAnsi="方正黑体_GBK" w:eastAsia="方正黑体_GBK" w:cs="宋体"/>
                <w:color w:val="000000"/>
                <w:sz w:val="18"/>
                <w:szCs w:val="18"/>
              </w:rPr>
              <w:t>7.国务院银行业监督管理机构规定及本理财产品销售文件中约定的其他职责。</w:t>
            </w:r>
          </w:p>
        </w:tc>
      </w:tr>
      <w:tr w14:paraId="09CC4D6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1702" w:type="dxa"/>
            <w:tcBorders>
              <w:top w:val="single" w:color="auto" w:sz="4" w:space="0"/>
              <w:left w:val="single" w:color="auto" w:sz="4" w:space="0"/>
              <w:bottom w:val="single" w:color="auto" w:sz="4" w:space="0"/>
              <w:right w:val="single" w:color="auto" w:sz="4" w:space="0"/>
              <w:tl2br w:val="nil"/>
              <w:tr2bl w:val="nil"/>
            </w:tcBorders>
            <w:vAlign w:val="center"/>
          </w:tcPr>
          <w:p w14:paraId="4577FE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销售机构及销售机构职责</w:t>
            </w:r>
          </w:p>
        </w:tc>
        <w:tc>
          <w:tcPr>
            <w:tcW w:w="6113" w:type="dxa"/>
            <w:tcBorders>
              <w:top w:val="single" w:color="auto" w:sz="4" w:space="0"/>
              <w:left w:val="nil"/>
              <w:bottom w:val="single" w:color="auto" w:sz="4" w:space="0"/>
              <w:right w:val="single" w:color="auto" w:sz="4" w:space="0"/>
              <w:tl2br w:val="nil"/>
              <w:tr2bl w:val="nil"/>
            </w:tcBorders>
            <w:vAlign w:val="center"/>
          </w:tcPr>
          <w:p w14:paraId="17708361">
            <w:pPr>
              <w:spacing w:line="200" w:lineRule="exact"/>
              <w:jc w:val="left"/>
            </w:pPr>
            <w:r>
              <w:rPr>
                <w:rFonts w:ascii="方正黑体_GBK" w:hAnsi="方正黑体_GBK" w:eastAsia="方正黑体_GBK" w:cs="宋体"/>
                <w:sz w:val="18"/>
                <w:szCs w:val="18"/>
              </w:rPr>
              <w:t>本理财产品销售机构为南银理财有限责任公司、南京银行股份有限公司。管理人有权调整本理财产品的销售机构并进行信息披露。</w:t>
            </w:r>
          </w:p>
          <w:p w14:paraId="3E87F76C">
            <w:pPr>
              <w:spacing w:line="200" w:lineRule="exact"/>
              <w:jc w:val="left"/>
            </w:pPr>
            <w:r>
              <w:rPr>
                <w:rFonts w:ascii="方正黑体_GBK" w:hAnsi="方正黑体_GBK" w:eastAsia="方正黑体_GBK" w:cs="宋体"/>
                <w:sz w:val="18"/>
                <w:szCs w:val="18"/>
              </w:rPr>
              <w:t>销售机构主要职责如下：</w:t>
            </w:r>
          </w:p>
          <w:p w14:paraId="6763CA0E">
            <w:pPr>
              <w:spacing w:line="200" w:lineRule="exact"/>
              <w:jc w:val="left"/>
            </w:pPr>
            <w:r>
              <w:rPr>
                <w:rFonts w:ascii="方正黑体_GBK" w:hAnsi="方正黑体_GBK" w:eastAsia="方正黑体_GBK" w:cs="宋体"/>
                <w:sz w:val="18"/>
                <w:szCs w:val="18"/>
              </w:rPr>
              <w:t>1.按照法律法规、监管规定及理财产品销售文件的约定，开展理财产品销售活动，向投资者充分披露信息和揭示风险；</w:t>
            </w:r>
          </w:p>
          <w:p w14:paraId="6665D103">
            <w:pPr>
              <w:spacing w:line="200" w:lineRule="exact"/>
              <w:jc w:val="left"/>
            </w:pPr>
            <w:r>
              <w:rPr>
                <w:rFonts w:ascii="方正黑体_GBK" w:hAnsi="方正黑体_GBK" w:eastAsia="方正黑体_GBK" w:cs="宋体"/>
                <w:sz w:val="18"/>
                <w:szCs w:val="18"/>
              </w:rPr>
              <w:t>2.对非机构投资者的风险承受能力进行评估，确保投资者风险承受能力评估的客观性、及时性和有效性；</w:t>
            </w:r>
          </w:p>
          <w:p w14:paraId="7154B2E0">
            <w:pPr>
              <w:spacing w:line="200" w:lineRule="exact"/>
              <w:jc w:val="left"/>
            </w:pPr>
            <w:r>
              <w:rPr>
                <w:rFonts w:ascii="方正黑体_GBK" w:hAnsi="方正黑体_GBK" w:eastAsia="方正黑体_GBK" w:cs="宋体"/>
                <w:sz w:val="18"/>
                <w:szCs w:val="18"/>
              </w:rPr>
              <w:t>3.妥善保管投资者理财产品销售相关资料，保管年限不低于20年；</w:t>
            </w:r>
          </w:p>
          <w:p w14:paraId="5FEAD25C">
            <w:pPr>
              <w:spacing w:line="200" w:lineRule="exact"/>
              <w:jc w:val="left"/>
            </w:pPr>
            <w:r>
              <w:rPr>
                <w:rFonts w:ascii="方正黑体_GBK" w:hAnsi="方正黑体_GBK" w:eastAsia="方正黑体_GBK" w:cs="宋体"/>
                <w:sz w:val="18"/>
                <w:szCs w:val="18"/>
              </w:rPr>
              <w:t>4.根据反洗钱、反恐怖融资及非居民金融账户涉税信息尽职调查等相关法律法规要求识别客户身份；</w:t>
            </w:r>
          </w:p>
          <w:p w14:paraId="18377FDE">
            <w:pPr>
              <w:spacing w:line="200" w:lineRule="exact"/>
              <w:jc w:val="left"/>
            </w:pPr>
            <w:r>
              <w:rPr>
                <w:rFonts w:ascii="方正黑体_GBK" w:hAnsi="方正黑体_GBK" w:eastAsia="方正黑体_GBK" w:cs="宋体"/>
                <w:sz w:val="18"/>
                <w:szCs w:val="18"/>
              </w:rPr>
              <w:t>5.建立健全投资者权益保护管理体系，加强投资者适当性管理；</w:t>
            </w:r>
          </w:p>
          <w:p w14:paraId="2AD29052">
            <w:pPr>
              <w:spacing w:line="200" w:lineRule="exact"/>
            </w:pPr>
            <w:r>
              <w:rPr>
                <w:rFonts w:ascii="方正黑体_GBK" w:hAnsi="方正黑体_GBK" w:eastAsia="方正黑体_GBK" w:cs="宋体"/>
                <w:sz w:val="18"/>
                <w:szCs w:val="18"/>
              </w:rPr>
              <w:t>6.国务院银行业监督管理机构规定及本理财产品管理人与销售机构约定的其他职责。</w:t>
            </w:r>
          </w:p>
        </w:tc>
      </w:tr>
      <w:tr w14:paraId="7E054F5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4" w:hRule="atLeast"/>
          <w:jc w:val="center"/>
          <w:hidden/>
        </w:trPr>
        <w:tc>
          <w:tcPr>
            <w:tcW w:w="1702" w:type="dxa"/>
            <w:tcBorders>
              <w:top w:val="single" w:color="auto" w:sz="4" w:space="0"/>
              <w:left w:val="single" w:color="auto" w:sz="4" w:space="0"/>
              <w:bottom w:val="single" w:color="auto" w:sz="4" w:space="0"/>
              <w:right w:val="single" w:color="auto" w:sz="4" w:space="0"/>
              <w:tl2br w:val="nil"/>
              <w:tr2bl w:val="nil"/>
            </w:tcBorders>
            <w:vAlign w:val="center"/>
          </w:tcPr>
          <w:p w14:paraId="0A90EB6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托管人及托管人职责</w:t>
            </w:r>
          </w:p>
        </w:tc>
        <w:tc>
          <w:tcPr>
            <w:tcW w:w="6113" w:type="dxa"/>
            <w:tcBorders>
              <w:top w:val="single" w:color="auto" w:sz="4" w:space="0"/>
              <w:left w:val="nil"/>
              <w:bottom w:val="single" w:color="auto" w:sz="4" w:space="0"/>
              <w:right w:val="single" w:color="auto" w:sz="4" w:space="0"/>
              <w:tl2br w:val="nil"/>
              <w:tr2bl w:val="nil"/>
            </w:tcBorders>
            <w:vAlign w:val="center"/>
          </w:tcPr>
          <w:p w14:paraId="62A30653">
            <w:pPr>
              <w:spacing w:line="200" w:lineRule="exact"/>
            </w:pPr>
            <w:r>
              <w:rPr>
                <w:rFonts w:ascii="方正黑体_GBK" w:hAnsi="方正黑体_GBK" w:eastAsia="方正黑体_GBK" w:cs="宋体"/>
                <w:sz w:val="18"/>
                <w:szCs w:val="18"/>
              </w:rPr>
              <w:t>本理财产品托管人为南京银行股份有限公司，主要职责如下：</w:t>
            </w:r>
          </w:p>
          <w:p w14:paraId="33A56C39">
            <w:pPr>
              <w:spacing w:line="200" w:lineRule="exact"/>
            </w:pPr>
            <w:r>
              <w:rPr>
                <w:rFonts w:ascii="方正黑体_GBK" w:hAnsi="方正黑体_GBK" w:eastAsia="方正黑体_GBK" w:cs="宋体"/>
                <w:sz w:val="18"/>
                <w:szCs w:val="18"/>
              </w:rPr>
              <w:t>1.安全保管理财产品财产；</w:t>
            </w:r>
          </w:p>
          <w:p w14:paraId="07AB5E95">
            <w:pPr>
              <w:spacing w:line="200" w:lineRule="exact"/>
            </w:pPr>
            <w:r>
              <w:rPr>
                <w:rFonts w:ascii="方正黑体_GBK" w:hAnsi="方正黑体_GBK" w:eastAsia="方正黑体_GBK" w:cs="宋体"/>
                <w:sz w:val="18"/>
                <w:szCs w:val="18"/>
              </w:rPr>
              <w:t>2.为每只理财产品开设独立的托管账户，不同托管账户中的资产应当相互独立；</w:t>
            </w:r>
          </w:p>
          <w:p w14:paraId="3D1645A0">
            <w:pPr>
              <w:spacing w:line="200" w:lineRule="exact"/>
            </w:pPr>
            <w:r>
              <w:rPr>
                <w:rFonts w:ascii="方正黑体_GBK" w:hAnsi="方正黑体_GBK" w:eastAsia="方正黑体_GBK" w:cs="宋体"/>
                <w:sz w:val="18"/>
                <w:szCs w:val="18"/>
              </w:rPr>
              <w:t>3.按照托管协议约定和管理人的投资指令，及时办理清算、交割事宜；</w:t>
            </w:r>
          </w:p>
          <w:p w14:paraId="6E0D4E3A">
            <w:pPr>
              <w:spacing w:line="200" w:lineRule="exact"/>
            </w:pPr>
            <w:r>
              <w:rPr>
                <w:rFonts w:ascii="方正黑体_GBK" w:hAnsi="方正黑体_GBK" w:eastAsia="方正黑体_GBK" w:cs="宋体"/>
                <w:sz w:val="18"/>
                <w:szCs w:val="18"/>
              </w:rPr>
              <w:t>4.建立与管理人的对账机制，复核、审查理财产品资金头寸、资产账目、资产净值、认购和赎回价格等数据，及时核查认购、赎回以及投资资金的支付和到账情况；</w:t>
            </w:r>
          </w:p>
          <w:p w14:paraId="035512FE">
            <w:pPr>
              <w:spacing w:line="200" w:lineRule="exact"/>
            </w:pPr>
            <w:r>
              <w:rPr>
                <w:rFonts w:ascii="方正黑体_GBK" w:hAnsi="方正黑体_GBK" w:eastAsia="方正黑体_GBK" w:cs="宋体"/>
                <w:sz w:val="18"/>
                <w:szCs w:val="18"/>
              </w:rPr>
              <w:t>5.监督理财产品投资运作，发现理财产品违反法律、行政法规、规章规定或合同约定进行投资的，应当拒绝执行，及时通知管理人并报告银行业监督管理机构；</w:t>
            </w:r>
          </w:p>
          <w:p w14:paraId="57ECAE0E">
            <w:pPr>
              <w:spacing w:line="200" w:lineRule="exact"/>
            </w:pPr>
            <w:r>
              <w:rPr>
                <w:rFonts w:ascii="方正黑体_GBK" w:hAnsi="方正黑体_GBK" w:eastAsia="方正黑体_GBK" w:cs="宋体"/>
                <w:sz w:val="18"/>
                <w:szCs w:val="18"/>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14:paraId="36B862CC">
            <w:pPr>
              <w:spacing w:line="200" w:lineRule="exact"/>
            </w:pPr>
            <w:r>
              <w:rPr>
                <w:rFonts w:ascii="方正黑体_GBK" w:hAnsi="方正黑体_GBK" w:eastAsia="方正黑体_GBK" w:cs="宋体"/>
                <w:sz w:val="18"/>
                <w:szCs w:val="18"/>
              </w:rPr>
              <w:t>7.理财托管业务活动的记录、账册、报表和其他相关资料保存20年以上；</w:t>
            </w:r>
          </w:p>
          <w:p w14:paraId="51001CBC">
            <w:pPr>
              <w:spacing w:line="200" w:lineRule="exact"/>
            </w:pPr>
            <w:r>
              <w:rPr>
                <w:rFonts w:ascii="方正黑体_GBK" w:hAnsi="方正黑体_GBK" w:eastAsia="方正黑体_GBK" w:cs="宋体"/>
                <w:sz w:val="18"/>
                <w:szCs w:val="18"/>
              </w:rPr>
              <w:t>8.对理财产品投资信息和相关资料承担保密责任，除法律、行政法规、规章规定、审计要求或者合同约定外，不得向任何机构或者个人提供相关信息和资料；</w:t>
            </w:r>
          </w:p>
          <w:p w14:paraId="79ABDAEB">
            <w:pPr>
              <w:spacing w:line="200" w:lineRule="exact"/>
            </w:pPr>
            <w:r>
              <w:rPr>
                <w:rFonts w:ascii="方正黑体_GBK" w:hAnsi="方正黑体_GBK" w:eastAsia="方正黑体_GBK" w:cs="宋体"/>
                <w:sz w:val="18"/>
                <w:szCs w:val="18"/>
              </w:rPr>
              <w:t>9.国务院银行业监督管理机构规定及本理财产品相关托管协议中约定的其他职责。</w:t>
            </w:r>
          </w:p>
        </w:tc>
      </w:tr>
      <w:tr w14:paraId="3320D00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599" w:hRule="atLeast"/>
          <w:jc w:val="center"/>
          <w:hidden/>
        </w:trPr>
        <w:tc>
          <w:tcPr>
            <w:tcW w:w="1702" w:type="dxa"/>
            <w:tcBorders>
              <w:top w:val="single" w:color="auto" w:sz="4" w:space="0"/>
              <w:left w:val="single" w:color="auto" w:sz="4" w:space="0"/>
              <w:bottom w:val="single" w:color="auto" w:sz="4" w:space="0"/>
              <w:right w:val="single" w:color="auto" w:sz="4" w:space="0"/>
              <w:tl2br w:val="nil"/>
              <w:tr2bl w:val="nil"/>
            </w:tcBorders>
            <w:vAlign w:val="center"/>
          </w:tcPr>
          <w:p w14:paraId="1A1F9D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拟进行合作的理财投资合作机构</w:t>
            </w:r>
          </w:p>
        </w:tc>
        <w:tc>
          <w:tcPr>
            <w:tcW w:w="6113" w:type="dxa"/>
            <w:tcBorders>
              <w:top w:val="single" w:color="auto" w:sz="4" w:space="0"/>
              <w:left w:val="nil"/>
              <w:bottom w:val="single" w:color="auto" w:sz="4" w:space="0"/>
              <w:right w:val="single" w:color="auto" w:sz="4" w:space="0"/>
              <w:tl2br w:val="nil"/>
              <w:tr2bl w:val="nil"/>
            </w:tcBorders>
            <w:vAlign w:val="center"/>
          </w:tcPr>
          <w:p w14:paraId="3938E208">
            <w:pPr>
              <w:spacing w:line="200" w:lineRule="exact"/>
            </w:pPr>
            <w:r>
              <w:rPr>
                <w:rFonts w:ascii="方正黑体_GBK" w:hAnsi="方正黑体_GBK" w:eastAsia="方正黑体_GBK" w:cs="宋体"/>
                <w:sz w:val="18"/>
                <w:szCs w:val="18"/>
              </w:rPr>
              <w:t>本理财产品合作机构为百瑞信托有限责任公司、大家资产管理有限责任公司、光大永明资产管理股份有限公司、华能贵诚信托有限公司、华鑫国际信托有限公司、建信保险资产管理有限公司、江苏省国际信托有限责任公司、交银国际信托有限公司、鑫元基金管理有限公司、鑫沅资产管理有限公司，上述投资合作机构主要职责对应如下，具体职责以管理人与投资合作机构签署的合同为准。</w:t>
            </w:r>
          </w:p>
          <w:p w14:paraId="022FB060">
            <w:pPr>
              <w:spacing w:line="200" w:lineRule="exact"/>
            </w:pPr>
            <w:r>
              <w:rPr>
                <w:rFonts w:ascii="方正黑体_GBK" w:hAnsi="方正黑体_GBK" w:eastAsia="方正黑体_GBK" w:cs="宋体"/>
                <w:sz w:val="18"/>
                <w:szCs w:val="18"/>
              </w:rPr>
              <w:t>合作机构为从事理财产品受托投资的机构，主要承担根据合同约定进行受托资金的投资管理的职责：百瑞信托有限责任公司、大家资产管理有限责任公司、光大永明资产管理股份有限公司、华能贵诚信托有限公司、华鑫国际信托有限公司、建信保险资产管理有限公司、江苏省国际信托有限责任公司、交银国际信托有限公司、鑫元基金管理有限公司、鑫沅资产管理有限公司。</w:t>
            </w:r>
          </w:p>
          <w:p w14:paraId="6B87A7F2">
            <w:pPr>
              <w:spacing w:line="200" w:lineRule="exact"/>
            </w:pPr>
            <w:r>
              <w:rPr>
                <w:rFonts w:ascii="方正黑体_GBK" w:hAnsi="方正黑体_GBK" w:eastAsia="方正黑体_GBK" w:cs="宋体"/>
                <w:sz w:val="18"/>
                <w:szCs w:val="18"/>
              </w:rPr>
              <w:t>若上述合作机构及其职责发生调整，管理人将在本理财产品的定期报告中进行信息披露。</w:t>
            </w:r>
          </w:p>
          <w:p w14:paraId="45893E82">
            <w:pPr>
              <w:spacing w:line="200" w:lineRule="exact"/>
            </w:pPr>
            <w:r>
              <w:rPr>
                <w:rFonts w:ascii="方正黑体_GBK" w:hAnsi="方正黑体_GBK" w:eastAsia="方正黑体_GBK" w:cs="宋体"/>
                <w:sz w:val="18"/>
                <w:szCs w:val="18"/>
              </w:rPr>
              <w:t>上述投资合作机构简介：</w:t>
            </w:r>
          </w:p>
          <w:p w14:paraId="28B6A2D7">
            <w:pPr>
              <w:spacing w:line="200" w:lineRule="exact"/>
            </w:pPr>
            <w:r>
              <w:rPr>
                <w:rFonts w:ascii="方正黑体_GBK" w:hAnsi="方正黑体_GBK" w:eastAsia="方正黑体_GBK" w:cs="宋体"/>
                <w:sz w:val="18"/>
                <w:szCs w:val="18"/>
              </w:rPr>
              <w:t>百瑞信托有限责任公司成立于2002年10月16日，注册资本金400000万元人民币。</w:t>
            </w:r>
          </w:p>
          <w:p w14:paraId="3E2825E2">
            <w:pPr>
              <w:spacing w:line="200" w:lineRule="exact"/>
            </w:pPr>
            <w:r>
              <w:rPr>
                <w:rFonts w:ascii="方正黑体_GBK" w:hAnsi="方正黑体_GBK" w:eastAsia="方正黑体_GBK" w:cs="宋体"/>
                <w:sz w:val="18"/>
                <w:szCs w:val="18"/>
              </w:rPr>
              <w:t>大家资产管理有限责任公司成立于2011年05月20日，注册资本金6亿元人民币。</w:t>
            </w:r>
          </w:p>
          <w:p w14:paraId="21ECE1EE">
            <w:pPr>
              <w:spacing w:line="200" w:lineRule="exact"/>
            </w:pPr>
            <w:r>
              <w:rPr>
                <w:rFonts w:ascii="方正黑体_GBK" w:hAnsi="方正黑体_GBK" w:eastAsia="方正黑体_GBK" w:cs="宋体"/>
                <w:sz w:val="18"/>
                <w:szCs w:val="18"/>
              </w:rPr>
              <w:t>光大永明资产管理股份有限公司成立于2012年03月02日，注册资本金5亿元。</w:t>
            </w:r>
          </w:p>
          <w:p w14:paraId="7B6F1770">
            <w:pPr>
              <w:spacing w:line="200" w:lineRule="exact"/>
            </w:pPr>
            <w:r>
              <w:rPr>
                <w:rFonts w:ascii="方正黑体_GBK" w:hAnsi="方正黑体_GBK" w:eastAsia="方正黑体_GBK" w:cs="宋体"/>
                <w:sz w:val="18"/>
                <w:szCs w:val="18"/>
              </w:rPr>
              <w:t>华能贵诚信托有限公司成立于2002年09月29日，注册资本金619,455.7406万元人民币。</w:t>
            </w:r>
          </w:p>
          <w:p w14:paraId="3E3E77A0">
            <w:pPr>
              <w:spacing w:line="200" w:lineRule="exact"/>
            </w:pPr>
            <w:r>
              <w:rPr>
                <w:rFonts w:ascii="方正黑体_GBK" w:hAnsi="方正黑体_GBK" w:eastAsia="方正黑体_GBK" w:cs="宋体"/>
                <w:sz w:val="18"/>
                <w:szCs w:val="18"/>
              </w:rPr>
              <w:t>华鑫国际信托有限公司成立于1984年06月01日，注册资本金73.95亿元。</w:t>
            </w:r>
          </w:p>
          <w:p w14:paraId="3F2B8073">
            <w:pPr>
              <w:spacing w:line="200" w:lineRule="exact"/>
            </w:pPr>
            <w:r>
              <w:rPr>
                <w:rFonts w:ascii="方正黑体_GBK" w:hAnsi="方正黑体_GBK" w:eastAsia="方正黑体_GBK" w:cs="宋体"/>
                <w:sz w:val="18"/>
                <w:szCs w:val="18"/>
              </w:rPr>
              <w:t>建信保险资产管理有限公司成立于2016年04月27日，注册资本金3亿元。</w:t>
            </w:r>
          </w:p>
          <w:p w14:paraId="12D266C7">
            <w:pPr>
              <w:spacing w:line="200" w:lineRule="exact"/>
            </w:pPr>
            <w:r>
              <w:rPr>
                <w:rFonts w:ascii="方正黑体_GBK" w:hAnsi="方正黑体_GBK" w:eastAsia="方正黑体_GBK" w:cs="宋体"/>
                <w:sz w:val="18"/>
                <w:szCs w:val="18"/>
              </w:rPr>
              <w:t>江苏省国际信托有限责任公司成立于1992年06月01日，注册资本金87.60亿元。</w:t>
            </w:r>
          </w:p>
          <w:p w14:paraId="13EBBCE1">
            <w:pPr>
              <w:spacing w:line="200" w:lineRule="exact"/>
            </w:pPr>
            <w:r>
              <w:rPr>
                <w:rFonts w:ascii="方正黑体_GBK" w:hAnsi="方正黑体_GBK" w:eastAsia="方正黑体_GBK" w:cs="宋体"/>
                <w:sz w:val="18"/>
                <w:szCs w:val="18"/>
              </w:rPr>
              <w:t>交银国际信托有限公司成立于1983年11月23日，注册资本金57.65亿元。</w:t>
            </w:r>
          </w:p>
          <w:p w14:paraId="23D3C0BE">
            <w:pPr>
              <w:spacing w:line="200" w:lineRule="exact"/>
            </w:pPr>
            <w:r>
              <w:rPr>
                <w:rFonts w:ascii="方正黑体_GBK" w:hAnsi="方正黑体_GBK" w:eastAsia="方正黑体_GBK" w:cs="宋体"/>
                <w:sz w:val="18"/>
                <w:szCs w:val="18"/>
              </w:rPr>
              <w:t>鑫元基金管理有限公司成立于2013年08月29日，注册资本金17亿元。</w:t>
            </w:r>
          </w:p>
          <w:p w14:paraId="2E294341">
            <w:pPr>
              <w:spacing w:line="200" w:lineRule="exact"/>
            </w:pPr>
            <w:r>
              <w:rPr>
                <w:rFonts w:ascii="方正黑体_GBK" w:hAnsi="方正黑体_GBK" w:eastAsia="方正黑体_GBK" w:cs="宋体"/>
                <w:sz w:val="18"/>
                <w:szCs w:val="18"/>
              </w:rPr>
              <w:t>鑫沅资产管理有限公司成立于2014年02月19日，注册资本金15.5亿元。</w:t>
            </w:r>
          </w:p>
        </w:tc>
      </w:tr>
      <w:tr w14:paraId="68383A7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1702" w:type="dxa"/>
            <w:tcBorders>
              <w:top w:val="single" w:color="auto" w:sz="4" w:space="0"/>
              <w:left w:val="single" w:color="auto" w:sz="4" w:space="0"/>
              <w:bottom w:val="single" w:color="auto" w:sz="4" w:space="0"/>
              <w:right w:val="single" w:color="auto" w:sz="4" w:space="0"/>
              <w:tl2br w:val="nil"/>
              <w:tr2bl w:val="nil"/>
            </w:tcBorders>
            <w:vAlign w:val="center"/>
          </w:tcPr>
          <w:p w14:paraId="47F6F48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巨额赎回</w:t>
            </w:r>
          </w:p>
        </w:tc>
        <w:tc>
          <w:tcPr>
            <w:tcW w:w="6113" w:type="dxa"/>
            <w:tcBorders>
              <w:top w:val="single" w:color="auto" w:sz="4" w:space="0"/>
              <w:left w:val="nil"/>
              <w:bottom w:val="single" w:color="auto" w:sz="4" w:space="0"/>
              <w:right w:val="single" w:color="auto" w:sz="4" w:space="0"/>
              <w:tl2br w:val="nil"/>
              <w:tr2bl w:val="nil"/>
            </w:tcBorders>
            <w:vAlign w:val="center"/>
          </w:tcPr>
          <w:p w14:paraId="2B6A2808">
            <w:pPr>
              <w:spacing w:line="200" w:lineRule="exact"/>
              <w:jc w:val="left"/>
            </w:pPr>
            <w:r>
              <w:rPr>
                <w:rFonts w:ascii="方正黑体_GBK" w:hAnsi="方正黑体_GBK" w:eastAsia="方正黑体_GBK" w:cs="宋体"/>
                <w:color w:val="000000"/>
                <w:sz w:val="18"/>
                <w:szCs w:val="18"/>
              </w:rPr>
              <w:t>本理财产品单个开放日净赎回申请超过前一产品工作日日终本理财产品总份额的10%时，触发巨额赎回。本理财产品在开放日发生巨额赎回时，管理人有权根据产品的实际运作情况采取如下措施中的一种：</w:t>
            </w:r>
          </w:p>
          <w:p w14:paraId="0AFF796A">
            <w:pPr>
              <w:spacing w:line="200" w:lineRule="exact"/>
              <w:jc w:val="left"/>
            </w:pPr>
            <w:r>
              <w:rPr>
                <w:rFonts w:ascii="方正黑体_GBK" w:hAnsi="方正黑体_GBK" w:eastAsia="方正黑体_GBK" w:cs="宋体"/>
                <w:color w:val="000000"/>
                <w:sz w:val="18"/>
                <w:szCs w:val="18"/>
              </w:rPr>
              <w:t>1.接受全额赎回：当管理人认为有能力兑付投资者的全部赎回申请时，将在赎回确认日按正常赎回程序执行；</w:t>
            </w:r>
          </w:p>
          <w:p w14:paraId="66DD3A98">
            <w:pPr>
              <w:spacing w:line="200" w:lineRule="exact"/>
              <w:jc w:val="left"/>
            </w:pPr>
            <w:r>
              <w:rPr>
                <w:rFonts w:ascii="方正黑体_GBK" w:hAnsi="方正黑体_GBK" w:eastAsia="方正黑体_GBK" w:cs="宋体"/>
                <w:color w:val="000000"/>
                <w:sz w:val="18"/>
                <w:szCs w:val="18"/>
              </w:rPr>
              <w:t>2.接受部分赎回：当管理人认为兑付投资者的赎回申请有困难，或认为兑付投资者的赎回申请可能会对本理财产品的资产净值造成较大波动时，在赎回确认日管理人办理的赎回份额将不低于前一产品工作日日终理财产品总份额的10%，对于其余赎回申请管理人可暂停接受或延期办理。</w:t>
            </w:r>
          </w:p>
          <w:p w14:paraId="42B7D9D5">
            <w:pPr>
              <w:spacing w:line="200" w:lineRule="exact"/>
              <w:jc w:val="left"/>
            </w:pPr>
            <w:r>
              <w:rPr>
                <w:rFonts w:ascii="方正黑体_GBK" w:hAnsi="方正黑体_GBK" w:eastAsia="方正黑体_GBK" w:cs="宋体"/>
                <w:color w:val="000000"/>
                <w:sz w:val="18"/>
                <w:szCs w:val="18"/>
              </w:rPr>
              <w:t>（1）对于接受赎回申请的部分，管理人将按单个投资者的赎回申请份额占当日所有投资者的净赎回申请总份额的比例，确认该投资者当日办理的赎回申请份额。</w:t>
            </w:r>
          </w:p>
          <w:p w14:paraId="56BE2FB5">
            <w:pPr>
              <w:spacing w:line="200" w:lineRule="exact"/>
              <w:jc w:val="left"/>
            </w:pPr>
            <w:r>
              <w:rPr>
                <w:rFonts w:ascii="方正黑体_GBK" w:hAnsi="方正黑体_GBK" w:eastAsia="方正黑体_GBK" w:cs="宋体"/>
                <w:color w:val="000000"/>
                <w:sz w:val="18"/>
                <w:szCs w:val="18"/>
              </w:rPr>
              <w:t>（2）对于暂停接受的部分，管理人将拒绝该部分赎回申请，投资者可在下一个产品开放日再次发起赎回申请。</w:t>
            </w:r>
          </w:p>
          <w:p w14:paraId="0B5B06BF">
            <w:pPr>
              <w:spacing w:line="200" w:lineRule="exact"/>
              <w:jc w:val="left"/>
            </w:pPr>
            <w:r>
              <w:rPr>
                <w:rFonts w:ascii="方正黑体_GBK" w:hAnsi="方正黑体_GBK" w:eastAsia="方正黑体_GBK" w:cs="宋体"/>
                <w:color w:val="000000"/>
                <w:sz w:val="18"/>
                <w:szCs w:val="18"/>
              </w:rPr>
              <w:t>（3）对于延期办理的部分，管理人将在下一个产品开放日自动为投资者发起该部分的赎回，赎回净值为下一个产品开放日的净值，直至该部分全部被确认。在延期办理的部分全部被确认前，投资者不可撤销该部分的赎回申请。本理财产品发生巨额赎回、管理人接受部分赎回时，对于暂停接受和延期办理的部分，管理人可能需在下一个申购或赎回开放日才可确认，可能影响投资者的资金安排。根据不同代销机构提供的服务，投资者可以在申请赎回时选择在触发巨额赎回情形下将当日未获办理部分取消或者顺延。投资者选择取消的，未获办理部分管理人将参考“2.接受部分赎回（2）对于暂停接受的部分”采取措施；投资者选择顺延的，顺延部分管理人将参考“2.接受部分赎回（3）对于延期办理的部分”采取措施。具体服务投资者可详询代销机构，最终以代销机构提供的服务为准。</w:t>
            </w:r>
          </w:p>
        </w:tc>
      </w:tr>
      <w:tr w14:paraId="03A54BA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14" w:hRule="atLeast"/>
          <w:jc w:val="center"/>
          <w:hidden/>
        </w:trPr>
        <w:tc>
          <w:tcPr>
            <w:tcW w:w="1702" w:type="dxa"/>
            <w:tcBorders>
              <w:top w:val="single" w:color="auto" w:sz="4" w:space="0"/>
              <w:left w:val="single" w:color="auto" w:sz="4" w:space="0"/>
              <w:bottom w:val="single" w:color="auto" w:sz="4" w:space="0"/>
              <w:right w:val="single" w:color="auto" w:sz="4" w:space="0"/>
              <w:tl2br w:val="nil"/>
              <w:tr2bl w:val="nil"/>
            </w:tcBorders>
            <w:vAlign w:val="center"/>
          </w:tcPr>
          <w:p w14:paraId="168173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连续巨额赎回</w:t>
            </w:r>
          </w:p>
        </w:tc>
        <w:tc>
          <w:tcPr>
            <w:tcW w:w="6113" w:type="dxa"/>
            <w:tcBorders>
              <w:top w:val="single" w:color="auto" w:sz="4" w:space="0"/>
              <w:left w:val="nil"/>
              <w:bottom w:val="single" w:color="auto" w:sz="4" w:space="0"/>
              <w:right w:val="single" w:color="auto" w:sz="4" w:space="0"/>
              <w:tl2br w:val="nil"/>
              <w:tr2bl w:val="nil"/>
            </w:tcBorders>
            <w:vAlign w:val="center"/>
          </w:tcPr>
          <w:p w14:paraId="77E02E7C">
            <w:pPr>
              <w:spacing w:line="200" w:lineRule="exact"/>
            </w:pPr>
            <w:r>
              <w:rPr>
                <w:rFonts w:ascii="方正黑体_GBK" w:hAnsi="方正黑体_GBK" w:eastAsia="方正黑体_GBK" w:cs="宋体"/>
                <w:color w:val="000000"/>
                <w:sz w:val="18"/>
                <w:szCs w:val="18"/>
              </w:rPr>
              <w:t>当本理财产品连续2个以上开放日发生巨额赎回时，除采取上述措施外，对于已经接受的赎回申请，管理人有权延缓支付赎回款项，但延缓期限不得超过20个工作日。此种情况下，管理人将在3个交易日内进行信息披露，投资者需重新进行资金安排。</w:t>
            </w:r>
          </w:p>
        </w:tc>
      </w:tr>
      <w:tr w14:paraId="14CDD6C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4" w:hRule="atLeast"/>
          <w:jc w:val="center"/>
          <w:hidden/>
        </w:trPr>
        <w:tc>
          <w:tcPr>
            <w:tcW w:w="1702" w:type="dxa"/>
            <w:tcBorders>
              <w:top w:val="single" w:color="auto" w:sz="4" w:space="0"/>
              <w:left w:val="single" w:color="auto" w:sz="4" w:space="0"/>
              <w:bottom w:val="single" w:color="auto" w:sz="4" w:space="0"/>
              <w:right w:val="single" w:color="auto" w:sz="4" w:space="0"/>
              <w:tl2br w:val="nil"/>
              <w:tr2bl w:val="nil"/>
            </w:tcBorders>
            <w:vAlign w:val="center"/>
          </w:tcPr>
          <w:p w14:paraId="60E06FA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暂停接受认申购</w:t>
            </w:r>
          </w:p>
        </w:tc>
        <w:tc>
          <w:tcPr>
            <w:tcW w:w="6113" w:type="dxa"/>
            <w:tcBorders>
              <w:top w:val="single" w:color="auto" w:sz="4" w:space="0"/>
              <w:left w:val="nil"/>
              <w:bottom w:val="single" w:color="auto" w:sz="4" w:space="0"/>
              <w:right w:val="single" w:color="auto" w:sz="4" w:space="0"/>
              <w:tl2br w:val="nil"/>
              <w:tr2bl w:val="nil"/>
            </w:tcBorders>
            <w:vAlign w:val="center"/>
          </w:tcPr>
          <w:p w14:paraId="6DDC74F9">
            <w:pPr>
              <w:spacing w:line="200" w:lineRule="exact"/>
            </w:pPr>
            <w:r>
              <w:rPr>
                <w:rFonts w:ascii="方正黑体_GBK" w:hAnsi="方正黑体_GBK" w:eastAsia="方正黑体_GBK" w:cs="宋体"/>
                <w:sz w:val="18"/>
                <w:szCs w:val="18"/>
              </w:rPr>
              <w:t>发生下列情形时，管理人可暂停接受投资者认申购申请：</w:t>
            </w:r>
          </w:p>
          <w:p w14:paraId="37736521">
            <w:pPr>
              <w:spacing w:line="200" w:lineRule="exact"/>
            </w:pPr>
            <w:r>
              <w:rPr>
                <w:rFonts w:ascii="方正黑体_GBK" w:hAnsi="方正黑体_GBK" w:eastAsia="方正黑体_GBK" w:cs="宋体"/>
                <w:sz w:val="18"/>
                <w:szCs w:val="18"/>
              </w:rPr>
              <w:t>1.因不可抗力导致理财产品无法正常运作；</w:t>
            </w:r>
          </w:p>
          <w:p w14:paraId="6BC846D7">
            <w:pPr>
              <w:spacing w:line="200" w:lineRule="exact"/>
            </w:pPr>
            <w:r>
              <w:rPr>
                <w:rFonts w:ascii="方正黑体_GBK" w:hAnsi="方正黑体_GBK" w:eastAsia="方正黑体_GBK" w:cs="宋体"/>
                <w:sz w:val="18"/>
                <w:szCs w:val="18"/>
              </w:rPr>
              <w:t>2.因监管政策、市场发生重大变化，导致理财产品无法正常运作；</w:t>
            </w:r>
          </w:p>
          <w:p w14:paraId="51DF15EF">
            <w:pPr>
              <w:spacing w:line="200" w:lineRule="exact"/>
            </w:pPr>
            <w:r>
              <w:rPr>
                <w:rFonts w:ascii="方正黑体_GBK" w:hAnsi="方正黑体_GBK" w:eastAsia="方正黑体_GBK" w:cs="宋体"/>
                <w:sz w:val="18"/>
                <w:szCs w:val="18"/>
              </w:rPr>
              <w:t>3.管理人认为需要暂停认申购的其他情形。</w:t>
            </w:r>
          </w:p>
          <w:p w14:paraId="022FA59B">
            <w:pPr>
              <w:spacing w:line="200" w:lineRule="exact"/>
            </w:pPr>
            <w:r>
              <w:rPr>
                <w:rFonts w:ascii="方正黑体_GBK" w:hAnsi="方正黑体_GBK" w:eastAsia="方正黑体_GBK" w:cs="宋体"/>
                <w:b/>
                <w:sz w:val="18"/>
                <w:szCs w:val="18"/>
              </w:rPr>
              <w:t>若管理人暂停接受认申购申请，将在3个交易日内告知该理财产品的投资者，并说明运用相关措施的原因、拟采取的应对安排等。在暂停接受认申购申请期间，投资者需重新进行资金安排。</w:t>
            </w:r>
          </w:p>
        </w:tc>
      </w:tr>
      <w:tr w14:paraId="66D480C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1702" w:type="dxa"/>
            <w:tcBorders>
              <w:top w:val="single" w:color="auto" w:sz="4" w:space="0"/>
              <w:left w:val="single" w:color="auto" w:sz="4" w:space="0"/>
              <w:bottom w:val="single" w:color="auto" w:sz="4" w:space="0"/>
              <w:right w:val="single" w:color="auto" w:sz="4" w:space="0"/>
              <w:tl2br w:val="nil"/>
              <w:tr2bl w:val="nil"/>
            </w:tcBorders>
            <w:vAlign w:val="center"/>
          </w:tcPr>
          <w:p w14:paraId="2DF23B8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暂停接受赎回</w:t>
            </w:r>
          </w:p>
        </w:tc>
        <w:tc>
          <w:tcPr>
            <w:tcW w:w="6113" w:type="dxa"/>
            <w:tcBorders>
              <w:top w:val="single" w:color="auto" w:sz="4" w:space="0"/>
              <w:left w:val="nil"/>
              <w:bottom w:val="single" w:color="auto" w:sz="4" w:space="0"/>
              <w:right w:val="single" w:color="auto" w:sz="4" w:space="0"/>
              <w:tl2br w:val="nil"/>
              <w:tr2bl w:val="nil"/>
            </w:tcBorders>
            <w:vAlign w:val="center"/>
          </w:tcPr>
          <w:p w14:paraId="138DDD00">
            <w:pPr>
              <w:spacing w:line="200" w:lineRule="exact"/>
            </w:pPr>
            <w:r>
              <w:rPr>
                <w:rFonts w:ascii="方正黑体_GBK" w:hAnsi="方正黑体_GBK" w:eastAsia="方正黑体_GBK" w:cs="宋体"/>
                <w:sz w:val="18"/>
                <w:szCs w:val="18"/>
              </w:rPr>
              <w:t>当本理财产品的当期赎回量超过上期理财产品规模的20%时，管理人有权暂停接受投资者的赎回申请，已经接受的赎回申请管理人有权延缓支付赎回款项，延缓期限不超过20个工作日。</w:t>
            </w:r>
          </w:p>
          <w:p w14:paraId="6E80E041">
            <w:pPr>
              <w:spacing w:line="200" w:lineRule="exact"/>
            </w:pPr>
            <w:r>
              <w:rPr>
                <w:rFonts w:ascii="方正黑体_GBK" w:hAnsi="方正黑体_GBK" w:eastAsia="方正黑体_GBK" w:cs="宋体"/>
                <w:b/>
                <w:sz w:val="18"/>
                <w:szCs w:val="18"/>
              </w:rPr>
              <w:t>如发生以上暂停的情况，管理人将在3个交易日内告知投资者，并说明运用相关措施的原因、拟采取的应对安排等，投资者需重新进行资金安排。</w:t>
            </w:r>
          </w:p>
        </w:tc>
      </w:tr>
      <w:tr w14:paraId="189B58A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14" w:hRule="atLeast"/>
          <w:jc w:val="center"/>
          <w:hidden/>
        </w:trPr>
        <w:tc>
          <w:tcPr>
            <w:tcW w:w="1702" w:type="dxa"/>
            <w:tcBorders>
              <w:top w:val="single" w:color="auto" w:sz="4" w:space="0"/>
              <w:left w:val="single" w:color="auto" w:sz="4" w:space="0"/>
              <w:bottom w:val="single" w:color="auto" w:sz="4" w:space="0"/>
              <w:right w:val="single" w:color="auto" w:sz="4" w:space="0"/>
              <w:tl2br w:val="nil"/>
              <w:tr2bl w:val="nil"/>
            </w:tcBorders>
            <w:vAlign w:val="center"/>
          </w:tcPr>
          <w:p w14:paraId="32475B2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其他说明事项</w:t>
            </w:r>
          </w:p>
        </w:tc>
        <w:tc>
          <w:tcPr>
            <w:tcW w:w="6113" w:type="dxa"/>
            <w:tcBorders>
              <w:top w:val="single" w:color="auto" w:sz="4" w:space="0"/>
              <w:left w:val="nil"/>
              <w:bottom w:val="single" w:color="auto" w:sz="4" w:space="0"/>
              <w:right w:val="single" w:color="auto" w:sz="4" w:space="0"/>
              <w:tl2br w:val="nil"/>
              <w:tr2bl w:val="nil"/>
            </w:tcBorders>
            <w:vAlign w:val="center"/>
          </w:tcPr>
          <w:p w14:paraId="4F3A4D4F">
            <w:pPr>
              <w:spacing w:line="200" w:lineRule="exact"/>
              <w:jc w:val="left"/>
            </w:pPr>
            <w:r>
              <w:rPr>
                <w:rFonts w:ascii="方正黑体_GBK" w:hAnsi="方正黑体_GBK" w:eastAsia="方正黑体_GBK" w:cs="宋体"/>
                <w:sz w:val="18"/>
                <w:szCs w:val="18"/>
              </w:rPr>
              <w:t>1.本理财产品开放日内非操作时间不能进行申购/赎回申请，封闭期内不开放申购/赎回申请。</w:t>
            </w:r>
          </w:p>
          <w:p w14:paraId="27006A5F">
            <w:pPr>
              <w:spacing w:line="200" w:lineRule="exact"/>
              <w:jc w:val="left"/>
            </w:pPr>
            <w:r>
              <w:rPr>
                <w:rFonts w:ascii="方正黑体_GBK" w:hAnsi="方正黑体_GBK" w:eastAsia="方正黑体_GBK" w:cs="宋体"/>
                <w:sz w:val="18"/>
                <w:szCs w:val="18"/>
              </w:rPr>
              <w:t>2.管理人在本理财产品存续期间按照监管规定进行信息披露，详见本理财产品说明书第五条信息披露。</w:t>
            </w:r>
          </w:p>
          <w:p w14:paraId="5445AB4D">
            <w:pPr>
              <w:spacing w:line="200" w:lineRule="exact"/>
              <w:jc w:val="left"/>
            </w:pPr>
            <w:r>
              <w:rPr>
                <w:rFonts w:ascii="方正黑体_GBK" w:hAnsi="方正黑体_GBK" w:eastAsia="方正黑体_GBK" w:cs="宋体"/>
                <w:b/>
                <w:sz w:val="18"/>
                <w:szCs w:val="18"/>
              </w:rPr>
              <w:t>3.本理财产品投资的资产管理产品的业绩报酬、赎回费等的提取（如有）可能造成本理财产品净值的下降。</w:t>
            </w:r>
          </w:p>
          <w:p w14:paraId="3453B339">
            <w:pPr>
              <w:spacing w:line="200" w:lineRule="exact"/>
            </w:pPr>
            <w:r>
              <w:rPr>
                <w:rFonts w:ascii="方正黑体_GBK" w:hAnsi="方正黑体_GBK" w:eastAsia="方正黑体_GBK" w:cs="宋体"/>
                <w:b/>
                <w:sz w:val="18"/>
                <w:szCs w:val="18"/>
              </w:rPr>
              <w:t>4.本理财产品计划投资不存在活跃交易市场，并且需要采用估值技术确定公允价值的资产；计划投资上述资产的比例达到理财产品净资产50％以上。</w:t>
            </w:r>
          </w:p>
        </w:tc>
      </w:tr>
      <w:tr w14:paraId="205BA45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1702" w:type="dxa"/>
            <w:tcBorders>
              <w:top w:val="single" w:color="auto" w:sz="4" w:space="0"/>
              <w:left w:val="single" w:color="auto" w:sz="4" w:space="0"/>
              <w:bottom w:val="single" w:color="auto" w:sz="4" w:space="0"/>
              <w:right w:val="single" w:color="auto" w:sz="4" w:space="0"/>
              <w:tl2br w:val="nil"/>
              <w:tr2bl w:val="nil"/>
            </w:tcBorders>
            <w:vAlign w:val="center"/>
          </w:tcPr>
          <w:p w14:paraId="78B08E1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税务处理</w:t>
            </w:r>
          </w:p>
        </w:tc>
        <w:tc>
          <w:tcPr>
            <w:tcW w:w="6113" w:type="dxa"/>
            <w:tcBorders>
              <w:top w:val="single" w:color="auto" w:sz="4" w:space="0"/>
              <w:left w:val="nil"/>
              <w:bottom w:val="single" w:color="auto" w:sz="4" w:space="0"/>
              <w:right w:val="single" w:color="auto" w:sz="4" w:space="0"/>
              <w:tl2br w:val="nil"/>
              <w:tr2bl w:val="nil"/>
            </w:tcBorders>
            <w:vAlign w:val="center"/>
          </w:tcPr>
          <w:p w14:paraId="417F8CA9">
            <w:pPr>
              <w:spacing w:line="200" w:lineRule="exact"/>
            </w:pPr>
            <w:r>
              <w:rPr>
                <w:rFonts w:ascii="方正黑体_GBK" w:hAnsi="方正黑体_GBK" w:eastAsia="方正黑体_GBK"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14:paraId="0E88A4C8">
      <w:pPr>
        <w:pStyle w:val="32"/>
        <w:rPr>
          <w:rFonts w:hint="eastAsia" w:ascii="方正黑体_GBK" w:hAnsi="方正黑体_GBK" w:eastAsia="方正黑体_GBK"/>
          <w:b/>
          <w:sz w:val="15"/>
          <w:szCs w:val="15"/>
        </w:rPr>
      </w:pPr>
      <w:r>
        <w:rPr>
          <w:rFonts w:ascii="方正黑体_GBK" w:hAnsi="方正黑体_GBK" w:eastAsia="方正黑体_GBK"/>
          <w:b/>
          <w:caps w:val="0"/>
          <w:smallCaps w:val="0"/>
          <w:snapToGrid/>
          <w:vanish w:val="0"/>
          <w:color w:val="auto"/>
          <w:sz w:val="15"/>
          <w:szCs w:val="15"/>
          <w:vertAlign w:val="baseline"/>
        </w:rPr>
        <w:t>特别说明：本理财产品无预期收益率，</w:t>
      </w:r>
      <w:r>
        <w:rPr>
          <w:rFonts w:ascii="方正黑体_GBK" w:hAnsi="方正黑体_GBK" w:eastAsia="方正黑体_GBK"/>
          <w:b/>
          <w:caps w:val="0"/>
          <w:smallCaps w:val="0"/>
          <w:snapToGrid/>
          <w:vanish w:val="0"/>
          <w:color w:val="auto"/>
          <w:sz w:val="15"/>
          <w:szCs w:val="15"/>
          <w:u w:val="single"/>
          <w:vertAlign w:val="baseline"/>
        </w:rPr>
        <w:t>理财产品过往业绩不代表其未来表现，不等于理财产品实际收益，</w:t>
      </w:r>
      <w:r>
        <w:rPr>
          <w:rFonts w:ascii="方正黑体_GBK" w:hAnsi="方正黑体_GBK" w:eastAsia="方正黑体_GBK"/>
          <w:b/>
          <w:caps w:val="0"/>
          <w:smallCaps w:val="0"/>
          <w:snapToGrid/>
          <w:vanish w:val="0"/>
          <w:color w:val="auto"/>
          <w:sz w:val="15"/>
          <w:szCs w:val="15"/>
          <w:vertAlign w:val="baseline"/>
        </w:rPr>
        <w:t>投资须谨慎。</w:t>
      </w:r>
    </w:p>
    <w:p w14:paraId="0D56C399">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outlineLvl w:val="0"/>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第二条</w:t>
      </w:r>
      <w:r>
        <w:rPr>
          <w:rFonts w:hint="eastAsia" w:ascii="方正黑体_GBK" w:hAnsi="方正黑体_GBK" w:eastAsia="方正黑体_GBK" w:cs="Times New Roman"/>
          <w:b/>
          <w:bCs/>
          <w:vanish w:val="0"/>
          <w:color w:val="3D3D3D"/>
          <w:kern w:val="0"/>
          <w:sz w:val="15"/>
          <w:szCs w:val="15"/>
        </w:rPr>
        <w:t xml:space="preserve">  </w:t>
      </w:r>
      <w:r>
        <w:rPr>
          <w:rFonts w:hint="eastAsia" w:ascii="方正黑体_GBK" w:hAnsi="方正黑体_GBK" w:eastAsia="方正黑体_GBK"/>
          <w:b/>
          <w:bCs/>
          <w:vanish w:val="0"/>
          <w:color w:val="3D3D3D"/>
          <w:kern w:val="0"/>
          <w:sz w:val="15"/>
          <w:szCs w:val="15"/>
        </w:rPr>
        <w:t>名词释义</w:t>
      </w:r>
    </w:p>
    <w:p w14:paraId="04E18B01">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89"/>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在本理财产品说明书中，除非上下文另有明确约定，下列用词将具有如下含义：</w:t>
      </w:r>
    </w:p>
    <w:p w14:paraId="7CC93155">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参与主体用语</w:t>
      </w:r>
    </w:p>
    <w:p w14:paraId="5785DF0D">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1.南银理财/管理人/</w:t>
      </w:r>
      <w:r>
        <w:rPr>
          <w:rFonts w:hint="eastAsia" w:ascii="方正黑体_GBK" w:hAnsi="方正黑体_GBK" w:eastAsia="方正黑体_GBK"/>
          <w:color w:val="3D3D3D"/>
          <w:kern w:val="0"/>
          <w:sz w:val="15"/>
          <w:szCs w:val="15"/>
          <w:highlight w:val="none"/>
          <w:lang w:val="en-US" w:eastAsia="zh-CN"/>
        </w:rPr>
        <w:t>产品管理人/</w:t>
      </w:r>
      <w:r>
        <w:rPr>
          <w:rFonts w:ascii="方正黑体_GBK" w:hAnsi="方正黑体_GBK" w:eastAsia="方正黑体_GBK"/>
          <w:color w:val="3D3D3D"/>
          <w:kern w:val="0"/>
          <w:sz w:val="15"/>
          <w:szCs w:val="15"/>
          <w:highlight w:val="none"/>
        </w:rPr>
        <w:t>理财产品管理人：指南银理财有限责任公司。</w:t>
      </w:r>
    </w:p>
    <w:p w14:paraId="71817AD4">
      <w:pPr>
        <w:pStyle w:val="47"/>
        <w:keepNext w:val="0"/>
        <w:keepLines w:val="0"/>
        <w:pageBreakBefore w:val="0"/>
        <w:widowControl/>
        <w:suppressLineNumbers w:val="0"/>
        <w:tabs>
          <w:tab w:val="left" w:pos="567"/>
        </w:tabs>
        <w:suppressAutoHyphens w:val="0"/>
        <w:spacing w:line="200" w:lineRule="exact"/>
        <w:ind w:firstLine="0"/>
        <w:outlineLvl w:val="1"/>
        <w:rPr>
          <w:color w:val="3D3D3D"/>
          <w:kern w:val="0"/>
          <w:sz w:val="15"/>
          <w:szCs w:val="15"/>
          <w:highlight w:val="none"/>
        </w:rPr>
      </w:pPr>
      <w:r>
        <w:rPr>
          <w:rFonts w:hint="eastAsia" w:ascii="方正黑体_GBK" w:hAnsi="方正黑体_GBK" w:eastAsia="方正黑体_GBK"/>
          <w:color w:val="3D3D3D"/>
          <w:kern w:val="0"/>
          <w:sz w:val="15"/>
          <w:szCs w:val="15"/>
          <w:highlight w:val="none"/>
          <w:lang w:eastAsia="zh-CN"/>
        </w:rPr>
        <w:t xml:space="preserve">     2.销售</w:t>
      </w:r>
      <w:r>
        <w:rPr>
          <w:rFonts w:hint="eastAsia" w:ascii="方正黑体_GBK" w:hAnsi="方正黑体_GBK" w:eastAsia="方正黑体_GBK"/>
          <w:color w:val="3D3D3D"/>
          <w:kern w:val="0"/>
          <w:sz w:val="15"/>
          <w:szCs w:val="15"/>
          <w:highlight w:val="none"/>
        </w:rPr>
        <w:t>机构：指</w:t>
      </w:r>
      <w:r>
        <w:rPr>
          <w:rFonts w:hint="eastAsia" w:ascii="方正黑体_GBK" w:hAnsi="方正黑体_GBK" w:eastAsia="方正黑体_GBK"/>
          <w:color w:val="3D3D3D"/>
          <w:kern w:val="0"/>
          <w:sz w:val="15"/>
          <w:szCs w:val="15"/>
          <w:highlight w:val="none"/>
          <w:lang w:eastAsia="zh-CN"/>
        </w:rPr>
        <w:t>本</w:t>
      </w:r>
      <w:r>
        <w:rPr>
          <w:rFonts w:hint="eastAsia" w:ascii="方正黑体_GBK" w:hAnsi="方正黑体_GBK" w:eastAsia="方正黑体_GBK"/>
          <w:color w:val="3D3D3D"/>
          <w:kern w:val="0"/>
          <w:sz w:val="15"/>
          <w:szCs w:val="15"/>
          <w:highlight w:val="none"/>
        </w:rPr>
        <w:t>理财产品的销售机构</w:t>
      </w:r>
      <w:r>
        <w:rPr>
          <w:rFonts w:hint="eastAsia" w:ascii="方正黑体_GBK" w:hAnsi="方正黑体_GBK" w:eastAsia="方正黑体_GBK"/>
          <w:color w:val="3D3D3D"/>
          <w:kern w:val="0"/>
          <w:sz w:val="15"/>
          <w:szCs w:val="15"/>
          <w:highlight w:val="none"/>
          <w:lang w:eastAsia="zh-CN"/>
        </w:rPr>
        <w:t>，</w:t>
      </w:r>
      <w:r>
        <w:rPr>
          <w:rFonts w:hint="eastAsia" w:ascii="方正黑体_GBK" w:hAnsi="方正黑体_GBK" w:eastAsia="方正黑体_GBK"/>
          <w:color w:val="3D3D3D"/>
          <w:kern w:val="0"/>
          <w:sz w:val="15"/>
          <w:szCs w:val="15"/>
          <w:highlight w:val="none"/>
          <w:lang w:val="en-US" w:eastAsia="zh-CN"/>
        </w:rPr>
        <w:t>包括</w:t>
      </w:r>
      <w:r>
        <w:rPr>
          <w:rFonts w:hint="eastAsia" w:ascii="方正黑体_GBK" w:hAnsi="方正黑体_GBK" w:eastAsia="方正黑体_GBK"/>
          <w:color w:val="3D3D3D"/>
          <w:kern w:val="0"/>
          <w:sz w:val="15"/>
          <w:szCs w:val="15"/>
          <w:highlight w:val="none"/>
        </w:rPr>
        <w:t>销售本公司发行理财产品的理财公司</w:t>
      </w:r>
      <w:r>
        <w:rPr>
          <w:rFonts w:hint="eastAsia" w:ascii="方正黑体_GBK" w:hAnsi="方正黑体_GBK" w:eastAsia="方正黑体_GBK"/>
          <w:color w:val="3D3D3D"/>
          <w:kern w:val="0"/>
          <w:sz w:val="15"/>
          <w:szCs w:val="15"/>
          <w:highlight w:val="none"/>
          <w:lang w:val="en-US" w:eastAsia="zh-CN"/>
        </w:rPr>
        <w:t>即南银理财，以及</w:t>
      </w:r>
      <w:r>
        <w:rPr>
          <w:rFonts w:hint="eastAsia" w:ascii="方正黑体_GBK" w:hAnsi="方正黑体_GBK" w:eastAsia="方正黑体_GBK"/>
          <w:color w:val="3D3D3D"/>
          <w:kern w:val="0"/>
          <w:sz w:val="15"/>
          <w:szCs w:val="15"/>
          <w:highlight w:val="none"/>
        </w:rPr>
        <w:t>接受</w:t>
      </w:r>
      <w:r>
        <w:rPr>
          <w:rFonts w:hint="eastAsia" w:ascii="方正黑体_GBK" w:hAnsi="方正黑体_GBK" w:eastAsia="方正黑体_GBK"/>
          <w:color w:val="3D3D3D"/>
          <w:kern w:val="0"/>
          <w:sz w:val="15"/>
          <w:szCs w:val="15"/>
          <w:highlight w:val="none"/>
          <w:lang w:val="en-US" w:eastAsia="zh-CN"/>
        </w:rPr>
        <w:t>南银理财</w:t>
      </w:r>
      <w:r>
        <w:rPr>
          <w:rFonts w:hint="eastAsia" w:ascii="方正黑体_GBK" w:hAnsi="方正黑体_GBK" w:eastAsia="方正黑体_GBK"/>
          <w:color w:val="3D3D3D"/>
          <w:kern w:val="0"/>
          <w:sz w:val="15"/>
          <w:szCs w:val="15"/>
          <w:highlight w:val="none"/>
        </w:rPr>
        <w:t>委托销售其发行理财产品的代理销售机构</w:t>
      </w:r>
      <w:r>
        <w:rPr>
          <w:rFonts w:hint="eastAsia" w:ascii="方正黑体_GBK" w:hAnsi="方正黑体_GBK" w:eastAsia="方正黑体_GBK"/>
          <w:color w:val="3D3D3D"/>
          <w:kern w:val="0"/>
          <w:sz w:val="15"/>
          <w:szCs w:val="15"/>
          <w:highlight w:val="none"/>
          <w:lang w:eastAsia="zh-CN"/>
        </w:rPr>
        <w:t>（</w:t>
      </w:r>
      <w:r>
        <w:rPr>
          <w:rFonts w:hint="eastAsia" w:ascii="方正黑体_GBK" w:hAnsi="方正黑体_GBK" w:eastAsia="方正黑体_GBK"/>
          <w:color w:val="3D3D3D"/>
          <w:kern w:val="0"/>
          <w:sz w:val="15"/>
          <w:szCs w:val="15"/>
          <w:highlight w:val="none"/>
          <w:lang w:val="en-US" w:eastAsia="zh-CN"/>
        </w:rPr>
        <w:t>代销机构</w:t>
      </w:r>
      <w:r>
        <w:rPr>
          <w:rFonts w:hint="eastAsia" w:ascii="方正黑体_GBK" w:hAnsi="方正黑体_GBK" w:eastAsia="方正黑体_GBK"/>
          <w:color w:val="3D3D3D"/>
          <w:kern w:val="0"/>
          <w:sz w:val="15"/>
          <w:szCs w:val="15"/>
          <w:highlight w:val="none"/>
          <w:lang w:eastAsia="zh-CN"/>
        </w:rPr>
        <w:t>）</w:t>
      </w:r>
      <w:r>
        <w:rPr>
          <w:rFonts w:hint="eastAsia" w:ascii="方正黑体_GBK" w:hAnsi="方正黑体_GBK" w:eastAsia="方正黑体_GBK"/>
          <w:color w:val="3D3D3D"/>
          <w:kern w:val="0"/>
          <w:sz w:val="15"/>
          <w:szCs w:val="15"/>
          <w:highlight w:val="none"/>
        </w:rPr>
        <w:t>。</w:t>
      </w:r>
    </w:p>
    <w:p w14:paraId="76729A6E">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3.托管人：</w:t>
      </w:r>
      <w:r>
        <w:rPr>
          <w:rFonts w:hint="eastAsia" w:ascii="方正黑体_GBK" w:hAnsi="方正黑体_GBK" w:eastAsia="方正黑体_GBK"/>
          <w:color w:val="3D3D3D"/>
          <w:kern w:val="0"/>
          <w:sz w:val="15"/>
          <w:szCs w:val="15"/>
          <w:highlight w:val="none"/>
        </w:rPr>
        <w:t>指根据管理人委托，对理财产品财产进行托管的机构</w:t>
      </w:r>
      <w:r>
        <w:rPr>
          <w:rFonts w:ascii="方正黑体_GBK" w:hAnsi="方正黑体_GBK" w:eastAsia="方正黑体_GBK"/>
          <w:color w:val="3D3D3D"/>
          <w:kern w:val="0"/>
          <w:sz w:val="15"/>
          <w:szCs w:val="15"/>
          <w:highlight w:val="none"/>
        </w:rPr>
        <w:t>。</w:t>
      </w:r>
    </w:p>
    <w:p w14:paraId="133CF47B">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4.认购</w:t>
      </w:r>
      <w:r>
        <w:rPr>
          <w:rFonts w:hint="eastAsia" w:ascii="方正黑体_GBK" w:hAnsi="方正黑体_GBK" w:eastAsia="方正黑体_GBK"/>
          <w:color w:val="3D3D3D"/>
          <w:kern w:val="0"/>
          <w:sz w:val="15"/>
          <w:szCs w:val="15"/>
          <w:highlight w:val="none"/>
        </w:rPr>
        <w:t>/申购</w:t>
      </w:r>
      <w:r>
        <w:rPr>
          <w:rFonts w:ascii="方正黑体_GBK" w:hAnsi="方正黑体_GBK" w:eastAsia="方正黑体_GBK"/>
          <w:color w:val="3D3D3D"/>
          <w:kern w:val="0"/>
          <w:sz w:val="15"/>
          <w:szCs w:val="15"/>
          <w:highlight w:val="none"/>
        </w:rPr>
        <w:t>人：指在募集期</w:t>
      </w:r>
      <w:r>
        <w:rPr>
          <w:rFonts w:hint="eastAsia" w:ascii="方正黑体_GBK" w:hAnsi="方正黑体_GBK" w:eastAsia="方正黑体_GBK"/>
          <w:color w:val="3D3D3D"/>
          <w:kern w:val="0"/>
          <w:sz w:val="15"/>
          <w:szCs w:val="15"/>
          <w:highlight w:val="none"/>
        </w:rPr>
        <w:t>/开放期</w:t>
      </w:r>
      <w:r>
        <w:rPr>
          <w:rFonts w:ascii="方正黑体_GBK" w:hAnsi="方正黑体_GBK" w:eastAsia="方正黑体_GBK"/>
          <w:color w:val="3D3D3D"/>
          <w:kern w:val="0"/>
          <w:sz w:val="15"/>
          <w:szCs w:val="15"/>
          <w:highlight w:val="none"/>
        </w:rPr>
        <w:t>期间签署本理财产品销售文件并向理财产品管理人交付认购</w:t>
      </w:r>
      <w:r>
        <w:rPr>
          <w:rFonts w:hint="eastAsia" w:ascii="方正黑体_GBK" w:hAnsi="方正黑体_GBK" w:eastAsia="方正黑体_GBK"/>
          <w:color w:val="3D3D3D"/>
          <w:kern w:val="0"/>
          <w:sz w:val="15"/>
          <w:szCs w:val="15"/>
          <w:highlight w:val="none"/>
        </w:rPr>
        <w:t>/申购</w:t>
      </w:r>
      <w:r>
        <w:rPr>
          <w:rFonts w:ascii="方正黑体_GBK" w:hAnsi="方正黑体_GBK" w:eastAsia="方正黑体_GBK"/>
          <w:color w:val="3D3D3D"/>
          <w:kern w:val="0"/>
          <w:sz w:val="15"/>
          <w:szCs w:val="15"/>
          <w:highlight w:val="none"/>
        </w:rPr>
        <w:t>资金的投资者。</w:t>
      </w:r>
    </w:p>
    <w:p w14:paraId="0AF97A40">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5.理财产品份额持有人/持有人：指其认购或申购申请，经过管理人确认认购或申购成功，从而持有理财产品份额的投资者。</w:t>
      </w:r>
    </w:p>
    <w:p w14:paraId="301F9CED">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6.投资者：指购买南银理财发行的相关理财产品的符合相关法律法规及监管要求的个人或机构。</w:t>
      </w:r>
    </w:p>
    <w:p w14:paraId="07F94EBC">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法律文件用语</w:t>
      </w:r>
    </w:p>
    <w:p w14:paraId="26B32423">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1.销售协议书：指本理财产品对应的《理财产品销售协议书》以及对该文件的有效修改或补充。</w:t>
      </w:r>
    </w:p>
    <w:p w14:paraId="53B478E2">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2.产品说明书/本理财产品说明书：指本《理财产品说明书》以及对</w:t>
      </w:r>
      <w:r>
        <w:rPr>
          <w:rFonts w:hint="eastAsia" w:ascii="方正黑体_GBK" w:hAnsi="方正黑体_GBK" w:eastAsia="方正黑体_GBK"/>
          <w:color w:val="3D3D3D"/>
          <w:kern w:val="0"/>
          <w:sz w:val="15"/>
          <w:szCs w:val="15"/>
          <w:highlight w:val="none"/>
          <w:lang w:eastAsia="zh-CN"/>
        </w:rPr>
        <w:t>该文件</w:t>
      </w:r>
      <w:r>
        <w:rPr>
          <w:rFonts w:ascii="方正黑体_GBK" w:hAnsi="方正黑体_GBK" w:eastAsia="方正黑体_GBK"/>
          <w:color w:val="3D3D3D"/>
          <w:kern w:val="0"/>
          <w:sz w:val="15"/>
          <w:szCs w:val="15"/>
          <w:highlight w:val="none"/>
        </w:rPr>
        <w:t>的有效修改或补充。</w:t>
      </w:r>
    </w:p>
    <w:p w14:paraId="190FEC30">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3.风险揭示书：指本理财产品对应的《理财产品风险揭示书》以及对该文件的有效修改或补充。</w:t>
      </w:r>
    </w:p>
    <w:p w14:paraId="3638F2D0">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4.投资者权益须知：指本理财产品对应的《投资者权益须知》以及对该文件的有效修改或补充。</w:t>
      </w:r>
    </w:p>
    <w:p w14:paraId="137C4189">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5.投资协议书</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指本理财产品对应的《理财产品投资协议书》以及对该文件的有效修改或补充。</w:t>
      </w:r>
    </w:p>
    <w:p w14:paraId="3CDFD326">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6.销售文件：指本理财产品对应的产品说明书、风险揭示书、投资者权益须知</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销售协议书</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投资协议书等。</w:t>
      </w:r>
      <w:r>
        <w:rPr>
          <w:rFonts w:ascii="方正黑体_GBK" w:hAnsi="方正黑体_GBK" w:eastAsia="方正黑体_GBK"/>
          <w:bCs/>
          <w:color w:val="3D3D3D"/>
          <w:kern w:val="0"/>
          <w:sz w:val="15"/>
          <w:szCs w:val="15"/>
          <w:highlight w:val="none"/>
        </w:rPr>
        <w:t>上述文件共同构成本理财产品完整且不可分割的销售文件。</w:t>
      </w:r>
    </w:p>
    <w:p w14:paraId="45471190">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期间与日期</w:t>
      </w:r>
    </w:p>
    <w:p w14:paraId="149D7E3B">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1.募集期：指管理人确定的接受投资者认购本理财产品的起止期限。</w:t>
      </w:r>
    </w:p>
    <w:p w14:paraId="592CDC61">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2.开放期：指管理人确定的除募集期外接受投资者申购、赎回本理财产品的起止期限。</w:t>
      </w:r>
    </w:p>
    <w:p w14:paraId="0F97B932">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3.提前终止权行使日：指管理人行使提前终止权的日期，即本理财产品被提前终止、开始停止计算收益的日期。</w:t>
      </w:r>
    </w:p>
    <w:p w14:paraId="5430343F">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4.延期终止日：指管理人根据本理财产品说明书约定延长理财产品存续期后本理财产品的终止日，即本理财产品被延期终止、开始停止计算收益的日期。</w:t>
      </w:r>
    </w:p>
    <w:p w14:paraId="3B1536FA">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5.认购、申购、赎回确认日：指投资者认购、申购、赎回理财产品最终确认日期。</w:t>
      </w:r>
    </w:p>
    <w:p w14:paraId="310D7B0B">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6.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14:paraId="2CFAB902">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7.产品存续期：指理财产品成立至终止的期间。</w:t>
      </w:r>
    </w:p>
    <w:p w14:paraId="7FC4072C">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8.名义到期日：指在管理人未对本理财产品提前终止或延期终止的情况下本理财产品的到期日期。</w:t>
      </w:r>
    </w:p>
    <w:p w14:paraId="1239E62D">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9.到期日/终止日：指管理人实际开始停止计算本理财产品收益的日期。若本理财产品未提前终止或延期终止，则到期日/终止日即为名义到期日；若本理财产品被提前终止，则到期日/终止日为提前终止权行使日；若本理财产品被延期终止，则到期日/终止日为延期终止日。</w:t>
      </w:r>
    </w:p>
    <w:p w14:paraId="1E1AB6CB">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10.工作日：指除国家法定节假日和休息日（包括周六、周日）外的日期。</w:t>
      </w:r>
    </w:p>
    <w:p w14:paraId="3F405BE5">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11.交易日：指上海证券交易所和深圳证券交易所的正常开盘交易日。</w:t>
      </w:r>
    </w:p>
    <w:p w14:paraId="0B0621D9">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12.支付日：指根据本理财产品说明书约定向销售文件约定的投资者授权指定账户划付理财产品资金之日。</w:t>
      </w:r>
    </w:p>
    <w:p w14:paraId="79A86EA7">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13.赎回或到期清算分配资金到账日：指赎回或到期清算分配资金划入销售文件约定的投资者授权指定账户之日。</w:t>
      </w:r>
    </w:p>
    <w:p w14:paraId="4DD15FD0">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理财产品用语</w:t>
      </w:r>
    </w:p>
    <w:p w14:paraId="39E32940">
      <w:pPr>
        <w:pStyle w:val="47"/>
        <w:keepNext w:val="0"/>
        <w:keepLines w:val="0"/>
        <w:pageBreakBefore w:val="0"/>
        <w:widowControl/>
        <w:suppressLineNumbers w:val="0"/>
        <w:tabs>
          <w:tab w:val="left" w:pos="567"/>
        </w:tabs>
        <w:suppressAutoHyphens w:val="0"/>
        <w:spacing w:line="200" w:lineRule="exact"/>
        <w:ind w:left="289" w:firstLine="0"/>
        <w:rPr>
          <w:rFonts w:ascii="方正黑体_GBK" w:hAnsi="方正黑体_GBK" w:eastAsia="方正黑体_GBK"/>
          <w:vanish w:val="0"/>
          <w:color w:val="3D3D3D"/>
          <w:kern w:val="0"/>
          <w:sz w:val="15"/>
          <w:szCs w:val="15"/>
        </w:rPr>
      </w:pPr>
      <w:r>
        <w:rPr>
          <w:rFonts w:ascii="方正黑体_GBK" w:hAnsi="方正黑体_GBK" w:eastAsia="方正黑体_GBK"/>
          <w:color w:val="3D3D3D"/>
          <w:kern w:val="0"/>
          <w:sz w:val="15"/>
          <w:szCs w:val="15"/>
          <w:highlight w:val="none"/>
        </w:rPr>
        <w:t xml:space="preserve"> 1.本理财产品/理财产品：</w:t>
      </w:r>
      <w:r>
        <w:rPr>
          <w:rFonts w:hint="eastAsia" w:ascii="方正黑体_GBK" w:hAnsi="方正黑体_GBK" w:eastAsia="方正黑体_GBK" w:cs="Times New Roman"/>
          <w:vanish w:val="0"/>
          <w:color w:val="3D3D3D"/>
          <w:kern w:val="0"/>
          <w:sz w:val="15"/>
          <w:szCs w:val="15"/>
        </w:rPr>
        <w:t xml:space="preserve"> </w:t>
      </w:r>
      <w:r>
        <w:rPr>
          <w:rFonts w:ascii="方正黑体_GBK" w:hAnsi="方正黑体_GBK" w:eastAsia="方正黑体_GBK"/>
          <w:b/>
          <w:bCs/>
          <w:caps w:val="0"/>
          <w:smallCaps w:val="0"/>
          <w:snapToGrid/>
          <w:vanish w:val="0"/>
          <w:color w:val="3D3D3D"/>
          <w:kern w:val="0"/>
          <w:sz w:val="15"/>
          <w:szCs w:val="15"/>
          <w:vertAlign w:val="baseline"/>
          <w:lang w:val="en-US" w:eastAsia="zh-CN"/>
        </w:rPr>
        <w:t>南银理财鼎瑞行稳一年定开2025第1期公募人民币理财产品</w:t>
      </w:r>
      <w:r>
        <w:rPr>
          <w:rFonts w:hint="eastAsia" w:ascii="方正黑体_GBK" w:hAnsi="方正黑体_GBK" w:eastAsia="方正黑体_GBK"/>
          <w:vanish w:val="0"/>
          <w:color w:val="3D3D3D"/>
          <w:kern w:val="0"/>
          <w:sz w:val="15"/>
          <w:szCs w:val="15"/>
        </w:rPr>
        <w:t>。</w:t>
      </w:r>
    </w:p>
    <w:p w14:paraId="27E2EED5">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2.认购金额/申购金额/投资本金：指投资者认购或申购本理财产品的本金金额。为避免疑义，认购金额/申购金额/投资本金的称谓仅为方便计算理财产品投资收益而创设的，并非对投资者投资本金不受损失的承诺。</w:t>
      </w:r>
    </w:p>
    <w:p w14:paraId="0625E999">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3.投资收益：指投资者投资理财产品份额获得的投资收益，该收益为其获得分配的全部理财产品赎回资金或到期清算分配资金中扣除投资本金的部分。</w:t>
      </w:r>
    </w:p>
    <w:p w14:paraId="1CC0795A">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4.理财产品份额/产品份额：指投资者持有本理财产品的单位数额。投资者基于其所持有的理财产品单位数额享有理财产品利益、承担理财产品风险。</w:t>
      </w:r>
    </w:p>
    <w:p w14:paraId="0B178BAD">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产品资产净值=产品资产总值-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14:paraId="12A6BF22">
      <w:pPr>
        <w:pStyle w:val="47"/>
        <w:keepNext w:val="0"/>
        <w:keepLines w:val="0"/>
        <w:pageBreakBefore w:val="0"/>
        <w:widowControl/>
        <w:suppressLineNumbers w:val="0"/>
        <w:tabs>
          <w:tab w:val="left" w:pos="567"/>
        </w:tabs>
        <w:suppressAutoHyphens w:val="0"/>
        <w:spacing w:line="200" w:lineRule="exact"/>
        <w:ind w:left="289" w:firstLine="0"/>
        <w:outlineLvl w:val="1"/>
      </w:pPr>
      <w:r>
        <w:rPr>
          <w:rFonts w:ascii="方正黑体_GBK" w:hAnsi="方正黑体_GBK" w:eastAsia="方正黑体_GBK"/>
          <w:color w:val="3D3D3D"/>
          <w:kern w:val="0"/>
          <w:sz w:val="15"/>
          <w:szCs w:val="15"/>
          <w:highlight w:val="none"/>
        </w:rPr>
        <w:t xml:space="preserve"> 6.单位净值/产品每份额净值：指理财产品每单位份额的净值，即每1份理财产品份额以人民币计价的价格。</w:t>
      </w:r>
      <w:r>
        <w:rPr>
          <w:rFonts w:ascii="方正黑体_GBK" w:hAnsi="方正黑体_GBK" w:eastAsia="方正黑体_GBK"/>
          <w:bCs/>
          <w:color w:val="3D3D3D"/>
          <w:kern w:val="0"/>
          <w:sz w:val="15"/>
          <w:szCs w:val="15"/>
          <w:highlight w:val="none"/>
        </w:rPr>
        <w:t>产品份额净值=产品资产净值/产品总份额。投资者按该份额净值进行理财产品认购、申购和赎回、获得到期/终止时分配。</w:t>
      </w:r>
      <w:r>
        <w:rPr>
          <w:rFonts w:ascii="方正黑体_GBK" w:hAnsi="方正黑体_GBK" w:eastAsia="方正黑体_GBK"/>
          <w:color w:val="3D3D3D"/>
          <w:kern w:val="0"/>
          <w:sz w:val="15"/>
          <w:szCs w:val="15"/>
        </w:rPr>
        <w:t>产品份额净值按去尾法保留4位小数。</w:t>
      </w:r>
    </w:p>
    <w:p w14:paraId="6C65547B">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7.理财产品估值/估值：指计算评估理财产品资产以确定理财产品份额单位净值的过程。</w:t>
      </w:r>
    </w:p>
    <w:p w14:paraId="7A2A9FE5">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8.业绩比较基准：指管理人基于</w:t>
      </w:r>
      <w:r>
        <w:rPr>
          <w:rFonts w:hint="eastAsia" w:ascii="方正黑体_GBK" w:hAnsi="方正黑体_GBK" w:eastAsia="方正黑体_GBK"/>
          <w:color w:val="3D3D3D"/>
          <w:kern w:val="0"/>
          <w:sz w:val="15"/>
          <w:szCs w:val="15"/>
          <w:highlight w:val="none"/>
          <w:lang w:val="en-US" w:eastAsia="zh-CN"/>
        </w:rPr>
        <w:t>产品性质、投资策略、</w:t>
      </w:r>
      <w:r>
        <w:rPr>
          <w:rFonts w:ascii="方正黑体_GBK" w:hAnsi="方正黑体_GBK" w:eastAsia="方正黑体_GBK"/>
          <w:color w:val="3D3D3D"/>
          <w:kern w:val="0"/>
          <w:sz w:val="15"/>
          <w:szCs w:val="15"/>
          <w:highlight w:val="none"/>
        </w:rPr>
        <w:t>过往投资经验及对产品存续期投资市场波动的预判而对本理财产品所设定的投资目标，业绩比较基准不代表本理财产品的未来表现和实际收益，</w:t>
      </w:r>
      <w:r>
        <w:rPr>
          <w:rFonts w:hint="eastAsia" w:ascii="方正黑体_GBK" w:hAnsi="方正黑体_GBK" w:eastAsia="方正黑体_GBK"/>
          <w:color w:val="3D3D3D"/>
          <w:kern w:val="0"/>
          <w:sz w:val="15"/>
          <w:szCs w:val="15"/>
          <w:highlight w:val="none"/>
          <w:lang w:val="en-US" w:eastAsia="zh-CN"/>
        </w:rPr>
        <w:t>不构成</w:t>
      </w:r>
      <w:r>
        <w:rPr>
          <w:rFonts w:ascii="方正黑体_GBK" w:hAnsi="方正黑体_GBK" w:eastAsia="方正黑体_GBK"/>
          <w:color w:val="3D3D3D"/>
          <w:kern w:val="0"/>
          <w:sz w:val="15"/>
          <w:szCs w:val="15"/>
          <w:highlight w:val="none"/>
        </w:rPr>
        <w:t>管理人对本理财产品收益</w:t>
      </w:r>
      <w:r>
        <w:rPr>
          <w:rFonts w:hint="eastAsia" w:ascii="方正黑体_GBK" w:hAnsi="方正黑体_GBK" w:eastAsia="方正黑体_GBK"/>
          <w:color w:val="3D3D3D"/>
          <w:kern w:val="0"/>
          <w:sz w:val="15"/>
          <w:szCs w:val="15"/>
          <w:highlight w:val="none"/>
          <w:lang w:val="en-US" w:eastAsia="zh-CN"/>
        </w:rPr>
        <w:t>的</w:t>
      </w:r>
      <w:r>
        <w:rPr>
          <w:rFonts w:ascii="方正黑体_GBK" w:hAnsi="方正黑体_GBK" w:eastAsia="方正黑体_GBK"/>
          <w:color w:val="3D3D3D"/>
          <w:kern w:val="0"/>
          <w:sz w:val="15"/>
          <w:szCs w:val="15"/>
          <w:highlight w:val="none"/>
        </w:rPr>
        <w:t>承诺。</w:t>
      </w:r>
    </w:p>
    <w:p w14:paraId="722829B6">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9.认购：指投资者根据产品说明书约定在募集期内申请购买本理财产品的理财产品份额的行为。</w:t>
      </w:r>
    </w:p>
    <w:p w14:paraId="75A5CE87">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10.申购、赎回申请：指在理财产品的开放期内，投资者向理财产品管理人提出申请对理财产品份额进行购买或卖出的行为。</w:t>
      </w:r>
    </w:p>
    <w:p w14:paraId="6D5B5F40">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11.提前终止/延期终止权：指在本理财产品存续期内，管理人单方面根据本理财产品销售文件的约定提前终止/延期终止本理财产品的权利。</w:t>
      </w:r>
    </w:p>
    <w:p w14:paraId="09A7D4BB">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12.授权指定账户：指投资者用于支付理财产品的认购或申购资金，并用于接收理财产品分红或赎回或到期清算分配款项的银行账户。</w:t>
      </w:r>
    </w:p>
    <w:p w14:paraId="40AB143D">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13.固定收益类理财产品：指投资于存款、债券等债权类资产的比例不低于80%的理财产品。</w:t>
      </w:r>
    </w:p>
    <w:p w14:paraId="6D1D276D">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14.权益类理财产品：指投资于权益类资产的比例不低于80%的理财产品。</w:t>
      </w:r>
    </w:p>
    <w:p w14:paraId="40D17A28">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15.商品及金融衍生品类理财产品：指投资于商品及金融衍生品的比例不低于80%的理财产品。</w:t>
      </w:r>
    </w:p>
    <w:p w14:paraId="24E47D93">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16.混合类理财产品：指投资于债权类资产、权益类资产、商品及金融衍生品类资产且任一资产的投资比例</w:t>
      </w:r>
      <w:r>
        <w:rPr>
          <w:rFonts w:hint="eastAsia" w:ascii="方正黑体_GBK" w:hAnsi="方正黑体_GBK" w:eastAsia="方正黑体_GBK"/>
          <w:color w:val="3D3D3D"/>
          <w:kern w:val="0"/>
          <w:sz w:val="15"/>
          <w:szCs w:val="15"/>
        </w:rPr>
        <w:t>均</w:t>
      </w:r>
      <w:r>
        <w:rPr>
          <w:rFonts w:ascii="方正黑体_GBK" w:hAnsi="方正黑体_GBK" w:eastAsia="方正黑体_GBK"/>
          <w:color w:val="3D3D3D"/>
          <w:kern w:val="0"/>
          <w:sz w:val="15"/>
          <w:szCs w:val="15"/>
        </w:rPr>
        <w:t>未达到80%的理财产品。</w:t>
      </w:r>
    </w:p>
    <w:p w14:paraId="117A2074">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17.公募理财产品：指面向不特定社会公众公开发行的理财产品。</w:t>
      </w:r>
    </w:p>
    <w:p w14:paraId="2855E391">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18.私募理财产品：指面向合格投资者非公开发行的理财产品。</w:t>
      </w:r>
    </w:p>
    <w:p w14:paraId="412C24FF">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其他</w:t>
      </w:r>
    </w:p>
    <w:p w14:paraId="5BDF3D0E">
      <w:pPr>
        <w:pStyle w:val="47"/>
        <w:keepNext w:val="0"/>
        <w:keepLines w:val="0"/>
        <w:pageBreakBefore w:val="0"/>
        <w:widowControl/>
        <w:suppressLineNumbers w:val="0"/>
        <w:tabs>
          <w:tab w:val="left" w:pos="567"/>
        </w:tabs>
        <w:suppressAutoHyphens w:val="0"/>
        <w:spacing w:line="200" w:lineRule="exact"/>
        <w:ind w:left="289" w:firstLine="0"/>
        <w:rPr>
          <w:color w:val="3D3D3D"/>
          <w:kern w:val="0"/>
          <w:sz w:val="15"/>
          <w:szCs w:val="15"/>
          <w:highlight w:val="none"/>
        </w:rPr>
      </w:pPr>
      <w:r>
        <w:rPr>
          <w:rFonts w:ascii="方正黑体_GBK" w:hAnsi="方正黑体_GBK" w:eastAsia="方正黑体_GBK"/>
          <w:color w:val="3D3D3D"/>
          <w:kern w:val="0"/>
          <w:sz w:val="15"/>
          <w:szCs w:val="15"/>
          <w:highlight w:val="none"/>
        </w:rPr>
        <w:t xml:space="preserve"> 1.不可抗力：指理财产品各方不能预见、不能避免且不能克服的客观情况，该事件妨碍、影响或延误任何一方依相关理财产品销售文件的约定履行其全部或部分义务。该事件包括但不限于：</w:t>
      </w:r>
    </w:p>
    <w:p w14:paraId="75D580C1">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自然灾害、地震、台风、海啸、洪水、火灾、停电、突发性公共卫生事件；</w:t>
      </w:r>
    </w:p>
    <w:p w14:paraId="69FF512F">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罢工、内战、战争、军事行动、任何种类的恐怖活动、暴动、公众示威或抗议；</w:t>
      </w:r>
    </w:p>
    <w:p w14:paraId="045B80FC">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新的适用法律或国家政策的颁布或实施、对原适用法律或国家政策的修改；</w:t>
      </w:r>
    </w:p>
    <w:p w14:paraId="7D7DFD09">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任何政府机关或其他机关的行为</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不论是在法律上或是在事实上</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、法律、法规、条例、规则、规定、裁决、命令或指令（包括国有化或对外限制、外汇管制）、诉讼或威胁；</w:t>
      </w:r>
    </w:p>
    <w:p w14:paraId="4DF7D9A7">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中国</w:t>
      </w:r>
      <w:r>
        <w:rPr>
          <w:rFonts w:hint="eastAsia" w:ascii="方正黑体_GBK" w:hAnsi="方正黑体_GBK" w:eastAsia="方正黑体_GBK"/>
          <w:color w:val="3D3D3D"/>
          <w:kern w:val="0"/>
          <w:sz w:val="15"/>
          <w:szCs w:val="15"/>
          <w:highlight w:val="none"/>
        </w:rPr>
        <w:t>境内</w:t>
      </w:r>
      <w:r>
        <w:rPr>
          <w:rFonts w:ascii="方正黑体_GBK" w:hAnsi="方正黑体_GBK" w:eastAsia="方正黑体_GBK"/>
          <w:color w:val="3D3D3D"/>
          <w:kern w:val="0"/>
          <w:sz w:val="15"/>
          <w:szCs w:val="15"/>
          <w:highlight w:val="none"/>
        </w:rPr>
        <w:t>或全球金融外汇市场发生致使甲方无法进行货币兑换、划转等的异常变化；</w:t>
      </w:r>
    </w:p>
    <w:p w14:paraId="0E0B829E">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因理财产品各方和/或其关联方运营网络系统遭受黑客攻击、电信部门技术调整或故障等原因而造成的理财产品各方和/或其关联方之服务、营业的中断或者延迟。</w:t>
      </w:r>
    </w:p>
    <w:p w14:paraId="13A20DBB">
      <w:pPr>
        <w:pStyle w:val="47"/>
        <w:keepNext w:val="0"/>
        <w:keepLines w:val="0"/>
        <w:pageBreakBefore w:val="0"/>
        <w:widowControl/>
        <w:suppressLineNumbers w:val="0"/>
        <w:tabs>
          <w:tab w:val="left" w:pos="567"/>
        </w:tabs>
        <w:suppressAutoHyphens w:val="0"/>
        <w:spacing w:line="200" w:lineRule="exact"/>
        <w:ind w:left="289" w:firstLine="0"/>
        <w:rPr>
          <w:color w:val="3D3D3D"/>
          <w:kern w:val="0"/>
          <w:sz w:val="15"/>
          <w:szCs w:val="15"/>
          <w:highlight w:val="none"/>
        </w:rPr>
      </w:pPr>
      <w:r>
        <w:rPr>
          <w:rFonts w:ascii="方正黑体_GBK" w:hAnsi="方正黑体_GBK" w:eastAsia="方正黑体_GBK"/>
          <w:color w:val="3D3D3D"/>
          <w:kern w:val="0"/>
          <w:sz w:val="15"/>
          <w:szCs w:val="15"/>
          <w:highlight w:val="none"/>
        </w:rPr>
        <w:t xml:space="preserve"> 2.中国：指中华人民共和国（为本理财产品销售文件之目的，不包括香港特别行政区、澳门特别行政区和台湾地区）。</w:t>
      </w:r>
    </w:p>
    <w:p w14:paraId="3B117F5B">
      <w:pPr>
        <w:pStyle w:val="47"/>
        <w:keepNext w:val="0"/>
        <w:keepLines w:val="0"/>
        <w:pageBreakBefore w:val="0"/>
        <w:widowControl/>
        <w:suppressLineNumbers w:val="0"/>
        <w:tabs>
          <w:tab w:val="left" w:pos="567"/>
        </w:tabs>
        <w:suppressAutoHyphens w:val="0"/>
        <w:spacing w:line="200" w:lineRule="exact"/>
        <w:ind w:left="289" w:firstLine="0"/>
        <w:rPr>
          <w:color w:val="3D3D3D"/>
          <w:kern w:val="0"/>
          <w:sz w:val="15"/>
          <w:szCs w:val="15"/>
          <w:highlight w:val="none"/>
        </w:rPr>
      </w:pPr>
      <w:r>
        <w:rPr>
          <w:rFonts w:ascii="方正黑体_GBK" w:hAnsi="方正黑体_GBK" w:eastAsia="方正黑体_GBK"/>
          <w:color w:val="3D3D3D"/>
          <w:kern w:val="0"/>
          <w:sz w:val="15"/>
          <w:szCs w:val="15"/>
          <w:highlight w:val="none"/>
        </w:rPr>
        <w:t xml:space="preserve"> 3.元：指人民币元。</w:t>
      </w:r>
    </w:p>
    <w:p w14:paraId="09AA9E70">
      <w:pPr>
        <w:pStyle w:val="47"/>
        <w:keepNext w:val="0"/>
        <w:keepLines w:val="0"/>
        <w:pageBreakBefore w:val="0"/>
        <w:widowControl/>
        <w:suppressLineNumbers w:val="0"/>
        <w:tabs>
          <w:tab w:val="left" w:pos="567"/>
        </w:tabs>
        <w:suppressAutoHyphens w:val="0"/>
        <w:spacing w:line="200" w:lineRule="exact"/>
        <w:ind w:left="289" w:firstLine="0"/>
        <w:rPr>
          <w:rFonts w:hint="eastAsia" w:ascii="方正黑体_GBK" w:hAnsi="方正黑体_GBK" w:eastAsia="方正黑体_GBK"/>
          <w:color w:val="3D3D3D"/>
          <w:kern w:val="0"/>
          <w:sz w:val="15"/>
          <w:szCs w:val="15"/>
          <w:lang w:val="en-US" w:eastAsia="zh-CN"/>
        </w:rPr>
      </w:pPr>
      <w:r>
        <w:rPr>
          <w:rFonts w:ascii="方正黑体_GBK" w:hAnsi="方正黑体_GBK" w:eastAsia="方正黑体_GBK"/>
          <w:color w:val="3D3D3D"/>
          <w:kern w:val="0"/>
          <w:sz w:val="15"/>
          <w:szCs w:val="15"/>
          <w:highlight w:val="none"/>
        </w:rPr>
        <w:t xml:space="preserve"> 4.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14:paraId="29310FE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hint="eastAsia"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第三条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情景示例</w:t>
      </w:r>
    </w:p>
    <w:p w14:paraId="27EDEE02">
      <w:pPr>
        <w:spacing w:line="200" w:lineRule="exact"/>
        <w:ind w:firstLine="280"/>
        <w:jc w:val="left"/>
      </w:pPr>
      <w:r>
        <w:rPr>
          <w:rFonts w:ascii="方正黑体_GBK" w:hAnsi="方正黑体_GBK" w:eastAsia="方正黑体_GBK" w:cs="宋体"/>
          <w:sz w:val="15"/>
          <w:szCs w:val="20"/>
        </w:rPr>
        <w:t>假设：投资者认购本理财产品10万元，成立日当日产品净值为1.0000元，折算份额100,000份。</w:t>
      </w:r>
    </w:p>
    <w:p w14:paraId="1E1966FA">
      <w:pPr>
        <w:spacing w:line="200" w:lineRule="exact"/>
        <w:ind w:firstLine="280"/>
        <w:jc w:val="left"/>
      </w:pPr>
      <w:r>
        <w:rPr>
          <w:rFonts w:ascii="方正黑体_GBK" w:hAnsi="方正黑体_GBK" w:eastAsia="方正黑体_GBK" w:cs="宋体"/>
          <w:sz w:val="15"/>
          <w:szCs w:val="20"/>
        </w:rPr>
        <w:t>情景示例一：产品赎回确认时，扣除所有税费后（如有业绩报酬，已扣除）的赎回确认每份额净值为1.0300，则客户在资金到帐日收到到期款项为103,000元。</w:t>
      </w:r>
    </w:p>
    <w:p w14:paraId="5B9CAA08">
      <w:pPr>
        <w:spacing w:line="200" w:lineRule="exact"/>
        <w:ind w:firstLine="280"/>
        <w:jc w:val="left"/>
      </w:pPr>
      <w:r>
        <w:rPr>
          <w:rFonts w:ascii="方正黑体_GBK" w:hAnsi="方正黑体_GBK" w:eastAsia="方正黑体_GBK" w:cs="宋体"/>
          <w:sz w:val="15"/>
          <w:szCs w:val="20"/>
        </w:rPr>
        <w:t>情景示例二：产品赎回确认时，扣除所有税费后（如有业绩报酬，已扣除）的赎回确认每份额净值为0.9700，则客户在资金到帐日收到到期款项为97,000元。</w:t>
      </w:r>
    </w:p>
    <w:p w14:paraId="77C86067">
      <w:pPr>
        <w:spacing w:line="200" w:lineRule="exact"/>
      </w:pPr>
      <w:r>
        <w:rPr>
          <w:rFonts w:ascii="方正黑体_GBK" w:hAnsi="方正黑体_GBK" w:eastAsia="方正黑体_GBK" w:cs="宋体"/>
          <w:sz w:val="15"/>
          <w:szCs w:val="20"/>
        </w:rPr>
        <w:t xml:space="preserve"> 以上数据为假设情形中的模拟数据，不代表实际收益，投资需谨慎。</w:t>
      </w:r>
    </w:p>
    <w:p w14:paraId="4142D92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hint="eastAsia" w:ascii="方正黑体_GBK" w:hAnsi="方正黑体_GBK" w:eastAsia="方正黑体_GBK"/>
          <w:vanish w:val="0"/>
          <w:sz w:val="15"/>
          <w:szCs w:val="15"/>
        </w:rPr>
      </w:pPr>
      <w:r>
        <w:rPr>
          <w:rFonts w:hint="eastAsia" w:ascii="方正黑体_GBK" w:hAnsi="方正黑体_GBK" w:eastAsia="方正黑体_GBK"/>
          <w:b/>
          <w:bCs/>
          <w:vanish w:val="0"/>
          <w:color w:val="auto"/>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14:paraId="13A3AA10">
      <w:pPr>
        <w:pStyle w:val="32"/>
        <w:keepNext w:val="0"/>
        <w:keepLines w:val="0"/>
        <w:pageBreakBefore w:val="0"/>
        <w:widowControl/>
        <w:suppressLineNumbers w:val="0"/>
        <w:suppressAutoHyphens w:val="0"/>
        <w:spacing w:line="200" w:lineRule="exact"/>
        <w:ind w:firstLine="300" w:firstLineChars="200"/>
        <w:rPr>
          <w:rFonts w:hint="eastAsia" w:ascii="方正黑体_GBK" w:hAnsi="方正黑体_GBK" w:eastAsia="方正黑体_GBK"/>
          <w:sz w:val="20"/>
          <w:szCs w:val="20"/>
          <w:lang w:val="en-US" w:eastAsia="zh-CN"/>
        </w:rPr>
      </w:pPr>
      <w:r>
        <w:rPr>
          <w:rFonts w:hint="eastAsia" w:ascii="方正黑体_GBK" w:hAnsi="方正黑体_GBK" w:eastAsia="方正黑体_GBK"/>
          <w:b/>
          <w:bCs/>
          <w:vanish w:val="0"/>
          <w:kern w:val="0"/>
          <w:sz w:val="15"/>
          <w:szCs w:val="15"/>
        </w:rPr>
        <w:t>风险提示：如出现本理财产品所投资的资产或资产组合项下义务人出现无法兑付本金等极端情况，产品运作到期后投资者可能无收益，并可能损失全部本金。</w:t>
      </w:r>
    </w:p>
    <w:p w14:paraId="04362D0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ascii="方正黑体_GBK" w:hAnsi="方正黑体_GBK" w:eastAsia="方正黑体_GBK"/>
          <w:b/>
          <w:bCs w:val="0"/>
          <w:vanish w:val="0"/>
          <w:color w:val="auto"/>
          <w:kern w:val="0"/>
          <w:sz w:val="15"/>
          <w:szCs w:val="15"/>
        </w:rPr>
      </w:pPr>
      <w:r>
        <w:rPr>
          <w:rFonts w:hint="eastAsia" w:ascii="方正黑体_GBK" w:hAnsi="方正黑体_GBK" w:eastAsia="方正黑体_GBK"/>
          <w:b/>
          <w:bCs/>
          <w:vanish w:val="0"/>
          <w:color w:val="auto"/>
          <w:kern w:val="0"/>
          <w:sz w:val="15"/>
          <w:szCs w:val="15"/>
        </w:rPr>
        <w:t>第四</w:t>
      </w:r>
      <w:r>
        <w:rPr>
          <w:rFonts w:hint="eastAsia" w:ascii="方正黑体_GBK" w:hAnsi="方正黑体_GBK" w:eastAsia="方正黑体_GBK"/>
          <w:b/>
          <w:bCs w:val="0"/>
          <w:vanish w:val="0"/>
          <w:color w:val="auto"/>
          <w:kern w:val="0"/>
          <w:sz w:val="15"/>
          <w:szCs w:val="15"/>
        </w:rPr>
        <w:t>条</w:t>
      </w:r>
      <w:r>
        <w:rPr>
          <w:rFonts w:hint="eastAsia" w:ascii="方正黑体_GBK" w:hAnsi="方正黑体_GBK" w:eastAsia="方正黑体_GBK" w:cs="Times New Roman"/>
          <w:b/>
          <w:bCs w:val="0"/>
          <w:vanish w:val="0"/>
          <w:color w:val="auto"/>
          <w:kern w:val="0"/>
          <w:sz w:val="15"/>
          <w:szCs w:val="15"/>
        </w:rPr>
        <w:t xml:space="preserve">  </w:t>
      </w:r>
      <w:r>
        <w:rPr>
          <w:rFonts w:hint="eastAsia" w:ascii="方正黑体_GBK" w:hAnsi="方正黑体_GBK" w:eastAsia="方正黑体_GBK"/>
          <w:b/>
          <w:bCs w:val="0"/>
          <w:vanish w:val="0"/>
          <w:color w:val="auto"/>
          <w:kern w:val="0"/>
          <w:sz w:val="15"/>
          <w:szCs w:val="15"/>
        </w:rPr>
        <w:t>理财产品估值</w:t>
      </w:r>
    </w:p>
    <w:p w14:paraId="2329DA16">
      <w:pPr>
        <w:spacing w:line="200" w:lineRule="exact"/>
        <w:ind w:firstLine="300"/>
        <w:jc w:val="both"/>
      </w:pPr>
      <w:r>
        <w:rPr>
          <w:rFonts w:ascii="方正黑体_GBK" w:hAnsi="方正黑体_GBK" w:eastAsia="方正黑体_GBK" w:cs="宋体"/>
          <w:sz w:val="15"/>
          <w:szCs w:val="20"/>
        </w:rPr>
        <w:t>（一）估值日</w:t>
      </w:r>
    </w:p>
    <w:p w14:paraId="37765144">
      <w:pPr>
        <w:spacing w:line="200" w:lineRule="exact"/>
        <w:ind w:firstLine="300"/>
        <w:jc w:val="both"/>
      </w:pPr>
      <w:r>
        <w:rPr>
          <w:rFonts w:ascii="方正黑体_GBK" w:hAnsi="方正黑体_GBK" w:eastAsia="方正黑体_GBK" w:cs="宋体"/>
          <w:sz w:val="15"/>
          <w:szCs w:val="20"/>
        </w:rPr>
        <w:t>本理财产品每个工作日进行估值。</w:t>
      </w:r>
    </w:p>
    <w:p w14:paraId="2C32E8D0">
      <w:pPr>
        <w:spacing w:line="200" w:lineRule="exact"/>
        <w:ind w:firstLine="300"/>
        <w:jc w:val="both"/>
      </w:pPr>
      <w:r>
        <w:rPr>
          <w:rFonts w:ascii="方正黑体_GBK" w:hAnsi="方正黑体_GBK" w:eastAsia="方正黑体_GBK" w:cs="宋体"/>
          <w:sz w:val="15"/>
          <w:szCs w:val="20"/>
        </w:rPr>
        <w:t>（二）估值对象</w:t>
      </w:r>
    </w:p>
    <w:p w14:paraId="068CF706">
      <w:pPr>
        <w:spacing w:line="200" w:lineRule="exact"/>
        <w:ind w:firstLine="300"/>
        <w:jc w:val="both"/>
      </w:pPr>
      <w:r>
        <w:rPr>
          <w:rFonts w:ascii="方正黑体_GBK" w:hAnsi="方正黑体_GBK" w:eastAsia="方正黑体_GBK" w:cs="宋体"/>
          <w:sz w:val="15"/>
          <w:szCs w:val="20"/>
        </w:rPr>
        <w:t>本理财产品所拥有的所有资产及负债。</w:t>
      </w:r>
    </w:p>
    <w:p w14:paraId="2721A514">
      <w:pPr>
        <w:spacing w:line="200" w:lineRule="exact"/>
        <w:ind w:firstLine="300"/>
        <w:jc w:val="both"/>
      </w:pPr>
      <w:r>
        <w:rPr>
          <w:rFonts w:ascii="方正黑体_GBK" w:hAnsi="方正黑体_GBK" w:eastAsia="方正黑体_GBK" w:cs="宋体"/>
          <w:sz w:val="15"/>
          <w:szCs w:val="20"/>
        </w:rPr>
        <w:t>（三）估值目的</w:t>
      </w:r>
    </w:p>
    <w:p w14:paraId="7C5400CD">
      <w:pPr>
        <w:spacing w:line="200" w:lineRule="exact"/>
        <w:ind w:firstLine="300"/>
        <w:jc w:val="both"/>
      </w:pPr>
      <w:r>
        <w:rPr>
          <w:rFonts w:ascii="方正黑体_GBK" w:hAnsi="方正黑体_GBK" w:eastAsia="方正黑体_GBK" w:cs="宋体"/>
          <w:sz w:val="15"/>
          <w:szCs w:val="20"/>
        </w:rPr>
        <w:t>客观、准确反映理财产品的价值。</w:t>
      </w:r>
    </w:p>
    <w:p w14:paraId="50633ACE">
      <w:pPr>
        <w:spacing w:line="200" w:lineRule="exact"/>
        <w:ind w:firstLine="300"/>
        <w:jc w:val="both"/>
      </w:pPr>
      <w:r>
        <w:rPr>
          <w:rFonts w:ascii="方正黑体_GBK" w:hAnsi="方正黑体_GBK" w:eastAsia="方正黑体_GBK" w:cs="宋体"/>
          <w:sz w:val="15"/>
          <w:szCs w:val="20"/>
        </w:rPr>
        <w:t>（四）估值原则</w:t>
      </w:r>
    </w:p>
    <w:p w14:paraId="184B16B5">
      <w:pPr>
        <w:spacing w:line="200" w:lineRule="exact"/>
        <w:ind w:firstLine="300"/>
        <w:jc w:val="both"/>
      </w:pPr>
      <w:r>
        <w:rPr>
          <w:rFonts w:ascii="方正黑体_GBK" w:hAnsi="方正黑体_GBK" w:eastAsia="方正黑体_GBK" w:cs="宋体"/>
          <w:sz w:val="15"/>
          <w:szCs w:val="20"/>
        </w:rPr>
        <w:t>理财产品应坚持公允价值计量原则，优先采用市值法，符合会计准则和监管规定的范围内的可选择摊余成本法计量。</w:t>
      </w:r>
    </w:p>
    <w:p w14:paraId="25225DD8">
      <w:pPr>
        <w:spacing w:line="200" w:lineRule="exact"/>
        <w:ind w:firstLine="300"/>
        <w:jc w:val="both"/>
      </w:pPr>
      <w:r>
        <w:rPr>
          <w:rFonts w:ascii="方正黑体_GBK" w:hAnsi="方正黑体_GBK" w:eastAsia="方正黑体_GBK" w:cs="宋体"/>
          <w:sz w:val="15"/>
          <w:szCs w:val="20"/>
        </w:rPr>
        <w:t>（五）估值方法</w:t>
      </w:r>
    </w:p>
    <w:p w14:paraId="62875D48">
      <w:pPr>
        <w:spacing w:line="200" w:lineRule="exact"/>
        <w:ind w:firstLine="420"/>
      </w:pPr>
      <w:r>
        <w:rPr>
          <w:rFonts w:ascii="方正黑体_GBK" w:hAnsi="方正黑体_GBK" w:eastAsia="方正黑体_GBK" w:cs="宋体"/>
          <w:sz w:val="15"/>
          <w:szCs w:val="20"/>
        </w:rPr>
        <w:t>估值方法中列示的资产品种不代表管理人的实际投向，本理财产品拟投资范围以“投资范围”章节描述为准。</w:t>
      </w:r>
    </w:p>
    <w:p w14:paraId="48659B0F">
      <w:pPr>
        <w:spacing w:line="200" w:lineRule="exact"/>
        <w:ind w:firstLine="420"/>
      </w:pPr>
      <w:r>
        <w:rPr>
          <w:rFonts w:ascii="方正黑体_GBK" w:hAnsi="方正黑体_GBK" w:eastAsia="方正黑体_GBK" w:cs="宋体"/>
          <w:sz w:val="15"/>
          <w:szCs w:val="20"/>
        </w:rPr>
        <w:t>1.银行存款、回购等货币市场工具</w:t>
      </w:r>
    </w:p>
    <w:p w14:paraId="31F51248">
      <w:pPr>
        <w:spacing w:line="200" w:lineRule="exact"/>
        <w:ind w:firstLine="420"/>
      </w:pPr>
      <w:r>
        <w:rPr>
          <w:rFonts w:ascii="方正黑体_GBK" w:hAnsi="方正黑体_GBK" w:eastAsia="方正黑体_GBK" w:cs="宋体"/>
          <w:sz w:val="15"/>
          <w:szCs w:val="20"/>
        </w:rPr>
        <w:t>以本金列示，逐日计提利息。</w:t>
      </w:r>
    </w:p>
    <w:p w14:paraId="74699778">
      <w:pPr>
        <w:spacing w:line="200" w:lineRule="exact"/>
        <w:ind w:firstLine="420"/>
      </w:pPr>
      <w:r>
        <w:rPr>
          <w:rFonts w:ascii="方正黑体_GBK" w:hAnsi="方正黑体_GBK" w:eastAsia="方正黑体_GBK" w:cs="宋体"/>
          <w:sz w:val="15"/>
          <w:szCs w:val="20"/>
        </w:rPr>
        <w:t>2.债券类资产</w:t>
      </w:r>
    </w:p>
    <w:p w14:paraId="209888C3">
      <w:pPr>
        <w:spacing w:line="200" w:lineRule="exact"/>
        <w:ind w:firstLine="420"/>
      </w:pPr>
      <w:r>
        <w:rPr>
          <w:rFonts w:ascii="方正黑体_GBK" w:hAnsi="方正黑体_GBK" w:eastAsia="方正黑体_GBK" w:cs="宋体"/>
          <w:sz w:val="15"/>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以摊余成本计量的金融资产”的资产按摊余成本法估值，并按照会计准则采用合理减值计量模型或第三方减值计量结果进行预期信用损失的减值计提。</w:t>
      </w:r>
    </w:p>
    <w:p w14:paraId="70399519">
      <w:pPr>
        <w:spacing w:line="200" w:lineRule="exact"/>
        <w:ind w:firstLine="420"/>
      </w:pPr>
      <w:r>
        <w:rPr>
          <w:rFonts w:ascii="方正黑体_GBK" w:hAnsi="方正黑体_GBK" w:eastAsia="方正黑体_GBK" w:cs="宋体"/>
          <w:sz w:val="15"/>
          <w:szCs w:val="20"/>
        </w:rPr>
        <w:t>3.非标准化债权类资产</w:t>
      </w:r>
    </w:p>
    <w:p w14:paraId="115149C5">
      <w:pPr>
        <w:spacing w:line="200" w:lineRule="exact"/>
        <w:ind w:firstLine="420"/>
      </w:pPr>
      <w:r>
        <w:rPr>
          <w:rFonts w:ascii="方正黑体_GBK" w:hAnsi="方正黑体_GBK" w:eastAsia="方正黑体_GBK" w:cs="宋体"/>
          <w:sz w:val="15"/>
          <w:szCs w:val="20"/>
        </w:rPr>
        <w:t>非标准化债权类资产按照公允价值估值，优先采用市值法估值。对于符合企业会计准则及监管规定范围内且分类为“以摊余成本计量的金融资产”的资产按摊余成本法估值，并按照会计准则采用合理减值计量模型或第三方减值计量结果进行预期信用损失的减值计提。</w:t>
      </w:r>
    </w:p>
    <w:p w14:paraId="464E829C">
      <w:pPr>
        <w:spacing w:line="200" w:lineRule="exact"/>
        <w:ind w:firstLine="420"/>
      </w:pPr>
      <w:r>
        <w:rPr>
          <w:rFonts w:ascii="方正黑体_GBK" w:hAnsi="方正黑体_GBK" w:eastAsia="方正黑体_GBK" w:cs="宋体"/>
          <w:sz w:val="15"/>
          <w:szCs w:val="20"/>
        </w:rPr>
        <w:t>4.证券投资基金、资管计划、信托计划等资产</w:t>
      </w:r>
    </w:p>
    <w:p w14:paraId="21546B06">
      <w:pPr>
        <w:spacing w:line="200" w:lineRule="exact"/>
        <w:ind w:firstLine="420"/>
      </w:pPr>
      <w:r>
        <w:rPr>
          <w:rFonts w:ascii="方正黑体_GBK" w:hAnsi="方正黑体_GBK" w:eastAsia="方正黑体_GBK" w:cs="宋体"/>
          <w:sz w:val="15"/>
          <w:szCs w:val="20"/>
        </w:rPr>
        <w:t>按照公允价值估值，优先采用市值法估值。管理人将根据监管要求进行穿透管理，资管产品穿透后与理财公司关于同一投资品种的估值原则、政策、技术和方法等一致。</w:t>
      </w:r>
    </w:p>
    <w:p w14:paraId="18F22F41">
      <w:pPr>
        <w:spacing w:line="200" w:lineRule="exact"/>
        <w:ind w:firstLine="420"/>
      </w:pPr>
      <w:r>
        <w:rPr>
          <w:rFonts w:ascii="方正黑体_GBK" w:hAnsi="方正黑体_GBK" w:eastAsia="方正黑体_GBK" w:cs="宋体"/>
          <w:sz w:val="15"/>
          <w:szCs w:val="20"/>
        </w:rPr>
        <w:t>5.股权类及其他资产</w:t>
      </w:r>
    </w:p>
    <w:p w14:paraId="5E371A97">
      <w:pPr>
        <w:spacing w:line="200" w:lineRule="exact"/>
        <w:ind w:firstLine="420"/>
      </w:pPr>
      <w:r>
        <w:rPr>
          <w:rFonts w:ascii="方正黑体_GBK" w:hAnsi="方正黑体_GBK" w:eastAsia="方正黑体_GBK" w:cs="宋体"/>
          <w:sz w:val="15"/>
          <w:szCs w:val="20"/>
        </w:rPr>
        <w:t>按照公允价值估值，优先采用市值法估值。</w:t>
      </w:r>
    </w:p>
    <w:p w14:paraId="49518105">
      <w:pPr>
        <w:spacing w:line="200" w:lineRule="exact"/>
      </w:pPr>
      <w:r>
        <w:rPr>
          <w:rFonts w:ascii="方正黑体_GBK" w:hAnsi="方正黑体_GBK" w:eastAsia="方正黑体_GBK" w:cs="宋体"/>
          <w:sz w:val="15"/>
          <w:szCs w:val="20"/>
        </w:rPr>
        <w:t xml:space="preserve">  6.如有新增事项或变更事项，按国家最新规定或监管最新要求进行调整。</w:t>
      </w:r>
    </w:p>
    <w:p w14:paraId="54355DA1">
      <w:pPr>
        <w:spacing w:line="200" w:lineRule="exact"/>
        <w:ind w:firstLine="300"/>
        <w:jc w:val="both"/>
      </w:pPr>
      <w:r>
        <w:rPr>
          <w:rFonts w:ascii="方正黑体_GBK" w:hAnsi="方正黑体_GBK" w:eastAsia="方正黑体_GBK" w:cs="宋体"/>
          <w:sz w:val="15"/>
          <w:szCs w:val="20"/>
        </w:rPr>
        <w:t>（六）估值错误及暂停估值</w:t>
      </w:r>
    </w:p>
    <w:p w14:paraId="06F5C4FE">
      <w:pPr>
        <w:spacing w:line="200" w:lineRule="exact"/>
        <w:ind w:firstLine="300"/>
        <w:jc w:val="both"/>
      </w:pPr>
      <w:r>
        <w:rPr>
          <w:rFonts w:ascii="方正黑体_GBK" w:hAnsi="方正黑体_GBK" w:eastAsia="方正黑体_GBK"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14:paraId="7629401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五</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信息披露</w:t>
      </w:r>
    </w:p>
    <w:p w14:paraId="5807E42A">
      <w:pPr>
        <w:pStyle w:val="3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信息披露渠道</w:t>
      </w:r>
    </w:p>
    <w:p w14:paraId="276544B4">
      <w:pPr>
        <w:spacing w:line="200" w:lineRule="exact"/>
      </w:pPr>
      <w:r>
        <w:rPr>
          <w:rFonts w:ascii="方正黑体_GBK" w:hAnsi="方正黑体_GBK" w:eastAsia="方正黑体_GBK" w:cs="宋体"/>
          <w:color w:val="3D3D3D"/>
          <w:sz w:val="15"/>
          <w:szCs w:val="20"/>
        </w:rPr>
        <w:t xml:space="preserve">  本理财产品的信息披露渠道包括但不限于南银理财官网（www.nanyinwealth.com）、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14:paraId="4E0AB897">
      <w:pPr>
        <w:pStyle w:val="3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信息披露的内容及时间</w:t>
      </w:r>
    </w:p>
    <w:p w14:paraId="51D8953C">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ascii="方正黑体_GBK" w:hAnsi="方正黑体_GBK" w:eastAsia="方正黑体_GBK"/>
          <w:vanish w:val="0"/>
          <w:color w:val="3D3D3D"/>
          <w:kern w:val="0"/>
          <w:sz w:val="15"/>
          <w:szCs w:val="15"/>
        </w:rPr>
        <w:t xml:space="preserve"> </w:t>
      </w:r>
      <w:r>
        <w:rPr>
          <w:rFonts w:hint="eastAsia" w:ascii="方正黑体_GBK" w:hAnsi="方正黑体_GBK" w:eastAsia="方正黑体_GBK"/>
          <w:vanish w:val="0"/>
          <w:color w:val="3D3D3D"/>
          <w:kern w:val="0"/>
          <w:sz w:val="15"/>
          <w:szCs w:val="15"/>
        </w:rPr>
        <w:t>净值信息</w:t>
      </w:r>
    </w:p>
    <w:p w14:paraId="0168CD1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管理人在本理财产品存续期间至少</w:t>
      </w:r>
      <w:r>
        <w:rPr>
          <w:rFonts w:hint="eastAsia" w:ascii="方正黑体_GBK" w:hAnsi="方正黑体_GBK" w:eastAsia="方正黑体_GBK"/>
          <w:vanish w:val="0"/>
          <w:color w:val="3D3D3D"/>
          <w:kern w:val="0"/>
          <w:sz w:val="15"/>
          <w:szCs w:val="15"/>
        </w:rPr>
        <w:t>按月</w:t>
      </w:r>
      <w:r>
        <w:rPr>
          <w:rFonts w:hint="eastAsia" w:ascii="方正黑体_GBK" w:hAnsi="方正黑体_GBK" w:eastAsia="方正黑体_GBK" w:cs="Times New Roman"/>
          <w:vanish w:val="0"/>
          <w:color w:val="3D3D3D"/>
          <w:kern w:val="0"/>
          <w:sz w:val="15"/>
          <w:szCs w:val="15"/>
        </w:rPr>
        <w:t>向投资者披露净值</w:t>
      </w:r>
      <w:r>
        <w:rPr>
          <w:rFonts w:hint="eastAsia" w:ascii="方正黑体_GBK" w:hAnsi="方正黑体_GBK" w:eastAsia="方正黑体_GBK"/>
          <w:vanish w:val="0"/>
          <w:color w:val="3D3D3D"/>
          <w:kern w:val="0"/>
          <w:sz w:val="15"/>
          <w:szCs w:val="15"/>
        </w:rPr>
        <w:t>。</w:t>
      </w:r>
    </w:p>
    <w:p w14:paraId="1C053196">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产品发行公告</w:t>
      </w:r>
    </w:p>
    <w:p w14:paraId="22B4841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管理人将在本理财产品成立后</w:t>
      </w:r>
      <w:r>
        <w:rPr>
          <w:rFonts w:ascii="方正黑体_GBK" w:hAnsi="方正黑体_GBK" w:eastAsia="方正黑体_GBK"/>
          <w:vanish w:val="0"/>
          <w:color w:val="3D3D3D"/>
          <w:kern w:val="0"/>
          <w:sz w:val="15"/>
          <w:szCs w:val="15"/>
        </w:rPr>
        <w:t>5</w:t>
      </w:r>
      <w:r>
        <w:rPr>
          <w:rFonts w:hint="eastAsia" w:ascii="方正黑体_GBK" w:hAnsi="方正黑体_GBK" w:eastAsia="方正黑体_GBK"/>
          <w:vanish w:val="0"/>
          <w:color w:val="3D3D3D"/>
          <w:kern w:val="0"/>
          <w:sz w:val="15"/>
          <w:szCs w:val="15"/>
        </w:rPr>
        <w:t>个工作日内披露产品发行公告。</w:t>
      </w:r>
    </w:p>
    <w:p w14:paraId="3F455C46">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定期报告</w:t>
      </w:r>
    </w:p>
    <w:p w14:paraId="688E4DE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管理人将在每个季度结束之日起</w:t>
      </w:r>
      <w:r>
        <w:rPr>
          <w:rFonts w:ascii="方正黑体_GBK" w:hAnsi="方正黑体_GBK" w:eastAsia="方正黑体_GBK"/>
          <w:vanish w:val="0"/>
          <w:color w:val="3D3D3D"/>
          <w:kern w:val="0"/>
          <w:sz w:val="15"/>
          <w:szCs w:val="15"/>
        </w:rPr>
        <w:t>15</w:t>
      </w:r>
      <w:r>
        <w:rPr>
          <w:rFonts w:hint="eastAsia" w:ascii="方正黑体_GBK" w:hAnsi="方正黑体_GBK" w:eastAsia="方正黑体_GBK"/>
          <w:vanish w:val="0"/>
          <w:color w:val="3D3D3D"/>
          <w:kern w:val="0"/>
          <w:sz w:val="15"/>
          <w:szCs w:val="15"/>
        </w:rPr>
        <w:t>个工作日内、上半年结束之日起</w:t>
      </w:r>
      <w:r>
        <w:rPr>
          <w:rFonts w:ascii="方正黑体_GBK" w:hAnsi="方正黑体_GBK" w:eastAsia="方正黑体_GBK"/>
          <w:vanish w:val="0"/>
          <w:color w:val="3D3D3D"/>
          <w:kern w:val="0"/>
          <w:sz w:val="15"/>
          <w:szCs w:val="15"/>
        </w:rPr>
        <w:t>60</w:t>
      </w:r>
      <w:r>
        <w:rPr>
          <w:rFonts w:hint="eastAsia" w:ascii="方正黑体_GBK" w:hAnsi="方正黑体_GBK" w:eastAsia="方正黑体_GBK"/>
          <w:vanish w:val="0"/>
          <w:color w:val="3D3D3D"/>
          <w:kern w:val="0"/>
          <w:sz w:val="15"/>
          <w:szCs w:val="15"/>
        </w:rPr>
        <w:t>个工作日内、每年结束之日起</w:t>
      </w:r>
      <w:r>
        <w:rPr>
          <w:rFonts w:ascii="方正黑体_GBK" w:hAnsi="方正黑体_GBK" w:eastAsia="方正黑体_GBK"/>
          <w:vanish w:val="0"/>
          <w:color w:val="3D3D3D"/>
          <w:kern w:val="0"/>
          <w:sz w:val="15"/>
          <w:szCs w:val="15"/>
        </w:rPr>
        <w:t>90</w:t>
      </w:r>
      <w:r>
        <w:rPr>
          <w:rFonts w:hint="eastAsia" w:ascii="方正黑体_GBK" w:hAnsi="方正黑体_GBK" w:eastAsia="方正黑体_GBK"/>
          <w:vanish w:val="0"/>
          <w:color w:val="3D3D3D"/>
          <w:kern w:val="0"/>
          <w:sz w:val="15"/>
          <w:szCs w:val="15"/>
        </w:rPr>
        <w:t>个工作日内披露本理财产品的季度、半年和年度报告，如果本理财产品成立不足</w:t>
      </w:r>
      <w:r>
        <w:rPr>
          <w:rFonts w:ascii="方正黑体_GBK" w:hAnsi="方正黑体_GBK" w:eastAsia="方正黑体_GBK"/>
          <w:vanish w:val="0"/>
          <w:color w:val="3D3D3D"/>
          <w:kern w:val="0"/>
          <w:sz w:val="15"/>
          <w:szCs w:val="15"/>
        </w:rPr>
        <w:t>90</w:t>
      </w:r>
      <w:r>
        <w:rPr>
          <w:rFonts w:hint="eastAsia" w:ascii="方正黑体_GBK" w:hAnsi="方正黑体_GBK" w:eastAsia="方正黑体_GBK" w:cs="Times New Roman"/>
          <w:vanish w:val="0"/>
          <w:color w:val="3D3D3D"/>
          <w:kern w:val="0"/>
          <w:sz w:val="15"/>
          <w:szCs w:val="15"/>
        </w:rPr>
        <w:t>个工作</w:t>
      </w:r>
      <w:r>
        <w:rPr>
          <w:rFonts w:hint="eastAsia" w:ascii="方正黑体_GBK" w:hAnsi="方正黑体_GBK" w:eastAsia="方正黑体_GBK"/>
          <w:vanish w:val="0"/>
          <w:color w:val="3D3D3D"/>
          <w:kern w:val="0"/>
          <w:sz w:val="15"/>
          <w:szCs w:val="15"/>
        </w:rPr>
        <w:t>日或者剩余存续期不超过</w:t>
      </w:r>
      <w:r>
        <w:rPr>
          <w:rFonts w:ascii="方正黑体_GBK" w:hAnsi="方正黑体_GBK" w:eastAsia="方正黑体_GBK"/>
          <w:vanish w:val="0"/>
          <w:color w:val="3D3D3D"/>
          <w:kern w:val="0"/>
          <w:sz w:val="15"/>
          <w:szCs w:val="15"/>
        </w:rPr>
        <w:t>90</w:t>
      </w:r>
      <w:r>
        <w:rPr>
          <w:rFonts w:hint="eastAsia" w:ascii="方正黑体_GBK" w:hAnsi="方正黑体_GBK" w:eastAsia="方正黑体_GBK" w:cs="Times New Roman"/>
          <w:vanish w:val="0"/>
          <w:color w:val="3D3D3D"/>
          <w:kern w:val="0"/>
          <w:sz w:val="15"/>
          <w:szCs w:val="15"/>
        </w:rPr>
        <w:t>个工作</w:t>
      </w:r>
      <w:r>
        <w:rPr>
          <w:rFonts w:hint="eastAsia" w:ascii="方正黑体_GBK" w:hAnsi="方正黑体_GBK" w:eastAsia="方正黑体_GBK"/>
          <w:vanish w:val="0"/>
          <w:color w:val="3D3D3D"/>
          <w:kern w:val="0"/>
          <w:sz w:val="15"/>
          <w:szCs w:val="15"/>
        </w:rPr>
        <w:t>日的，管理人可以不编制产品当期的季度、半年和年度报告。</w:t>
      </w:r>
    </w:p>
    <w:p w14:paraId="2AA91ED5">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到期公告</w:t>
      </w:r>
    </w:p>
    <w:p w14:paraId="13E887B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管理人将在本理财产品终止后</w:t>
      </w:r>
      <w:r>
        <w:rPr>
          <w:rFonts w:ascii="方正黑体_GBK" w:hAnsi="方正黑体_GBK" w:eastAsia="方正黑体_GBK"/>
          <w:vanish w:val="0"/>
          <w:color w:val="3D3D3D"/>
          <w:kern w:val="0"/>
          <w:sz w:val="15"/>
          <w:szCs w:val="15"/>
        </w:rPr>
        <w:t>5</w:t>
      </w:r>
      <w:r>
        <w:rPr>
          <w:rFonts w:hint="eastAsia" w:ascii="方正黑体_GBK" w:hAnsi="方正黑体_GBK" w:eastAsia="方正黑体_GBK"/>
          <w:vanish w:val="0"/>
          <w:color w:val="3D3D3D"/>
          <w:kern w:val="0"/>
          <w:sz w:val="15"/>
          <w:szCs w:val="15"/>
        </w:rPr>
        <w:t>个工作日内披露产品到期公告。</w:t>
      </w:r>
    </w:p>
    <w:p w14:paraId="54653E64">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重大事项公告</w:t>
      </w:r>
    </w:p>
    <w:p w14:paraId="775B7BC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管理人将在发生可能对本理财产品投资者或者理财产品收益产生重大影响的事件后</w:t>
      </w:r>
      <w:r>
        <w:rPr>
          <w:rFonts w:ascii="方正黑体_GBK" w:hAnsi="方正黑体_GBK" w:eastAsia="方正黑体_GBK"/>
          <w:vanish w:val="0"/>
          <w:color w:val="3D3D3D"/>
          <w:kern w:val="0"/>
          <w:sz w:val="15"/>
          <w:szCs w:val="15"/>
        </w:rPr>
        <w:t>2</w:t>
      </w:r>
      <w:r>
        <w:rPr>
          <w:rFonts w:hint="eastAsia" w:ascii="方正黑体_GBK" w:hAnsi="方正黑体_GBK" w:eastAsia="方正黑体_GBK"/>
          <w:vanish w:val="0"/>
          <w:color w:val="3D3D3D"/>
          <w:kern w:val="0"/>
          <w:sz w:val="15"/>
          <w:szCs w:val="15"/>
        </w:rPr>
        <w:t>个工作日内披露重大事项公告。</w:t>
      </w:r>
    </w:p>
    <w:p w14:paraId="4B7365CE">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临时公告</w:t>
      </w:r>
    </w:p>
    <w:p w14:paraId="68643CE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理财产品在运作管理过程中，发生可能对理财产品持有人权益产生影响的事项时，管理人将根据法律法规规定及时进行临时信息披露。</w:t>
      </w:r>
    </w:p>
    <w:p w14:paraId="4F1A4CD0">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关联交易信息披露</w:t>
      </w:r>
    </w:p>
    <w:p w14:paraId="5CC6F51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ascii="方正黑体_GBK" w:hAnsi="方正黑体_GBK" w:eastAsia="方正黑体_GBK"/>
          <w:vanish w:val="0"/>
          <w:color w:val="3D3D3D"/>
          <w:kern w:val="0"/>
          <w:sz w:val="15"/>
          <w:szCs w:val="15"/>
        </w:rPr>
        <w:t>。</w:t>
      </w:r>
    </w:p>
    <w:p w14:paraId="32361052">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账单</w:t>
      </w:r>
    </w:p>
    <w:p w14:paraId="1CAF34B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ascii="方正黑体_GBK" w:hAnsi="方正黑体_GBK" w:eastAsia="方正黑体_GBK"/>
          <w:vanish w:val="0"/>
          <w:color w:val="3D3D3D"/>
          <w:kern w:val="0"/>
          <w:sz w:val="15"/>
          <w:szCs w:val="15"/>
        </w:rPr>
        <w:t>。</w:t>
      </w:r>
    </w:p>
    <w:p w14:paraId="1C732000">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Times New Roman"/>
          <w:b/>
          <w:bCs/>
          <w:vanish w:val="0"/>
          <w:color w:val="3D3D3D"/>
          <w:kern w:val="0"/>
          <w:sz w:val="15"/>
          <w:szCs w:val="15"/>
        </w:rPr>
      </w:pPr>
      <w:r>
        <w:rPr>
          <w:rFonts w:hint="eastAsia" w:ascii="方正黑体_GBK" w:hAnsi="方正黑体_GBK" w:eastAsia="方正黑体_GBK" w:cs="Times New Roman"/>
          <w:b/>
          <w:bCs/>
          <w:vanish w:val="0"/>
          <w:color w:val="3D3D3D"/>
          <w:kern w:val="0"/>
          <w:sz w:val="15"/>
          <w:szCs w:val="15"/>
        </w:rPr>
        <w:t>在本理财产品存续期内：</w:t>
      </w:r>
    </w:p>
    <w:p w14:paraId="66853E8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Times New Roman"/>
          <w:b/>
          <w:bCs/>
          <w:vanish w:val="0"/>
          <w:color w:val="3D3D3D"/>
          <w:kern w:val="0"/>
          <w:sz w:val="15"/>
          <w:szCs w:val="15"/>
        </w:rPr>
      </w:pPr>
      <w:r>
        <w:rPr>
          <w:rFonts w:hint="eastAsia" w:ascii="方正黑体_GBK" w:hAnsi="方正黑体_GBK" w:eastAsia="方正黑体_GBK" w:cs="Times New Roman"/>
          <w:b/>
          <w:bCs/>
          <w:vanish w:val="0"/>
          <w:color w:val="3D3D3D"/>
          <w:kern w:val="0"/>
          <w:sz w:val="15"/>
          <w:szCs w:val="15"/>
        </w:rPr>
        <w:t>（</w:t>
      </w:r>
      <w:r>
        <w:rPr>
          <w:rFonts w:ascii="方正黑体_GBK" w:hAnsi="方正黑体_GBK" w:eastAsia="方正黑体_GBK" w:cs="Times New Roman"/>
          <w:b/>
          <w:bCs/>
          <w:vanish w:val="0"/>
          <w:color w:val="3D3D3D"/>
          <w:kern w:val="0"/>
          <w:sz w:val="15"/>
          <w:szCs w:val="15"/>
        </w:rPr>
        <w:t>1</w:t>
      </w:r>
      <w:r>
        <w:rPr>
          <w:rFonts w:hint="eastAsia" w:ascii="方正黑体_GBK" w:hAnsi="方正黑体_GBK" w:eastAsia="方正黑体_GBK" w:cs="Times New Roman"/>
          <w:b/>
          <w:bCs/>
          <w:vanish w:val="0"/>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3FE871C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b/>
          <w:bCs/>
          <w:vanish w:val="0"/>
          <w:color w:val="3D3D3D"/>
          <w:kern w:val="0"/>
          <w:sz w:val="15"/>
          <w:szCs w:val="15"/>
        </w:rPr>
      </w:pPr>
      <w:r>
        <w:rPr>
          <w:rFonts w:hint="eastAsia" w:ascii="方正黑体_GBK" w:hAnsi="方正黑体_GBK" w:eastAsia="方正黑体_GBK" w:cs="Times New Roman"/>
          <w:b/>
          <w:bCs/>
          <w:vanish w:val="0"/>
          <w:color w:val="3D3D3D"/>
          <w:kern w:val="0"/>
          <w:sz w:val="15"/>
          <w:szCs w:val="15"/>
        </w:rPr>
        <w:t>（</w:t>
      </w:r>
      <w:r>
        <w:rPr>
          <w:rFonts w:ascii="方正黑体_GBK" w:hAnsi="方正黑体_GBK" w:eastAsia="方正黑体_GBK" w:cs="Times New Roman"/>
          <w:b/>
          <w:bCs/>
          <w:vanish w:val="0"/>
          <w:color w:val="3D3D3D"/>
          <w:kern w:val="0"/>
          <w:sz w:val="15"/>
          <w:szCs w:val="15"/>
        </w:rPr>
        <w:t>2</w:t>
      </w:r>
      <w:r>
        <w:rPr>
          <w:rFonts w:hint="eastAsia" w:ascii="方正黑体_GBK" w:hAnsi="方正黑体_GBK" w:eastAsia="方正黑体_GBK" w:cs="Times New Roman"/>
          <w:b/>
          <w:bCs/>
          <w:vanish w:val="0"/>
          <w:color w:val="3D3D3D"/>
          <w:kern w:val="0"/>
          <w:sz w:val="15"/>
          <w:szCs w:val="15"/>
        </w:rPr>
        <w:t>）</w:t>
      </w:r>
      <w:r>
        <w:rPr>
          <w:rFonts w:ascii="方正黑体_GBK" w:hAnsi="方正黑体_GBK" w:eastAsia="方正黑体_GBK" w:cs="Times New Roman"/>
          <w:b/>
          <w:bCs/>
          <w:vanish w:val="0"/>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3F92A2E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10.其他公告</w:t>
      </w:r>
    </w:p>
    <w:p w14:paraId="411B92F0">
      <w:pPr>
        <w:pStyle w:val="32"/>
        <w:keepNext w:val="0"/>
        <w:keepLines w:val="0"/>
        <w:pageBreakBefore w:val="0"/>
        <w:widowControl/>
        <w:suppressLineNumbers w:val="0"/>
        <w:suppressAutoHyphens w:val="0"/>
        <w:spacing w:line="200" w:lineRule="exact"/>
        <w:ind w:firstLine="300"/>
        <w:rPr>
          <w:rFonts w:hint="eastAsia" w:ascii="方正黑体_GBK" w:hAnsi="方正黑体_GBK" w:eastAsia="方正黑体_GBK"/>
          <w:color w:val="3D3D3D"/>
          <w:kern w:val="0"/>
          <w:sz w:val="15"/>
          <w:szCs w:val="15"/>
        </w:rPr>
      </w:pPr>
      <w:r>
        <w:rPr>
          <w:rFonts w:hint="eastAsia" w:ascii="方正黑体_GBK" w:hAnsi="方正黑体_GBK" w:eastAsia="方正黑体_GBK"/>
          <w:vanish w:val="0"/>
          <w:color w:val="3D3D3D"/>
          <w:kern w:val="0"/>
          <w:sz w:val="15"/>
          <w:szCs w:val="15"/>
        </w:rPr>
        <w:t>理财产品在运作管理过程中，管理人根据实际运作情况发布的其他公告。</w:t>
      </w:r>
    </w:p>
    <w:p w14:paraId="626DE69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六</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投资者保护提示</w:t>
      </w:r>
    </w:p>
    <w:p w14:paraId="0CAD2E1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您如对销售机构产品推介和销售等服务有任何意见或建议，您可通过拨打销售机构客服电话进行咨询及反馈。</w:t>
      </w:r>
    </w:p>
    <w:p w14:paraId="2B63802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您如对理财产品设计、投资管理等事项有任何意见或建议，您可通过拨打管理人客服电话进行咨询及反馈。</w:t>
      </w:r>
    </w:p>
    <w:p w14:paraId="36959A7B">
      <w:pPr>
        <w:pStyle w:val="32"/>
        <w:keepNext w:val="0"/>
        <w:keepLines w:val="0"/>
        <w:pageBreakBefore w:val="0"/>
        <w:widowControl/>
        <w:suppressLineNumbers w:val="0"/>
        <w:suppressAutoHyphens w:val="0"/>
        <w:spacing w:line="200" w:lineRule="exact"/>
        <w:ind w:firstLine="300"/>
        <w:rPr>
          <w:rFonts w:hint="eastAsia" w:ascii="方正黑体_GBK" w:hAnsi="方正黑体_GBK" w:eastAsia="方正黑体_GBK"/>
          <w:color w:val="3D3D3D"/>
          <w:kern w:val="0"/>
          <w:sz w:val="15"/>
          <w:szCs w:val="15"/>
          <w:lang w:val="en-US" w:eastAsia="zh-CN"/>
        </w:rPr>
      </w:pPr>
      <w:r>
        <w:rPr>
          <w:rFonts w:hint="eastAsia" w:ascii="方正黑体_GBK" w:hAnsi="方正黑体_GBK" w:eastAsia="方正黑体_GBK" w:cs="Times New Roman"/>
          <w:vanish w:val="0"/>
          <w:color w:val="3D3D3D"/>
          <w:kern w:val="0"/>
          <w:sz w:val="15"/>
          <w:szCs w:val="15"/>
        </w:rPr>
        <w:t>销售机构及管理人的联系方式详见《投资者权益须知》第八条。</w:t>
      </w:r>
    </w:p>
    <w:p w14:paraId="1168B0E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七</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法律适用和争议解决</w:t>
      </w:r>
    </w:p>
    <w:p w14:paraId="41454390">
      <w:pPr>
        <w:pStyle w:val="32"/>
        <w:keepNext w:val="0"/>
        <w:keepLines w:val="0"/>
        <w:pageBreakBefore w:val="0"/>
        <w:widowControl/>
        <w:suppressLineNumbers w:val="0"/>
        <w:suppressAutoHyphens w:val="0"/>
        <w:spacing w:line="200" w:lineRule="exact"/>
        <w:ind w:firstLine="300"/>
        <w:rPr>
          <w:rFonts w:hint="eastAsia" w:ascii="方正黑体_GBK" w:hAnsi="方正黑体_GBK" w:eastAsia="方正黑体_GBK"/>
          <w:color w:val="3D3D3D"/>
          <w:kern w:val="0"/>
          <w:sz w:val="15"/>
          <w:szCs w:val="15"/>
          <w:lang w:val="en-US" w:eastAsia="zh-CN"/>
        </w:rPr>
      </w:pPr>
      <w:r>
        <w:rPr>
          <w:rFonts w:hint="eastAsia" w:ascii="方正黑体_GBK" w:hAnsi="方正黑体_GBK" w:eastAsia="方正黑体_GBK" w:cs="Times New Roman"/>
          <w:vanish w:val="0"/>
          <w:color w:val="3D3D3D"/>
          <w:kern w:val="0"/>
          <w:sz w:val="15"/>
          <w:szCs w:val="15"/>
        </w:rPr>
        <w:t>理财产品销售文件的订立、生效、履行、解释、修改和终止等事项的适用法律和争议解决方式按照销售协议书的相关约定执行。</w:t>
      </w:r>
    </w:p>
    <w:p w14:paraId="61957FB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八</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重要提示</w:t>
      </w:r>
    </w:p>
    <w:p w14:paraId="5977FAE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请您一定仔细阅读本理财产品销售文件，了解理财产品具体情况，关注投资风险，自主决定是否投资。</w:t>
      </w:r>
    </w:p>
    <w:p w14:paraId="205138D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投资者特此</w:t>
      </w:r>
      <w:r>
        <w:rPr>
          <w:rFonts w:hint="eastAsia" w:ascii="方正黑体_GBK" w:hAnsi="方正黑体_GBK" w:eastAsia="方正黑体_GBK" w:cs="Times New Roman"/>
          <w:b/>
          <w:bCs/>
          <w:vanish w:val="0"/>
          <w:color w:val="auto"/>
          <w:kern w:val="0"/>
          <w:sz w:val="15"/>
          <w:szCs w:val="15"/>
        </w:rPr>
        <w:t>同</w:t>
      </w:r>
      <w:r>
        <w:rPr>
          <w:rFonts w:hint="eastAsia" w:ascii="方正黑体_GBK" w:hAnsi="方正黑体_GBK" w:eastAsia="方正黑体_GBK"/>
          <w:b/>
          <w:bCs/>
          <w:vanish w:val="0"/>
          <w:color w:val="auto"/>
          <w:kern w:val="0"/>
          <w:sz w:val="15"/>
          <w:szCs w:val="15"/>
        </w:rPr>
        <w:t>意</w:t>
      </w:r>
      <w:r>
        <w:rPr>
          <w:rFonts w:hint="eastAsia" w:ascii="方正黑体_GBK" w:hAnsi="方正黑体_GBK" w:eastAsia="方正黑体_GBK" w:cs="Times New Roman"/>
          <w:b/>
          <w:bCs/>
          <w:vanish w:val="0"/>
          <w:color w:val="auto"/>
          <w:kern w:val="0"/>
          <w:sz w:val="15"/>
          <w:szCs w:val="15"/>
        </w:rPr>
        <w:t>并授权：</w:t>
      </w:r>
      <w:r>
        <w:rPr>
          <w:rFonts w:hint="eastAsia" w:ascii="方正黑体_GBK" w:hAnsi="方正黑体_GBK" w:eastAsia="方正黑体_GBK"/>
          <w:b/>
          <w:bCs/>
          <w:vanish w:val="0"/>
          <w:color w:val="auto"/>
          <w:kern w:val="0"/>
          <w:sz w:val="15"/>
          <w:szCs w:val="15"/>
        </w:rPr>
        <w:t>管理人</w:t>
      </w:r>
      <w:r>
        <w:rPr>
          <w:rFonts w:hint="eastAsia" w:ascii="方正黑体_GBK" w:hAnsi="方正黑体_GBK" w:eastAsia="方正黑体_GBK" w:cs="Times New Roman"/>
          <w:b/>
          <w:bCs/>
          <w:vanish w:val="0"/>
          <w:color w:val="auto"/>
          <w:kern w:val="0"/>
          <w:sz w:val="15"/>
          <w:szCs w:val="15"/>
        </w:rPr>
        <w:t>及销售机构</w:t>
      </w:r>
      <w:r>
        <w:rPr>
          <w:rFonts w:hint="eastAsia" w:ascii="方正黑体_GBK" w:hAnsi="方正黑体_GBK" w:eastAsia="方正黑体_GBK"/>
          <w:b/>
          <w:bCs/>
          <w:vanish w:val="0"/>
          <w:color w:val="auto"/>
          <w:kern w:val="0"/>
          <w:sz w:val="15"/>
          <w:szCs w:val="15"/>
        </w:rPr>
        <w:t>有权按照法律法规</w:t>
      </w:r>
      <w:r>
        <w:rPr>
          <w:rFonts w:hint="eastAsia" w:ascii="方正黑体_GBK" w:hAnsi="方正黑体_GBK" w:eastAsia="方正黑体_GBK" w:cs="Times New Roman"/>
          <w:b/>
          <w:bCs/>
          <w:vanish w:val="0"/>
          <w:color w:val="auto"/>
          <w:kern w:val="0"/>
          <w:sz w:val="15"/>
          <w:szCs w:val="15"/>
        </w:rPr>
        <w:t>规定，遵循正当、必要的原则，收集、使用投资者个人信息，包括但不限于</w:t>
      </w:r>
      <w:r>
        <w:rPr>
          <w:rFonts w:hint="eastAsia" w:ascii="方正黑体_GBK" w:hAnsi="方正黑体_GBK" w:eastAsia="方正黑体_GBK"/>
          <w:b/>
          <w:bCs/>
          <w:vanish w:val="0"/>
          <w:color w:val="auto"/>
          <w:kern w:val="0"/>
          <w:sz w:val="15"/>
          <w:szCs w:val="15"/>
        </w:rPr>
        <w:t>根据法律法规规定</w:t>
      </w:r>
      <w:r>
        <w:rPr>
          <w:rFonts w:hint="eastAsia" w:ascii="方正黑体_GBK" w:hAnsi="方正黑体_GBK" w:eastAsia="方正黑体_GBK" w:cs="Times New Roman"/>
          <w:b/>
          <w:bCs/>
          <w:vanish w:val="0"/>
          <w:color w:val="auto"/>
          <w:kern w:val="0"/>
          <w:sz w:val="15"/>
          <w:szCs w:val="15"/>
        </w:rPr>
        <w:t>、监管或</w:t>
      </w:r>
      <w:r>
        <w:rPr>
          <w:rFonts w:hint="eastAsia" w:ascii="方正黑体_GBK" w:hAnsi="方正黑体_GBK" w:eastAsia="方正黑体_GBK"/>
          <w:b/>
          <w:bCs/>
          <w:vanish w:val="0"/>
          <w:color w:val="auto"/>
          <w:kern w:val="0"/>
          <w:sz w:val="15"/>
          <w:szCs w:val="15"/>
        </w:rPr>
        <w:t>有权机关要求</w:t>
      </w:r>
      <w:r>
        <w:rPr>
          <w:rFonts w:hint="eastAsia" w:ascii="方正黑体_GBK" w:hAnsi="方正黑体_GBK" w:eastAsia="方正黑体_GBK" w:cs="Times New Roman"/>
          <w:b/>
          <w:bCs/>
          <w:vanish w:val="0"/>
          <w:color w:val="auto"/>
          <w:kern w:val="0"/>
          <w:sz w:val="15"/>
          <w:szCs w:val="15"/>
        </w:rPr>
        <w:t>、理财业务需要等采集、处理及使用</w:t>
      </w:r>
      <w:r>
        <w:rPr>
          <w:rFonts w:hint="eastAsia" w:ascii="方正黑体_GBK" w:hAnsi="方正黑体_GBK" w:eastAsia="方正黑体_GBK"/>
          <w:b/>
          <w:bCs/>
          <w:vanish w:val="0"/>
          <w:color w:val="auto"/>
          <w:kern w:val="0"/>
          <w:sz w:val="15"/>
          <w:szCs w:val="15"/>
        </w:rPr>
        <w:t>投资者身份、持有理财产品、理财产品交易等信息</w:t>
      </w:r>
      <w:r>
        <w:rPr>
          <w:rFonts w:hint="eastAsia" w:ascii="方正黑体_GBK" w:hAnsi="方正黑体_GBK" w:eastAsia="方正黑体_GBK" w:cs="Times New Roman"/>
          <w:b/>
          <w:bCs/>
          <w:vanish w:val="0"/>
          <w:color w:val="auto"/>
          <w:kern w:val="0"/>
          <w:sz w:val="15"/>
          <w:szCs w:val="15"/>
        </w:rPr>
        <w:t>，</w:t>
      </w:r>
      <w:r>
        <w:rPr>
          <w:rFonts w:hint="eastAsia" w:ascii="方正黑体_GBK" w:hAnsi="方正黑体_GBK" w:eastAsia="方正黑体_GBK"/>
          <w:b/>
          <w:bCs/>
          <w:vanish w:val="0"/>
          <w:color w:val="auto"/>
          <w:kern w:val="0"/>
          <w:sz w:val="15"/>
          <w:szCs w:val="15"/>
        </w:rPr>
        <w:t>以及</w:t>
      </w:r>
      <w:r>
        <w:rPr>
          <w:rFonts w:hint="eastAsia" w:ascii="方正黑体_GBK" w:hAnsi="方正黑体_GBK" w:eastAsia="方正黑体_GBK"/>
          <w:b/>
          <w:bCs/>
          <w:vanish w:val="0"/>
          <w:color w:val="auto"/>
          <w:spacing w:val="0"/>
          <w:kern w:val="0"/>
          <w:sz w:val="15"/>
          <w:szCs w:val="15"/>
        </w:rPr>
        <w:t>在办理与理财产品相关事项</w:t>
      </w:r>
      <w:r>
        <w:rPr>
          <w:rFonts w:hint="eastAsia" w:ascii="方正黑体_GBK" w:hAnsi="方正黑体_GBK" w:eastAsia="方正黑体_GBK" w:cs="Times New Roman"/>
          <w:b/>
          <w:bCs/>
          <w:vanish w:val="0"/>
          <w:color w:val="auto"/>
          <w:spacing w:val="0"/>
          <w:kern w:val="0"/>
          <w:sz w:val="15"/>
          <w:szCs w:val="15"/>
        </w:rPr>
        <w:t>需要</w:t>
      </w:r>
      <w:r>
        <w:rPr>
          <w:rFonts w:hint="eastAsia" w:ascii="方正黑体_GBK" w:hAnsi="方正黑体_GBK" w:eastAsia="方正黑体_GBK"/>
          <w:b/>
          <w:bCs/>
          <w:vanish w:val="0"/>
          <w:color w:val="auto"/>
          <w:spacing w:val="0"/>
          <w:kern w:val="0"/>
          <w:sz w:val="15"/>
          <w:szCs w:val="15"/>
        </w:rPr>
        <w:t>的情况下向服务机构及其他管理人或销售机构认为必要的业务合作机构提供投资者</w:t>
      </w:r>
      <w:r>
        <w:rPr>
          <w:rFonts w:hint="eastAsia" w:ascii="方正黑体_GBK" w:hAnsi="方正黑体_GBK" w:eastAsia="方正黑体_GBK" w:cs="Times New Roman"/>
          <w:b/>
          <w:bCs/>
          <w:vanish w:val="0"/>
          <w:color w:val="auto"/>
          <w:spacing w:val="0"/>
          <w:kern w:val="0"/>
          <w:sz w:val="15"/>
          <w:szCs w:val="15"/>
        </w:rPr>
        <w:t>相关</w:t>
      </w:r>
      <w:r>
        <w:rPr>
          <w:rFonts w:hint="eastAsia" w:ascii="方正黑体_GBK" w:hAnsi="方正黑体_GBK" w:eastAsia="方正黑体_GBK"/>
          <w:b/>
          <w:bCs/>
          <w:vanish w:val="0"/>
          <w:color w:val="auto"/>
          <w:spacing w:val="0"/>
          <w:kern w:val="0"/>
          <w:sz w:val="15"/>
          <w:szCs w:val="15"/>
        </w:rPr>
        <w:t>信息</w:t>
      </w:r>
      <w:r>
        <w:rPr>
          <w:rFonts w:hint="eastAsia" w:ascii="方正黑体_GBK" w:hAnsi="方正黑体_GBK" w:eastAsia="方正黑体_GBK" w:cs="Times New Roman"/>
          <w:b/>
          <w:bCs/>
          <w:vanish w:val="0"/>
          <w:color w:val="auto"/>
          <w:spacing w:val="0"/>
          <w:kern w:val="0"/>
          <w:sz w:val="15"/>
          <w:szCs w:val="15"/>
        </w:rPr>
        <w:t>。</w:t>
      </w:r>
      <w:r>
        <w:rPr>
          <w:rFonts w:hint="eastAsia" w:ascii="方正黑体_GBK" w:hAnsi="方正黑体_GBK" w:eastAsia="方正黑体_GBK"/>
          <w:b/>
          <w:bCs/>
          <w:vanish w:val="0"/>
          <w:color w:val="auto"/>
          <w:kern w:val="0"/>
          <w:sz w:val="15"/>
          <w:szCs w:val="15"/>
        </w:rPr>
        <w:t>管理人及销售机构保证信息采集、处理及使用的安全性和合法性</w:t>
      </w:r>
      <w:r>
        <w:rPr>
          <w:rFonts w:hint="eastAsia" w:ascii="方正黑体_GBK" w:hAnsi="方正黑体_GBK" w:eastAsia="方正黑体_GBK"/>
          <w:b/>
          <w:bCs/>
          <w:vanish w:val="0"/>
          <w:color w:val="auto"/>
          <w:spacing w:val="0"/>
          <w:kern w:val="0"/>
          <w:sz w:val="15"/>
          <w:szCs w:val="15"/>
        </w:rPr>
        <w:t>。</w:t>
      </w:r>
    </w:p>
    <w:p w14:paraId="1BC3270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本理财产品说明书在法律许可的范围内由管理人负责解释。若投资者对本理财说明书的内容有任何疑问或异议，</w:t>
      </w:r>
      <w:r>
        <w:rPr>
          <w:rFonts w:hint="eastAsia" w:ascii="方正黑体_GBK" w:hAnsi="方正黑体_GBK" w:eastAsia="方正黑体_GBK" w:cs="Times New Roman"/>
          <w:b/>
          <w:bCs/>
          <w:vanish w:val="0"/>
          <w:color w:val="auto"/>
          <w:kern w:val="0"/>
          <w:sz w:val="15"/>
          <w:szCs w:val="15"/>
        </w:rPr>
        <w:t>可与管理人或销售机构联系，管理人或销售机构将及时接听、记录投资者的意见或建议，并与投资者协商共同解决</w:t>
      </w:r>
      <w:r>
        <w:rPr>
          <w:rFonts w:hint="eastAsia" w:ascii="方正黑体_GBK" w:hAnsi="方正黑体_GBK" w:eastAsia="方正黑体_GBK"/>
          <w:b/>
          <w:bCs/>
          <w:vanish w:val="0"/>
          <w:color w:val="auto"/>
          <w:kern w:val="0"/>
          <w:sz w:val="15"/>
          <w:szCs w:val="15"/>
        </w:rPr>
        <w:t>。</w:t>
      </w:r>
    </w:p>
    <w:p w14:paraId="59050BC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rPr>
          <w:rFonts w:ascii="方正黑体_GBK" w:hAnsi="方正黑体_GBK" w:eastAsia="方正黑体_GBK"/>
          <w:b/>
          <w:bCs/>
          <w:vanish w:val="0"/>
          <w:color w:val="3D3D3D"/>
          <w:kern w:val="0"/>
          <w:sz w:val="15"/>
          <w:szCs w:val="15"/>
        </w:rPr>
      </w:pPr>
    </w:p>
    <w:p w14:paraId="58D3152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风险提示：</w:t>
      </w:r>
    </w:p>
    <w:p w14:paraId="286D3721">
      <w:pPr>
        <w:pStyle w:val="32"/>
        <w:tabs>
          <w:tab w:val="left" w:pos="8033"/>
        </w:tabs>
        <w:ind w:left="0" w:firstLine="0"/>
        <w:jc w:val="left"/>
        <w:rPr>
          <w:rFonts w:hint="eastAsia" w:ascii="方正黑体_GBK" w:hAnsi="方正黑体_GBK" w:eastAsia="方正黑体_GBK"/>
          <w:b/>
          <w:bCs/>
          <w:color w:val="3D3D3D"/>
          <w:kern w:val="0"/>
          <w:sz w:val="15"/>
          <w:szCs w:val="15"/>
        </w:rPr>
      </w:pPr>
      <w:r>
        <w:rPr>
          <w:rFonts w:hint="eastAsia" w:ascii="方正黑体_GBK" w:hAnsi="方正黑体_GBK" w:eastAsia="方正黑体_GBK"/>
          <w:b/>
          <w:bCs/>
          <w:color w:val="3D3D3D"/>
          <w:kern w:val="0"/>
          <w:sz w:val="15"/>
          <w:szCs w:val="15"/>
        </w:rPr>
        <w:t>本理财产品是</w:t>
      </w:r>
      <w:r>
        <w:rPr>
          <w:rFonts w:hint="eastAsia" w:ascii="方正黑体_GBK" w:hAnsi="方正黑体_GBK" w:eastAsia="方正黑体_GBK" w:cs="宋体"/>
          <w:b/>
          <w:bCs/>
          <w:i/>
          <w:iCs/>
          <w:caps w:val="0"/>
          <w:smallCaps w:val="0"/>
          <w:snapToGrid/>
          <w:vanish w:val="0"/>
          <w:color w:val="auto"/>
          <w:kern w:val="0"/>
          <w:sz w:val="20"/>
          <w:szCs w:val="18"/>
          <w:u w:val="single"/>
          <w:vertAlign w:val="baseline"/>
          <w:lang w:val="en-US" w:eastAsia="zh-CN"/>
        </w:rPr>
        <w:t>定期开放式、固定收益类、公募、净值型</w:t>
      </w:r>
      <w:r>
        <w:rPr>
          <w:rFonts w:hint="eastAsia" w:ascii="方正黑体_GBK" w:hAnsi="方正黑体_GBK" w:eastAsia="方正黑体_GBK"/>
          <w:b/>
          <w:bCs/>
          <w:color w:val="3D3D3D"/>
          <w:kern w:val="0"/>
          <w:sz w:val="15"/>
          <w:szCs w:val="15"/>
        </w:rPr>
        <w:t>理财产品，</w:t>
      </w:r>
      <w:r>
        <w:rPr>
          <w:rFonts w:hint="eastAsia" w:ascii="方正黑体_GBK" w:hAnsi="方正黑体_GBK" w:eastAsia="方正黑体_GBK"/>
          <w:b/>
          <w:bCs/>
          <w:i/>
          <w:iCs/>
          <w:color w:val="3D3D3D"/>
          <w:kern w:val="0"/>
          <w:sz w:val="21"/>
          <w:szCs w:val="21"/>
          <w:u w:val="single"/>
        </w:rPr>
        <w:t>不保证本金和收益</w:t>
      </w:r>
      <w:r>
        <w:rPr>
          <w:rFonts w:hint="eastAsia" w:ascii="方正黑体_GBK" w:hAnsi="方正黑体_GBK" w:eastAsia="方正黑体_GBK"/>
          <w:b/>
          <w:bCs/>
          <w:color w:val="3D3D3D"/>
          <w:kern w:val="0"/>
          <w:sz w:val="15"/>
          <w:szCs w:val="15"/>
        </w:rPr>
        <w:t>，您的本金与收益可能会蒙受重大损失，您应仔细阅读</w:t>
      </w:r>
      <w:r>
        <w:rPr>
          <w:rFonts w:hint="eastAsia" w:ascii="方正黑体_GBK" w:hAnsi="方正黑体_GBK" w:eastAsia="方正黑体_GBK" w:cs="Times New Roman"/>
          <w:b/>
          <w:bCs/>
          <w:color w:val="3D3D3D"/>
          <w:kern w:val="0"/>
          <w:sz w:val="15"/>
          <w:szCs w:val="15"/>
        </w:rPr>
        <w:t>《理财产品风险揭示书》《理财产品说明书》《投资者权益须知》《理财产品销售协议书》《理财产品投资协议书》</w:t>
      </w:r>
      <w:r>
        <w:rPr>
          <w:rFonts w:hint="eastAsia" w:ascii="方正黑体_GBK" w:hAnsi="方正黑体_GBK" w:eastAsia="方正黑体_GBK"/>
          <w:b/>
          <w:bCs/>
          <w:color w:val="3D3D3D"/>
          <w:kern w:val="0"/>
          <w:sz w:val="15"/>
          <w:szCs w:val="15"/>
        </w:rPr>
        <w:t>，充分认识投资风险，谨慎投资。</w:t>
      </w:r>
    </w:p>
    <w:p w14:paraId="26DD3D34">
      <w:pPr>
        <w:pStyle w:val="11"/>
        <w:rPr>
          <w:rFonts w:hint="eastAsia" w:ascii="方正黑体_GBK" w:hAnsi="方正黑体_GBK" w:eastAsia="方正黑体_GBK"/>
          <w:b/>
          <w:bCs/>
          <w:color w:val="3D3D3D"/>
          <w:kern w:val="0"/>
          <w:sz w:val="15"/>
          <w:szCs w:val="15"/>
        </w:rPr>
      </w:pPr>
    </w:p>
    <w:p w14:paraId="07705E1D">
      <w:pPr>
        <w:rPr>
          <w:rFonts w:hint="eastAsia" w:ascii="方正黑体_GBK" w:hAnsi="方正黑体_GBK" w:eastAsia="方正黑体_GBK"/>
          <w:b/>
          <w:bCs/>
          <w:color w:val="3D3D3D"/>
          <w:kern w:val="0"/>
          <w:sz w:val="15"/>
          <w:szCs w:val="15"/>
        </w:rPr>
      </w:pPr>
    </w:p>
    <w:p w14:paraId="7A2A02CF">
      <w:pPr>
        <w:rPr>
          <w:rFonts w:hint="eastAsia" w:ascii="方正黑体_GBK" w:hAnsi="方正黑体_GBK" w:eastAsia="方正黑体_GBK"/>
          <w:b/>
          <w:bCs/>
          <w:color w:val="3D3D3D"/>
          <w:kern w:val="0"/>
          <w:sz w:val="15"/>
          <w:szCs w:val="15"/>
        </w:rPr>
      </w:pPr>
    </w:p>
    <w:p w14:paraId="432BDBEF">
      <w:pPr>
        <w:rPr>
          <w:rFonts w:hint="eastAsia" w:ascii="方正黑体_GBK" w:hAnsi="方正黑体_GBK" w:eastAsia="方正黑体_GBK"/>
          <w:b/>
          <w:bCs/>
          <w:color w:val="3D3D3D"/>
          <w:kern w:val="0"/>
          <w:sz w:val="15"/>
          <w:szCs w:val="15"/>
        </w:rPr>
      </w:pPr>
    </w:p>
    <w:p w14:paraId="52507308">
      <w:pPr>
        <w:rPr>
          <w:rFonts w:hint="eastAsia" w:ascii="方正黑体_GBK" w:hAnsi="方正黑体_GBK" w:eastAsia="方正黑体_GBK"/>
          <w:b/>
          <w:bCs/>
          <w:color w:val="3D3D3D"/>
          <w:kern w:val="0"/>
          <w:sz w:val="15"/>
          <w:szCs w:val="15"/>
        </w:rPr>
      </w:pPr>
    </w:p>
    <w:p w14:paraId="7A225AC9">
      <w:pPr>
        <w:rPr>
          <w:rFonts w:hint="eastAsia" w:ascii="方正黑体_GBK" w:hAnsi="方正黑体_GBK" w:eastAsia="方正黑体_GBK"/>
          <w:b/>
          <w:bCs/>
          <w:color w:val="3D3D3D"/>
          <w:kern w:val="0"/>
          <w:sz w:val="15"/>
          <w:szCs w:val="15"/>
        </w:rPr>
      </w:pPr>
    </w:p>
    <w:p w14:paraId="0776AC0C">
      <w:pPr>
        <w:rPr>
          <w:rFonts w:hint="eastAsia" w:ascii="方正黑体_GBK" w:hAnsi="方正黑体_GBK" w:eastAsia="方正黑体_GBK"/>
          <w:b/>
          <w:bCs/>
          <w:color w:val="3D3D3D"/>
          <w:kern w:val="0"/>
          <w:sz w:val="15"/>
          <w:szCs w:val="15"/>
        </w:rPr>
      </w:pPr>
    </w:p>
    <w:p w14:paraId="48785CD6">
      <w:pPr>
        <w:rPr>
          <w:rFonts w:hint="eastAsia" w:ascii="方正黑体_GBK" w:hAnsi="方正黑体_GBK" w:eastAsia="方正黑体_GBK"/>
          <w:b/>
          <w:bCs/>
          <w:color w:val="3D3D3D"/>
          <w:kern w:val="0"/>
          <w:sz w:val="15"/>
          <w:szCs w:val="15"/>
        </w:rPr>
      </w:pPr>
    </w:p>
    <w:p w14:paraId="73731082">
      <w:pPr>
        <w:rPr>
          <w:rFonts w:hint="eastAsia" w:ascii="方正黑体_GBK" w:hAnsi="方正黑体_GBK" w:eastAsia="方正黑体_GBK"/>
          <w:b/>
          <w:bCs/>
          <w:color w:val="3D3D3D"/>
          <w:kern w:val="0"/>
          <w:sz w:val="15"/>
          <w:szCs w:val="15"/>
        </w:rPr>
      </w:pPr>
    </w:p>
    <w:p w14:paraId="267260A8">
      <w:pPr>
        <w:rPr>
          <w:rFonts w:hint="eastAsia" w:ascii="方正黑体_GBK" w:hAnsi="方正黑体_GBK" w:eastAsia="方正黑体_GBK"/>
          <w:b/>
          <w:bCs/>
          <w:color w:val="3D3D3D"/>
          <w:kern w:val="0"/>
          <w:sz w:val="15"/>
          <w:szCs w:val="15"/>
        </w:rPr>
      </w:pPr>
    </w:p>
    <w:p w14:paraId="1264DE8C">
      <w:pPr>
        <w:rPr>
          <w:rFonts w:hint="eastAsia" w:ascii="方正黑体_GBK" w:hAnsi="方正黑体_GBK" w:eastAsia="方正黑体_GBK"/>
          <w:b/>
          <w:bCs/>
          <w:color w:val="3D3D3D"/>
          <w:kern w:val="0"/>
          <w:sz w:val="15"/>
          <w:szCs w:val="15"/>
        </w:rPr>
      </w:pPr>
    </w:p>
    <w:p w14:paraId="5D0D167C">
      <w:pPr>
        <w:rPr>
          <w:rFonts w:hint="eastAsia" w:ascii="方正黑体_GBK" w:hAnsi="方正黑体_GBK" w:eastAsia="方正黑体_GBK"/>
          <w:b/>
          <w:bCs/>
          <w:color w:val="3D3D3D"/>
          <w:kern w:val="0"/>
          <w:sz w:val="15"/>
          <w:szCs w:val="15"/>
        </w:rPr>
      </w:pPr>
    </w:p>
    <w:p w14:paraId="1563C20E">
      <w:pPr>
        <w:rPr>
          <w:rFonts w:hint="eastAsia" w:ascii="方正黑体_GBK" w:hAnsi="方正黑体_GBK" w:eastAsia="方正黑体_GBK"/>
          <w:b/>
          <w:bCs/>
          <w:color w:val="3D3D3D"/>
          <w:kern w:val="0"/>
          <w:sz w:val="15"/>
          <w:szCs w:val="15"/>
        </w:rPr>
      </w:pPr>
    </w:p>
    <w:p w14:paraId="1C4F5875">
      <w:pPr>
        <w:rPr>
          <w:rFonts w:hint="eastAsia" w:ascii="方正黑体_GBK" w:hAnsi="方正黑体_GBK" w:eastAsia="方正黑体_GBK"/>
          <w:b/>
          <w:bCs/>
          <w:color w:val="3D3D3D"/>
          <w:kern w:val="0"/>
          <w:sz w:val="15"/>
          <w:szCs w:val="15"/>
        </w:rPr>
      </w:pPr>
    </w:p>
    <w:p w14:paraId="20CE1CBC">
      <w:pPr>
        <w:rPr>
          <w:rFonts w:hint="eastAsia" w:ascii="方正黑体_GBK" w:hAnsi="方正黑体_GBK" w:eastAsia="方正黑体_GBK"/>
          <w:b/>
          <w:bCs/>
          <w:color w:val="3D3D3D"/>
          <w:kern w:val="0"/>
          <w:sz w:val="15"/>
          <w:szCs w:val="15"/>
        </w:rPr>
      </w:pPr>
    </w:p>
    <w:p w14:paraId="6F9906C6">
      <w:pPr>
        <w:rPr>
          <w:rFonts w:hint="eastAsia" w:ascii="方正黑体_GBK" w:hAnsi="方正黑体_GBK" w:eastAsia="方正黑体_GBK"/>
          <w:b/>
          <w:bCs/>
          <w:color w:val="3D3D3D"/>
          <w:kern w:val="0"/>
          <w:sz w:val="15"/>
          <w:szCs w:val="15"/>
        </w:rPr>
      </w:pPr>
    </w:p>
    <w:p w14:paraId="39E63434">
      <w:pPr>
        <w:rPr>
          <w:rFonts w:hint="eastAsia" w:ascii="方正黑体_GBK" w:hAnsi="方正黑体_GBK" w:eastAsia="方正黑体_GBK"/>
          <w:b/>
          <w:bCs/>
          <w:color w:val="3D3D3D"/>
          <w:kern w:val="0"/>
          <w:sz w:val="15"/>
          <w:szCs w:val="15"/>
        </w:rPr>
      </w:pPr>
    </w:p>
    <w:p w14:paraId="63065245">
      <w:pPr>
        <w:rPr>
          <w:rFonts w:hint="eastAsia" w:ascii="方正黑体_GBK" w:hAnsi="方正黑体_GBK" w:eastAsia="方正黑体_GBK"/>
          <w:b/>
          <w:bCs/>
          <w:color w:val="3D3D3D"/>
          <w:kern w:val="0"/>
          <w:sz w:val="15"/>
          <w:szCs w:val="15"/>
        </w:rPr>
      </w:pPr>
    </w:p>
    <w:p w14:paraId="3BF879D8">
      <w:pPr>
        <w:rPr>
          <w:rFonts w:hint="eastAsia" w:ascii="方正黑体_GBK" w:hAnsi="方正黑体_GBK" w:eastAsia="方正黑体_GBK"/>
          <w:b/>
          <w:bCs/>
          <w:color w:val="3D3D3D"/>
          <w:kern w:val="0"/>
          <w:sz w:val="15"/>
          <w:szCs w:val="15"/>
        </w:rPr>
      </w:pPr>
    </w:p>
    <w:p w14:paraId="2F527FA9">
      <w:pPr>
        <w:rPr>
          <w:rFonts w:hint="eastAsia" w:ascii="方正黑体_GBK" w:hAnsi="方正黑体_GBK" w:eastAsia="方正黑体_GBK"/>
          <w:b/>
          <w:bCs/>
          <w:color w:val="3D3D3D"/>
          <w:kern w:val="0"/>
          <w:sz w:val="15"/>
          <w:szCs w:val="15"/>
        </w:rPr>
      </w:pPr>
    </w:p>
    <w:p w14:paraId="568CEA70">
      <w:pPr>
        <w:rPr>
          <w:rFonts w:hint="eastAsia" w:ascii="方正黑体_GBK" w:hAnsi="方正黑体_GBK" w:eastAsia="方正黑体_GBK"/>
          <w:b/>
          <w:bCs/>
          <w:color w:val="3D3D3D"/>
          <w:kern w:val="0"/>
          <w:sz w:val="15"/>
          <w:szCs w:val="15"/>
        </w:rPr>
      </w:pPr>
    </w:p>
    <w:p w14:paraId="64DDE97B">
      <w:pPr>
        <w:rPr>
          <w:rFonts w:hint="eastAsia" w:ascii="方正黑体_GBK" w:hAnsi="方正黑体_GBK" w:eastAsia="方正黑体_GBK"/>
          <w:b/>
          <w:bCs/>
          <w:color w:val="3D3D3D"/>
          <w:kern w:val="0"/>
          <w:sz w:val="15"/>
          <w:szCs w:val="15"/>
        </w:rPr>
      </w:pPr>
    </w:p>
    <w:p w14:paraId="0F302C2D">
      <w:pPr>
        <w:rPr>
          <w:rFonts w:hint="eastAsia" w:ascii="方正黑体_GBK" w:hAnsi="方正黑体_GBK" w:eastAsia="方正黑体_GBK"/>
          <w:b/>
          <w:bCs/>
          <w:color w:val="3D3D3D"/>
          <w:kern w:val="0"/>
          <w:sz w:val="15"/>
          <w:szCs w:val="15"/>
        </w:rPr>
      </w:pPr>
    </w:p>
    <w:p w14:paraId="2919C289">
      <w:pPr>
        <w:rPr>
          <w:rFonts w:hint="eastAsia" w:ascii="方正黑体_GBK" w:hAnsi="方正黑体_GBK" w:eastAsia="方正黑体_GBK"/>
          <w:b/>
          <w:bCs/>
          <w:color w:val="3D3D3D"/>
          <w:kern w:val="0"/>
          <w:sz w:val="15"/>
          <w:szCs w:val="15"/>
        </w:rPr>
      </w:pPr>
    </w:p>
    <w:p w14:paraId="6FE6A7C3">
      <w:pPr>
        <w:rPr>
          <w:rFonts w:hint="eastAsia" w:ascii="方正黑体_GBK" w:hAnsi="方正黑体_GBK" w:eastAsia="方正黑体_GBK"/>
          <w:b/>
          <w:bCs/>
          <w:color w:val="3D3D3D"/>
          <w:kern w:val="0"/>
          <w:sz w:val="15"/>
          <w:szCs w:val="15"/>
        </w:rPr>
      </w:pPr>
    </w:p>
    <w:p w14:paraId="70E64B32">
      <w:pPr>
        <w:rPr>
          <w:rFonts w:hint="eastAsia" w:ascii="方正黑体_GBK" w:hAnsi="方正黑体_GBK" w:eastAsia="方正黑体_GBK"/>
          <w:b/>
          <w:bCs/>
          <w:color w:val="3D3D3D"/>
          <w:kern w:val="0"/>
          <w:sz w:val="15"/>
          <w:szCs w:val="15"/>
        </w:rPr>
      </w:pPr>
    </w:p>
    <w:p w14:paraId="1AB46172">
      <w:pPr>
        <w:rPr>
          <w:rFonts w:hint="eastAsia" w:ascii="方正黑体_GBK" w:hAnsi="方正黑体_GBK" w:eastAsia="方正黑体_GBK"/>
          <w:b/>
          <w:bCs/>
          <w:color w:val="3D3D3D"/>
          <w:kern w:val="0"/>
          <w:sz w:val="15"/>
          <w:szCs w:val="15"/>
        </w:rPr>
      </w:pPr>
    </w:p>
    <w:p w14:paraId="34D7BA0E">
      <w:pPr>
        <w:rPr>
          <w:rFonts w:hint="eastAsia" w:ascii="方正黑体_GBK" w:hAnsi="方正黑体_GBK" w:eastAsia="方正黑体_GBK"/>
          <w:b/>
          <w:bCs/>
          <w:color w:val="3D3D3D"/>
          <w:kern w:val="0"/>
          <w:sz w:val="15"/>
          <w:szCs w:val="15"/>
        </w:rPr>
      </w:pPr>
    </w:p>
    <w:p w14:paraId="16FFF4B0">
      <w:pPr>
        <w:rPr>
          <w:rFonts w:hint="eastAsia" w:ascii="方正黑体_GBK" w:hAnsi="方正黑体_GBK" w:eastAsia="方正黑体_GBK"/>
          <w:b/>
          <w:bCs/>
          <w:color w:val="3D3D3D"/>
          <w:kern w:val="0"/>
          <w:sz w:val="15"/>
          <w:szCs w:val="15"/>
        </w:rPr>
      </w:pPr>
    </w:p>
    <w:p w14:paraId="55A2F4F2">
      <w:pPr>
        <w:rPr>
          <w:rFonts w:hint="eastAsia" w:ascii="方正黑体_GBK" w:hAnsi="方正黑体_GBK" w:eastAsia="方正黑体_GBK"/>
          <w:b/>
          <w:bCs/>
          <w:color w:val="3D3D3D"/>
          <w:kern w:val="0"/>
          <w:sz w:val="15"/>
          <w:szCs w:val="15"/>
        </w:rPr>
      </w:pPr>
    </w:p>
    <w:p w14:paraId="637C7358">
      <w:pPr>
        <w:rPr>
          <w:rFonts w:hint="eastAsia" w:ascii="方正黑体_GBK" w:hAnsi="方正黑体_GBK" w:eastAsia="方正黑体_GBK"/>
          <w:b/>
          <w:bCs/>
          <w:color w:val="3D3D3D"/>
          <w:kern w:val="0"/>
          <w:sz w:val="15"/>
          <w:szCs w:val="15"/>
        </w:rPr>
      </w:pPr>
    </w:p>
    <w:p w14:paraId="14113568">
      <w:pPr>
        <w:rPr>
          <w:rFonts w:hint="eastAsia" w:ascii="方正黑体_GBK" w:hAnsi="方正黑体_GBK" w:eastAsia="方正黑体_GBK"/>
          <w:b/>
          <w:bCs/>
          <w:color w:val="3D3D3D"/>
          <w:kern w:val="0"/>
          <w:sz w:val="15"/>
          <w:szCs w:val="15"/>
        </w:rPr>
      </w:pPr>
    </w:p>
    <w:p w14:paraId="236C5941">
      <w:pPr>
        <w:rPr>
          <w:rFonts w:hint="eastAsia" w:ascii="方正黑体_GBK" w:hAnsi="方正黑体_GBK" w:eastAsia="方正黑体_GBK"/>
          <w:b/>
          <w:bCs/>
          <w:color w:val="3D3D3D"/>
          <w:kern w:val="0"/>
          <w:sz w:val="15"/>
          <w:szCs w:val="15"/>
        </w:rPr>
      </w:pPr>
    </w:p>
    <w:p w14:paraId="07FFC7C1">
      <w:pPr>
        <w:rPr>
          <w:rFonts w:hint="eastAsia" w:ascii="方正黑体_GBK" w:hAnsi="方正黑体_GBK" w:eastAsia="方正黑体_GBK"/>
          <w:b/>
          <w:bCs/>
          <w:color w:val="3D3D3D"/>
          <w:kern w:val="0"/>
          <w:sz w:val="15"/>
          <w:szCs w:val="15"/>
        </w:rPr>
      </w:pPr>
    </w:p>
    <w:p w14:paraId="221F7A62">
      <w:pPr>
        <w:rPr>
          <w:rFonts w:hint="eastAsia" w:ascii="方正黑体_GBK" w:hAnsi="方正黑体_GBK" w:eastAsia="方正黑体_GBK"/>
          <w:b/>
          <w:bCs/>
          <w:color w:val="3D3D3D"/>
          <w:kern w:val="0"/>
          <w:sz w:val="15"/>
          <w:szCs w:val="15"/>
        </w:rPr>
      </w:pPr>
    </w:p>
    <w:p w14:paraId="73CC2515">
      <w:pPr>
        <w:rPr>
          <w:rFonts w:hint="eastAsia" w:ascii="方正黑体_GBK" w:hAnsi="方正黑体_GBK" w:eastAsia="方正黑体_GBK"/>
          <w:b/>
          <w:bCs/>
          <w:color w:val="3D3D3D"/>
          <w:kern w:val="0"/>
          <w:sz w:val="15"/>
          <w:szCs w:val="15"/>
        </w:rPr>
      </w:pPr>
    </w:p>
    <w:p w14:paraId="0D38A54B">
      <w:pPr>
        <w:rPr>
          <w:rFonts w:hint="eastAsia" w:ascii="方正黑体_GBK" w:hAnsi="方正黑体_GBK" w:eastAsia="方正黑体_GBK"/>
          <w:b/>
          <w:bCs/>
          <w:color w:val="3D3D3D"/>
          <w:kern w:val="0"/>
          <w:sz w:val="15"/>
          <w:szCs w:val="15"/>
        </w:rPr>
      </w:pPr>
    </w:p>
    <w:p w14:paraId="25F894EB">
      <w:pPr>
        <w:rPr>
          <w:rFonts w:hint="eastAsia" w:ascii="方正黑体_GBK" w:hAnsi="方正黑体_GBK" w:eastAsia="方正黑体_GBK"/>
          <w:b/>
          <w:bCs/>
          <w:color w:val="3D3D3D"/>
          <w:kern w:val="0"/>
          <w:sz w:val="15"/>
          <w:szCs w:val="15"/>
        </w:rPr>
      </w:pPr>
    </w:p>
    <w:p w14:paraId="2499BB35">
      <w:pPr>
        <w:rPr>
          <w:rFonts w:hint="eastAsia" w:ascii="方正黑体_GBK" w:hAnsi="方正黑体_GBK" w:eastAsia="方正黑体_GBK"/>
          <w:b/>
          <w:bCs/>
          <w:color w:val="3D3D3D"/>
          <w:kern w:val="0"/>
          <w:sz w:val="15"/>
          <w:szCs w:val="15"/>
        </w:rPr>
      </w:pPr>
    </w:p>
    <w:p w14:paraId="726E04DA">
      <w:pPr>
        <w:rPr>
          <w:rFonts w:hint="eastAsia" w:ascii="方正黑体_GBK" w:hAnsi="方正黑体_GBK" w:eastAsia="方正黑体_GBK"/>
          <w:b/>
          <w:bCs/>
          <w:color w:val="3D3D3D"/>
          <w:kern w:val="0"/>
          <w:sz w:val="15"/>
          <w:szCs w:val="15"/>
        </w:rPr>
      </w:pPr>
      <w:bookmarkStart w:id="0" w:name="_GoBack"/>
      <w:bookmarkEnd w:id="0"/>
    </w:p>
    <w:p w14:paraId="4219093E">
      <w:pPr>
        <w:rPr>
          <w:rFonts w:hint="eastAsia" w:ascii="方正黑体_GBK" w:hAnsi="方正黑体_GBK" w:eastAsia="方正黑体_GBK"/>
          <w:b/>
          <w:bCs/>
          <w:color w:val="3D3D3D"/>
          <w:kern w:val="0"/>
          <w:sz w:val="15"/>
          <w:szCs w:val="15"/>
        </w:rPr>
      </w:pPr>
    </w:p>
    <w:p w14:paraId="63B56FB2"/>
    <w:p w14:paraId="59A567B7">
      <w:pPr>
        <w:jc w:val="center"/>
        <w:rPr>
          <w:rFonts w:ascii="黑体" w:hAnsi="宋体" w:eastAsia="黑体"/>
          <w:b/>
          <w:bCs/>
          <w:sz w:val="24"/>
          <w:szCs w:val="15"/>
        </w:rPr>
      </w:pPr>
      <w:r>
        <w:rPr>
          <w:rFonts w:hint="eastAsia" w:ascii="黑体" w:hAnsi="宋体" w:eastAsia="黑体"/>
          <w:b/>
          <w:bCs/>
          <w:sz w:val="24"/>
          <w:szCs w:val="15"/>
        </w:rPr>
        <w:t>投资者权益须知</w:t>
      </w:r>
    </w:p>
    <w:p w14:paraId="1C2BCD48">
      <w:pPr>
        <w:ind w:firstLine="320" w:firstLineChars="200"/>
        <w:jc w:val="center"/>
        <w:rPr>
          <w:rFonts w:ascii="宋体" w:hAnsi="宋体"/>
          <w:b/>
          <w:i/>
          <w:sz w:val="16"/>
          <w:szCs w:val="15"/>
          <w:u w:val="single"/>
        </w:rPr>
      </w:pPr>
    </w:p>
    <w:p w14:paraId="37AC3997">
      <w:pPr>
        <w:ind w:firstLine="320" w:firstLineChars="200"/>
        <w:jc w:val="center"/>
        <w:rPr>
          <w:rFonts w:ascii="宋体" w:hAnsi="宋体"/>
          <w:b/>
          <w:i/>
          <w:sz w:val="16"/>
          <w:szCs w:val="15"/>
          <w:u w:val="single"/>
        </w:rPr>
      </w:pPr>
      <w:r>
        <w:rPr>
          <w:rFonts w:hint="eastAsia" w:ascii="宋体" w:hAnsi="宋体"/>
          <w:b/>
          <w:i/>
          <w:sz w:val="16"/>
          <w:szCs w:val="15"/>
          <w:u w:val="single"/>
        </w:rPr>
        <w:t xml:space="preserve">“理财非存款、产品有风险、理财产品过往业绩不代表其未来表现，不等于理财产品实际收益，投资须谨慎！” </w:t>
      </w:r>
    </w:p>
    <w:p w14:paraId="151CC198">
      <w:pPr>
        <w:pStyle w:val="14"/>
        <w:spacing w:before="0" w:after="0" w:line="240" w:lineRule="auto"/>
        <w:ind w:firstLine="0"/>
        <w:rPr>
          <w:spacing w:val="10"/>
          <w:kern w:val="2"/>
          <w:sz w:val="15"/>
          <w:szCs w:val="15"/>
        </w:rPr>
      </w:pPr>
      <w:r>
        <w:rPr>
          <w:rFonts w:hint="eastAsia"/>
          <w:spacing w:val="10"/>
          <w:kern w:val="2"/>
          <w:sz w:val="15"/>
          <w:szCs w:val="15"/>
        </w:rPr>
        <w:t>尊敬的投资者：</w:t>
      </w:r>
    </w:p>
    <w:p w14:paraId="28CF3F9E">
      <w:pPr>
        <w:pStyle w:val="14"/>
        <w:spacing w:before="0" w:after="0" w:line="240" w:lineRule="auto"/>
        <w:ind w:firstLine="340" w:firstLineChars="20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14:paraId="15514742">
      <w:pPr>
        <w:pStyle w:val="14"/>
        <w:spacing w:before="0" w:after="0" w:line="240" w:lineRule="auto"/>
        <w:ind w:firstLine="340" w:firstLineChars="20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14:paraId="7BCBDDAF">
      <w:pPr>
        <w:pStyle w:val="14"/>
        <w:spacing w:line="240" w:lineRule="auto"/>
        <w:ind w:left="341" w:firstLine="0"/>
        <w:jc w:val="both"/>
        <w:rPr>
          <w:b/>
          <w:spacing w:val="10"/>
          <w:kern w:val="2"/>
          <w:sz w:val="15"/>
          <w:szCs w:val="15"/>
        </w:rPr>
      </w:pPr>
      <w:r>
        <w:rPr>
          <w:rFonts w:hint="eastAsia"/>
          <w:b/>
          <w:spacing w:val="10"/>
          <w:kern w:val="2"/>
          <w:sz w:val="15"/>
          <w:szCs w:val="15"/>
        </w:rPr>
        <w:t>第一条 理财产品购买流程说明</w:t>
      </w:r>
    </w:p>
    <w:p w14:paraId="7A5378AE">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14:paraId="226F4596">
      <w:pPr>
        <w:pStyle w:val="14"/>
        <w:spacing w:before="0" w:after="0" w:line="240" w:lineRule="auto"/>
        <w:ind w:firstLine="338" w:firstLineChars="199"/>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14:paraId="28AC9D1F">
      <w:pPr>
        <w:pStyle w:val="14"/>
        <w:spacing w:before="0" w:after="0" w:line="240" w:lineRule="auto"/>
        <w:ind w:firstLine="338" w:firstLineChars="199"/>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14:paraId="1BCFE518">
      <w:pPr>
        <w:pStyle w:val="14"/>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14:paraId="2592C527">
      <w:pPr>
        <w:pStyle w:val="14"/>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14:paraId="49A25A34">
      <w:pPr>
        <w:pStyle w:val="14"/>
        <w:spacing w:before="0" w:after="0" w:line="240" w:lineRule="auto"/>
        <w:ind w:firstLine="340" w:firstLineChars="20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14:paraId="5D73609E">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●机构投资者适用</w:t>
      </w:r>
    </w:p>
    <w:p w14:paraId="0BBDB705">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投资者按照代销机构的要求进行理财签约。</w:t>
      </w:r>
    </w:p>
    <w:p w14:paraId="530C409F">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●个人投资者适用</w:t>
      </w:r>
    </w:p>
    <w:p w14:paraId="16E7E3CE">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14:paraId="4D0FC8CF">
      <w:pPr>
        <w:pStyle w:val="14"/>
        <w:spacing w:before="0" w:after="0" w:line="240" w:lineRule="auto"/>
        <w:ind w:firstLine="340" w:firstLineChars="20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14:paraId="69AAA7AB">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开放期销售时段内，投资者可选择在代销机构营业网点或电子渠道购买。</w:t>
      </w:r>
    </w:p>
    <w:p w14:paraId="73C70392">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（1）营业网点</w:t>
      </w:r>
    </w:p>
    <w:p w14:paraId="7CEF2502">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●机构投资者适用</w:t>
      </w:r>
    </w:p>
    <w:p w14:paraId="74F854D5">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申购交易；完成认/申购交易不等同于认/申购成功，认/申购结果以南银理财系统的确认结果为准。</w:t>
      </w:r>
    </w:p>
    <w:p w14:paraId="3BB01214">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●个人投资者适用</w:t>
      </w:r>
    </w:p>
    <w:p w14:paraId="7D4A44B6">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如个人投资者选择在代销机构营业网点购买理财产品，流程如下：</w:t>
      </w:r>
    </w:p>
    <w:p w14:paraId="7B332A30">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14:paraId="5FEDDB91">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开放期销售时段内，按照对应期次的《理财产品说明书》约定的币种和金额存入授权指定账户。</w:t>
      </w:r>
    </w:p>
    <w:p w14:paraId="6E3D1A22">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14:paraId="2335CB09">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（2）电子渠道</w:t>
      </w:r>
    </w:p>
    <w:p w14:paraId="6AE5AA8C">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14:paraId="4A9B823D">
      <w:pPr>
        <w:pStyle w:val="14"/>
        <w:spacing w:before="0" w:after="0" w:line="240" w:lineRule="auto"/>
        <w:ind w:firstLine="340" w:firstLineChars="20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14:paraId="4080387A">
      <w:pPr>
        <w:pStyle w:val="14"/>
        <w:spacing w:before="0" w:after="0" w:line="240" w:lineRule="auto"/>
        <w:ind w:firstLine="340" w:firstLineChars="20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14:paraId="4262044C">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提前终止—当理财产品发生全部提前终止时，南银理财和代销机构应当按照对应期次理财产品销售文件约定的方式向投资者告知相应理财产品的提前终止事宜。</w:t>
      </w:r>
    </w:p>
    <w:p w14:paraId="0A2B992A">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14:paraId="72F127CD">
      <w:pPr>
        <w:widowControl/>
        <w:ind w:left="399" w:leftChars="190"/>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14:paraId="517EC420">
      <w:pPr>
        <w:pStyle w:val="14"/>
        <w:spacing w:before="0" w:after="0" w:line="240" w:lineRule="auto"/>
        <w:ind w:firstLine="341" w:firstLineChars="200"/>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14:paraId="6314D4EA">
      <w:pPr>
        <w:pStyle w:val="14"/>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14:paraId="43EB1867">
      <w:pPr>
        <w:pStyle w:val="14"/>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.个人投资者首次通过销售机构购买理财产品时应根据销售机构的要求进行风险承受能力评估。</w:t>
      </w:r>
    </w:p>
    <w:p w14:paraId="6502A6C4">
      <w:pPr>
        <w:pStyle w:val="14"/>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14:paraId="5E300E3E">
      <w:pPr>
        <w:pStyle w:val="14"/>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.个人投资者风险承受能力评估流程</w:t>
      </w:r>
    </w:p>
    <w:p w14:paraId="5C70E848">
      <w:pPr>
        <w:pStyle w:val="14"/>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14:paraId="041E1DC2">
      <w:pPr>
        <w:pStyle w:val="14"/>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14:paraId="1DDB86E3">
      <w:pPr>
        <w:pStyle w:val="14"/>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14:paraId="740BB903">
      <w:pPr>
        <w:pStyle w:val="14"/>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14:paraId="391E25C3">
      <w:pPr>
        <w:pStyle w:val="14"/>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14:paraId="6EF868C0">
      <w:pPr>
        <w:pStyle w:val="14"/>
        <w:spacing w:before="0" w:after="0" w:line="240" w:lineRule="auto"/>
        <w:ind w:firstLine="340" w:firstLineChars="200"/>
        <w:rPr>
          <w:bCs/>
          <w:spacing w:val="10"/>
          <w:kern w:val="2"/>
          <w:sz w:val="15"/>
          <w:szCs w:val="15"/>
        </w:rPr>
      </w:pPr>
      <w:r>
        <w:rPr>
          <w:rFonts w:hint="eastAsia"/>
          <w:spacing w:val="10"/>
          <w:kern w:val="2"/>
          <w:sz w:val="15"/>
          <w:szCs w:val="15"/>
        </w:rPr>
        <w:t>评级具体含义说</w:t>
      </w:r>
      <w:r>
        <w:rPr>
          <w:rFonts w:hint="eastAsia"/>
          <w:bCs/>
          <w:spacing w:val="10"/>
          <w:kern w:val="2"/>
          <w:sz w:val="15"/>
          <w:szCs w:val="15"/>
        </w:rPr>
        <w:t>明。投资者风险承受能力评估结果的含义如下：</w:t>
      </w:r>
    </w:p>
    <w:p w14:paraId="70D0396B">
      <w:pPr>
        <w:pStyle w:val="14"/>
        <w:spacing w:before="0" w:after="0" w:line="240" w:lineRule="auto"/>
        <w:ind w:firstLine="340" w:firstLineChars="200"/>
        <w:rPr>
          <w:bCs/>
          <w:spacing w:val="10"/>
          <w:kern w:val="2"/>
          <w:sz w:val="15"/>
          <w:szCs w:val="15"/>
        </w:rPr>
      </w:pPr>
      <w:r>
        <w:rPr>
          <w:rFonts w:hint="eastAsia"/>
          <w:bCs/>
          <w:spacing w:val="10"/>
          <w:kern w:val="2"/>
          <w:sz w:val="15"/>
          <w:szCs w:val="15"/>
        </w:rPr>
        <w:t>（一）低（一级）：风险承受能力弱，</w:t>
      </w:r>
      <w:r>
        <w:rPr>
          <w:bCs/>
          <w:spacing w:val="10"/>
          <w:kern w:val="2"/>
          <w:sz w:val="15"/>
          <w:szCs w:val="15"/>
        </w:rPr>
        <w:t>以本金不受损失或保持资产流动性为主要目标，</w:t>
      </w:r>
      <w:r>
        <w:rPr>
          <w:rFonts w:hint="eastAsia"/>
          <w:bCs/>
          <w:spacing w:val="10"/>
          <w:kern w:val="2"/>
          <w:sz w:val="15"/>
          <w:szCs w:val="15"/>
        </w:rPr>
        <w:t>对投资收益要求不高</w:t>
      </w:r>
      <w:r>
        <w:rPr>
          <w:bCs/>
          <w:spacing w:val="10"/>
          <w:kern w:val="2"/>
          <w:sz w:val="15"/>
          <w:szCs w:val="15"/>
        </w:rPr>
        <w:t>，可承受极低的本金损失</w:t>
      </w:r>
      <w:r>
        <w:rPr>
          <w:rFonts w:hint="eastAsia"/>
          <w:bCs/>
          <w:spacing w:val="10"/>
          <w:kern w:val="2"/>
          <w:sz w:val="15"/>
          <w:szCs w:val="15"/>
        </w:rPr>
        <w:t>；</w:t>
      </w:r>
    </w:p>
    <w:p w14:paraId="4D692B6A">
      <w:pPr>
        <w:pStyle w:val="14"/>
        <w:spacing w:before="0" w:after="0" w:line="240" w:lineRule="auto"/>
        <w:ind w:firstLine="340" w:firstLineChars="200"/>
        <w:rPr>
          <w:bCs/>
          <w:spacing w:val="10"/>
          <w:kern w:val="2"/>
          <w:sz w:val="15"/>
          <w:szCs w:val="15"/>
        </w:rPr>
      </w:pPr>
      <w:r>
        <w:rPr>
          <w:bCs/>
          <w:spacing w:val="10"/>
          <w:kern w:val="2"/>
          <w:sz w:val="15"/>
          <w:szCs w:val="15"/>
        </w:rPr>
        <w:t>（二）</w:t>
      </w:r>
      <w:r>
        <w:rPr>
          <w:rFonts w:hint="eastAsia"/>
          <w:bCs/>
          <w:spacing w:val="10"/>
          <w:kern w:val="2"/>
          <w:sz w:val="15"/>
          <w:szCs w:val="15"/>
        </w:rPr>
        <w:t>中低（二级）：风险承受能力较弱，</w:t>
      </w:r>
      <w:r>
        <w:rPr>
          <w:bCs/>
          <w:spacing w:val="10"/>
          <w:kern w:val="2"/>
          <w:sz w:val="15"/>
          <w:szCs w:val="15"/>
        </w:rPr>
        <w:t>以获取相对稳定的收益为主要目标，愿意承受较低的本金损失</w:t>
      </w:r>
      <w:r>
        <w:rPr>
          <w:rFonts w:hint="eastAsia"/>
          <w:bCs/>
          <w:spacing w:val="10"/>
          <w:kern w:val="2"/>
          <w:sz w:val="15"/>
          <w:szCs w:val="15"/>
        </w:rPr>
        <w:t>；</w:t>
      </w:r>
    </w:p>
    <w:p w14:paraId="03C55512">
      <w:pPr>
        <w:pStyle w:val="14"/>
        <w:spacing w:before="0" w:after="0" w:line="240" w:lineRule="auto"/>
        <w:ind w:firstLine="340" w:firstLineChars="200"/>
        <w:rPr>
          <w:bCs/>
          <w:spacing w:val="10"/>
          <w:kern w:val="2"/>
          <w:sz w:val="15"/>
          <w:szCs w:val="15"/>
        </w:rPr>
      </w:pPr>
      <w:r>
        <w:rPr>
          <w:bCs/>
          <w:spacing w:val="10"/>
          <w:kern w:val="2"/>
          <w:sz w:val="15"/>
          <w:szCs w:val="15"/>
        </w:rPr>
        <w:t>（三）</w:t>
      </w:r>
      <w:r>
        <w:rPr>
          <w:rFonts w:hint="eastAsia"/>
          <w:bCs/>
          <w:spacing w:val="10"/>
          <w:kern w:val="2"/>
          <w:sz w:val="15"/>
          <w:szCs w:val="15"/>
        </w:rPr>
        <w:t>中（三级）：风险承受能力中等，</w:t>
      </w:r>
      <w:r>
        <w:rPr>
          <w:bCs/>
          <w:spacing w:val="10"/>
          <w:kern w:val="2"/>
          <w:sz w:val="15"/>
          <w:szCs w:val="15"/>
        </w:rPr>
        <w:t>以获取稳定收益为主要目标，愿意承受相应的本金损失</w:t>
      </w:r>
      <w:r>
        <w:rPr>
          <w:rFonts w:hint="eastAsia"/>
          <w:bCs/>
          <w:spacing w:val="10"/>
          <w:kern w:val="2"/>
          <w:sz w:val="15"/>
          <w:szCs w:val="15"/>
        </w:rPr>
        <w:t>；</w:t>
      </w:r>
    </w:p>
    <w:p w14:paraId="25B963D1">
      <w:pPr>
        <w:pStyle w:val="14"/>
        <w:spacing w:before="0" w:after="0" w:line="240" w:lineRule="auto"/>
        <w:ind w:firstLine="340" w:firstLineChars="200"/>
        <w:rPr>
          <w:bCs/>
          <w:spacing w:val="10"/>
          <w:kern w:val="2"/>
          <w:sz w:val="15"/>
          <w:szCs w:val="15"/>
        </w:rPr>
      </w:pPr>
      <w:r>
        <w:rPr>
          <w:bCs/>
          <w:spacing w:val="10"/>
          <w:kern w:val="2"/>
          <w:sz w:val="15"/>
          <w:szCs w:val="15"/>
        </w:rPr>
        <w:t>（</w:t>
      </w:r>
      <w:r>
        <w:rPr>
          <w:rFonts w:hint="eastAsia"/>
          <w:bCs/>
          <w:spacing w:val="10"/>
          <w:kern w:val="2"/>
          <w:sz w:val="15"/>
          <w:szCs w:val="15"/>
        </w:rPr>
        <w:t>四</w:t>
      </w:r>
      <w:r>
        <w:rPr>
          <w:bCs/>
          <w:spacing w:val="10"/>
          <w:kern w:val="2"/>
          <w:sz w:val="15"/>
          <w:szCs w:val="15"/>
        </w:rPr>
        <w:t>）</w:t>
      </w:r>
      <w:r>
        <w:rPr>
          <w:rFonts w:hint="eastAsia"/>
          <w:bCs/>
          <w:spacing w:val="10"/>
          <w:kern w:val="2"/>
          <w:sz w:val="15"/>
          <w:szCs w:val="15"/>
        </w:rPr>
        <w:t>中高（四级）：风险承受能力较强，</w:t>
      </w:r>
      <w:r>
        <w:rPr>
          <w:bCs/>
          <w:spacing w:val="10"/>
          <w:kern w:val="2"/>
          <w:sz w:val="15"/>
          <w:szCs w:val="15"/>
        </w:rPr>
        <w:t>以获取较高投资回报为主要目标，愿意承担一定的本金损失</w:t>
      </w:r>
      <w:r>
        <w:rPr>
          <w:rFonts w:hint="eastAsia"/>
          <w:bCs/>
          <w:spacing w:val="10"/>
          <w:kern w:val="2"/>
          <w:sz w:val="15"/>
          <w:szCs w:val="15"/>
        </w:rPr>
        <w:t>；</w:t>
      </w:r>
    </w:p>
    <w:p w14:paraId="22705DE9">
      <w:pPr>
        <w:pStyle w:val="14"/>
        <w:spacing w:before="0" w:after="0" w:line="240" w:lineRule="auto"/>
        <w:ind w:firstLine="340" w:firstLineChars="200"/>
        <w:jc w:val="both"/>
        <w:rPr>
          <w:bCs/>
          <w:spacing w:val="10"/>
          <w:kern w:val="2"/>
          <w:sz w:val="15"/>
          <w:szCs w:val="15"/>
        </w:rPr>
      </w:pPr>
      <w:r>
        <w:rPr>
          <w:bCs/>
          <w:spacing w:val="10"/>
          <w:kern w:val="2"/>
          <w:sz w:val="15"/>
          <w:szCs w:val="15"/>
        </w:rPr>
        <w:t>（</w:t>
      </w:r>
      <w:r>
        <w:rPr>
          <w:rFonts w:hint="eastAsia"/>
          <w:bCs/>
          <w:spacing w:val="10"/>
          <w:kern w:val="2"/>
          <w:sz w:val="15"/>
          <w:szCs w:val="15"/>
        </w:rPr>
        <w:t>五</w:t>
      </w:r>
      <w:r>
        <w:rPr>
          <w:bCs/>
          <w:spacing w:val="10"/>
          <w:kern w:val="2"/>
          <w:sz w:val="15"/>
          <w:szCs w:val="15"/>
        </w:rPr>
        <w:t>）</w:t>
      </w:r>
      <w:r>
        <w:rPr>
          <w:rFonts w:hint="eastAsia"/>
          <w:bCs/>
          <w:spacing w:val="10"/>
          <w:kern w:val="2"/>
          <w:sz w:val="15"/>
          <w:szCs w:val="15"/>
        </w:rPr>
        <w:t>高（五级）：风险承受能力强，</w:t>
      </w:r>
      <w:r>
        <w:rPr>
          <w:bCs/>
          <w:spacing w:val="10"/>
          <w:kern w:val="2"/>
          <w:sz w:val="15"/>
          <w:szCs w:val="15"/>
        </w:rPr>
        <w:t>以获取高投资回报为主要目标，愿意承担较大的本金损失</w:t>
      </w:r>
      <w:r>
        <w:rPr>
          <w:rFonts w:hint="eastAsia"/>
          <w:bCs/>
          <w:spacing w:val="10"/>
          <w:kern w:val="2"/>
          <w:sz w:val="15"/>
          <w:szCs w:val="15"/>
        </w:rPr>
        <w:t>。</w:t>
      </w:r>
    </w:p>
    <w:p w14:paraId="56372292">
      <w:pPr>
        <w:pStyle w:val="14"/>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14:paraId="25D6D406">
      <w:pPr>
        <w:pStyle w:val="14"/>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机构投资者请根据自身的财务状况、投资经验、投资目标、风险认知、风险判断及其他因素综合考量理财产品的投资风险及自身的风险承受能力。</w:t>
      </w:r>
    </w:p>
    <w:p w14:paraId="16EE33B9">
      <w:pPr>
        <w:pStyle w:val="14"/>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14:paraId="4C1E690F">
      <w:pPr>
        <w:pStyle w:val="14"/>
        <w:spacing w:before="0" w:after="0" w:line="240" w:lineRule="auto"/>
        <w:ind w:firstLine="338" w:firstLineChars="199"/>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由于理财产品的运行方式和投资范围等不同，其承担的风险程度各有不同，南银理财将其风险等级分为五级，分别为：PR1级（低风险）、PR2级（中低风险）、PR3级（中等风险）、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14:paraId="48FD1404">
      <w:pPr>
        <w:pStyle w:val="14"/>
        <w:spacing w:before="0" w:after="0" w:line="240" w:lineRule="auto"/>
        <w:ind w:firstLine="338" w:firstLineChars="199"/>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14:paraId="74CEB1DB">
      <w:pPr>
        <w:pStyle w:val="14"/>
        <w:spacing w:before="0" w:after="0" w:line="240" w:lineRule="auto"/>
        <w:ind w:firstLine="338" w:firstLineChars="199"/>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14:paraId="750FD085">
      <w:pPr>
        <w:pStyle w:val="14"/>
        <w:spacing w:before="0" w:after="0" w:line="240" w:lineRule="auto"/>
        <w:ind w:firstLine="338" w:firstLineChars="199"/>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14:paraId="6935A211">
      <w:pPr>
        <w:pStyle w:val="14"/>
        <w:spacing w:before="0" w:after="0" w:line="240" w:lineRule="auto"/>
        <w:ind w:firstLine="338" w:firstLineChars="199"/>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14:paraId="240C21A5">
      <w:pPr>
        <w:pStyle w:val="14"/>
        <w:spacing w:before="0" w:after="0" w:line="240" w:lineRule="auto"/>
        <w:ind w:firstLine="336" w:firstLineChars="198"/>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14:paraId="2EC010A0">
      <w:pPr>
        <w:pStyle w:val="14"/>
        <w:spacing w:before="0" w:after="0" w:line="240" w:lineRule="auto"/>
        <w:ind w:firstLine="338" w:firstLineChars="199"/>
        <w:jc w:val="both"/>
        <w:rPr>
          <w:spacing w:val="10"/>
          <w:kern w:val="2"/>
          <w:sz w:val="15"/>
          <w:szCs w:val="15"/>
        </w:rPr>
      </w:pPr>
      <w:r>
        <w:rPr>
          <w:rFonts w:hint="eastAsia"/>
          <w:spacing w:val="10"/>
          <w:kern w:val="2"/>
          <w:sz w:val="15"/>
          <w:szCs w:val="15"/>
        </w:rPr>
        <w:t>本风险等级为南银理财风险评级结果，该产品通过代理销售机构渠道销售的，理财产品评级应当以代理销售机构最终披露的评级结果为准。您需充分认识投资风险，谨慎投资。</w:t>
      </w:r>
    </w:p>
    <w:p w14:paraId="43653C33">
      <w:pPr>
        <w:pStyle w:val="14"/>
        <w:spacing w:before="0" w:after="0" w:line="240" w:lineRule="auto"/>
        <w:ind w:firstLine="341" w:firstLineChars="200"/>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14:paraId="6BBBCF66">
      <w:pPr>
        <w:pStyle w:val="14"/>
        <w:numPr>
          <w:ilvl w:val="0"/>
          <w:numId w:val="5"/>
        </w:numPr>
        <w:spacing w:before="0" w:after="0" w:line="240" w:lineRule="auto"/>
        <w:ind w:firstLine="338" w:firstLineChars="198"/>
        <w:jc w:val="both"/>
        <w:rPr>
          <w:b/>
          <w:bCs/>
          <w:spacing w:val="10"/>
          <w:kern w:val="2"/>
          <w:sz w:val="15"/>
          <w:szCs w:val="15"/>
        </w:rPr>
      </w:pPr>
      <w:r>
        <w:rPr>
          <w:rFonts w:hint="eastAsia"/>
          <w:b/>
          <w:bCs/>
          <w:spacing w:val="10"/>
          <w:kern w:val="2"/>
          <w:sz w:val="15"/>
          <w:szCs w:val="15"/>
        </w:rPr>
        <w:t>个人投资者风险承受能力等级与适合购买的理财产品说明</w:t>
      </w:r>
    </w:p>
    <w:p w14:paraId="31A6DD42">
      <w:pPr>
        <w:pStyle w:val="14"/>
        <w:spacing w:before="0" w:after="0" w:line="240" w:lineRule="auto"/>
        <w:ind w:firstLine="338" w:firstLineChars="198"/>
        <w:jc w:val="both"/>
        <w:rPr>
          <w:b/>
          <w:bCs/>
          <w:spacing w:val="10"/>
          <w:kern w:val="2"/>
          <w:sz w:val="15"/>
          <w:szCs w:val="15"/>
        </w:rPr>
      </w:pPr>
    </w:p>
    <w:p w14:paraId="4C73BF91">
      <w:pPr>
        <w:pStyle w:val="14"/>
        <w:spacing w:before="0" w:after="0" w:line="240" w:lineRule="auto"/>
        <w:ind w:firstLine="338" w:firstLineChars="198"/>
        <w:jc w:val="both"/>
        <w:rPr>
          <w:b/>
          <w:bCs/>
          <w:spacing w:val="10"/>
          <w:kern w:val="2"/>
          <w:sz w:val="15"/>
          <w:szCs w:val="15"/>
        </w:rPr>
      </w:pPr>
    </w:p>
    <w:p w14:paraId="39D7D991">
      <w:pPr>
        <w:pStyle w:val="14"/>
        <w:spacing w:before="0" w:after="0" w:line="240" w:lineRule="auto"/>
        <w:ind w:firstLine="338" w:firstLineChars="198"/>
        <w:jc w:val="both"/>
        <w:rPr>
          <w:b/>
          <w:bCs/>
          <w:spacing w:val="10"/>
          <w:kern w:val="2"/>
          <w:sz w:val="15"/>
          <w:szCs w:val="15"/>
        </w:rPr>
      </w:pPr>
    </w:p>
    <w:tbl>
      <w:tblPr>
        <w:tblStyle w:val="15"/>
        <w:tblW w:w="5796" w:type="dxa"/>
        <w:jc w:val="center"/>
        <w:tblLayout w:type="fixed"/>
        <w:tblCellMar>
          <w:top w:w="0" w:type="dxa"/>
          <w:left w:w="108" w:type="dxa"/>
          <w:bottom w:w="0" w:type="dxa"/>
          <w:right w:w="108" w:type="dxa"/>
        </w:tblCellMar>
      </w:tblPr>
      <w:tblGrid>
        <w:gridCol w:w="1866"/>
        <w:gridCol w:w="741"/>
        <w:gridCol w:w="816"/>
        <w:gridCol w:w="816"/>
        <w:gridCol w:w="816"/>
        <w:gridCol w:w="741"/>
      </w:tblGrid>
      <w:tr w14:paraId="38171091">
        <w:tblPrEx>
          <w:tblCellMar>
            <w:top w:w="0" w:type="dxa"/>
            <w:left w:w="108" w:type="dxa"/>
            <w:bottom w:w="0" w:type="dxa"/>
            <w:right w:w="108" w:type="dxa"/>
          </w:tblCellMar>
        </w:tblPrEx>
        <w:trPr>
          <w:trHeight w:val="178" w:hRule="atLeast"/>
          <w:jc w:val="center"/>
        </w:trPr>
        <w:tc>
          <w:tcPr>
            <w:tcW w:w="1866" w:type="dxa"/>
            <w:vMerge w:val="restart"/>
            <w:tcBorders>
              <w:top w:val="single" w:color="auto" w:sz="4" w:space="0"/>
              <w:left w:val="single" w:color="auto" w:sz="4" w:space="0"/>
              <w:right w:val="single" w:color="auto" w:sz="4" w:space="0"/>
            </w:tcBorders>
            <w:vAlign w:val="center"/>
          </w:tcPr>
          <w:p w14:paraId="1DB8F5A0">
            <w:pPr>
              <w:widowControl/>
              <w:snapToGrid w:val="0"/>
              <w:jc w:val="center"/>
              <w:rPr>
                <w:rFonts w:ascii="宋体" w:hAnsi="宋体" w:cs="宋体"/>
                <w:kern w:val="0"/>
                <w:sz w:val="15"/>
                <w:szCs w:val="15"/>
              </w:rPr>
            </w:pPr>
            <w:r>
              <w:rPr>
                <w:rFonts w:hint="eastAsia" w:ascii="宋体" w:hAnsi="宋体" w:cs="宋体"/>
                <w:kern w:val="0"/>
                <w:sz w:val="15"/>
                <w:szCs w:val="15"/>
              </w:rPr>
              <w:t>个人投资者风险承受能力</w:t>
            </w:r>
          </w:p>
          <w:p w14:paraId="667A8C60">
            <w:pPr>
              <w:widowControl/>
              <w:snapToGrid w:val="0"/>
              <w:jc w:val="center"/>
              <w:rPr>
                <w:rFonts w:ascii="宋体" w:hAnsi="宋体" w:cs="宋体"/>
                <w:kern w:val="0"/>
                <w:sz w:val="15"/>
                <w:szCs w:val="15"/>
              </w:rPr>
            </w:pPr>
            <w:r>
              <w:rPr>
                <w:rFonts w:hint="eastAsia" w:ascii="宋体" w:hAnsi="宋体" w:cs="宋体"/>
                <w:kern w:val="0"/>
                <w:sz w:val="15"/>
                <w:szCs w:val="15"/>
              </w:rPr>
              <w:t>等级</w:t>
            </w:r>
          </w:p>
        </w:tc>
        <w:tc>
          <w:tcPr>
            <w:tcW w:w="3930" w:type="dxa"/>
            <w:gridSpan w:val="5"/>
            <w:tcBorders>
              <w:top w:val="single" w:color="auto" w:sz="4" w:space="0"/>
              <w:left w:val="nil"/>
              <w:bottom w:val="single" w:color="auto" w:sz="4" w:space="0"/>
              <w:right w:val="single" w:color="auto" w:sz="4" w:space="0"/>
            </w:tcBorders>
            <w:vAlign w:val="center"/>
          </w:tcPr>
          <w:p w14:paraId="786A3B63">
            <w:pPr>
              <w:widowControl/>
              <w:snapToGrid w:val="0"/>
              <w:jc w:val="center"/>
              <w:rPr>
                <w:rFonts w:ascii="宋体" w:hAnsi="宋体" w:cs="宋体"/>
                <w:kern w:val="0"/>
                <w:sz w:val="15"/>
                <w:szCs w:val="15"/>
              </w:rPr>
            </w:pPr>
            <w:r>
              <w:rPr>
                <w:rFonts w:hint="eastAsia" w:ascii="宋体" w:hAnsi="宋体" w:cs="宋体"/>
                <w:kern w:val="0"/>
                <w:sz w:val="15"/>
                <w:szCs w:val="15"/>
              </w:rPr>
              <w:t>南银理财理财产品风险等级</w:t>
            </w:r>
          </w:p>
        </w:tc>
      </w:tr>
      <w:tr w14:paraId="3C087B32">
        <w:tblPrEx>
          <w:tblCellMar>
            <w:top w:w="0" w:type="dxa"/>
            <w:left w:w="108" w:type="dxa"/>
            <w:bottom w:w="0" w:type="dxa"/>
            <w:right w:w="108" w:type="dxa"/>
          </w:tblCellMar>
        </w:tblPrEx>
        <w:trPr>
          <w:trHeight w:val="735" w:hRule="atLeast"/>
          <w:jc w:val="center"/>
        </w:trPr>
        <w:tc>
          <w:tcPr>
            <w:tcW w:w="1866" w:type="dxa"/>
            <w:vMerge w:val="continue"/>
            <w:tcBorders>
              <w:left w:val="single" w:color="auto" w:sz="4" w:space="0"/>
              <w:bottom w:val="single" w:color="auto" w:sz="4" w:space="0"/>
              <w:right w:val="single" w:color="auto" w:sz="4" w:space="0"/>
            </w:tcBorders>
            <w:vAlign w:val="center"/>
          </w:tcPr>
          <w:p w14:paraId="6060B9A1">
            <w:pPr>
              <w:widowControl/>
              <w:snapToGrid w:val="0"/>
              <w:jc w:val="center"/>
              <w:rPr>
                <w:rFonts w:ascii="宋体" w:hAnsi="宋体" w:cs="宋体"/>
                <w:kern w:val="0"/>
                <w:sz w:val="15"/>
                <w:szCs w:val="15"/>
              </w:rPr>
            </w:pPr>
          </w:p>
        </w:tc>
        <w:tc>
          <w:tcPr>
            <w:tcW w:w="741" w:type="dxa"/>
            <w:tcBorders>
              <w:top w:val="single" w:color="auto" w:sz="4" w:space="0"/>
              <w:left w:val="nil"/>
              <w:bottom w:val="single" w:color="auto" w:sz="4" w:space="0"/>
              <w:right w:val="single" w:color="auto" w:sz="4" w:space="0"/>
            </w:tcBorders>
            <w:vAlign w:val="center"/>
          </w:tcPr>
          <w:p w14:paraId="64503429">
            <w:pPr>
              <w:widowControl/>
              <w:snapToGrid w:val="0"/>
              <w:jc w:val="center"/>
              <w:rPr>
                <w:rFonts w:ascii="宋体" w:hAnsi="宋体" w:cs="宋体"/>
                <w:kern w:val="0"/>
                <w:sz w:val="15"/>
                <w:szCs w:val="15"/>
              </w:rPr>
            </w:pPr>
            <w:r>
              <w:rPr>
                <w:rFonts w:hint="eastAsia" w:ascii="宋体" w:hAnsi="宋体" w:cs="宋体"/>
                <w:kern w:val="0"/>
                <w:sz w:val="15"/>
                <w:szCs w:val="15"/>
              </w:rPr>
              <w:t>低风险</w:t>
            </w:r>
          </w:p>
          <w:p w14:paraId="34893082">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PR1</w:t>
            </w:r>
            <w:r>
              <w:rPr>
                <w:rFonts w:hint="eastAsia" w:ascii="宋体" w:hAnsi="宋体" w:cs="宋体"/>
                <w:kern w:val="0"/>
                <w:sz w:val="15"/>
                <w:szCs w:val="15"/>
              </w:rPr>
              <w:t>）</w:t>
            </w:r>
          </w:p>
        </w:tc>
        <w:tc>
          <w:tcPr>
            <w:tcW w:w="816" w:type="dxa"/>
            <w:tcBorders>
              <w:top w:val="single" w:color="auto" w:sz="4" w:space="0"/>
              <w:left w:val="nil"/>
              <w:bottom w:val="single" w:color="auto" w:sz="4" w:space="0"/>
              <w:right w:val="single" w:color="auto" w:sz="4" w:space="0"/>
            </w:tcBorders>
            <w:vAlign w:val="center"/>
          </w:tcPr>
          <w:p w14:paraId="5C91A2FC">
            <w:pPr>
              <w:widowControl/>
              <w:snapToGrid w:val="0"/>
              <w:jc w:val="center"/>
              <w:rPr>
                <w:rFonts w:ascii="宋体" w:hAnsi="宋体" w:cs="宋体"/>
                <w:kern w:val="0"/>
                <w:sz w:val="15"/>
                <w:szCs w:val="15"/>
              </w:rPr>
            </w:pPr>
            <w:r>
              <w:rPr>
                <w:rFonts w:hint="eastAsia" w:ascii="宋体" w:hAnsi="宋体" w:cs="宋体"/>
                <w:kern w:val="0"/>
                <w:sz w:val="15"/>
                <w:szCs w:val="15"/>
              </w:rPr>
              <w:t>中低风险</w:t>
            </w:r>
          </w:p>
          <w:p w14:paraId="212FB2CC">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PR2</w:t>
            </w:r>
            <w:r>
              <w:rPr>
                <w:rFonts w:hint="eastAsia" w:ascii="宋体" w:hAnsi="宋体" w:cs="宋体"/>
                <w:kern w:val="0"/>
                <w:sz w:val="15"/>
                <w:szCs w:val="15"/>
              </w:rPr>
              <w:t>）</w:t>
            </w:r>
          </w:p>
        </w:tc>
        <w:tc>
          <w:tcPr>
            <w:tcW w:w="816" w:type="dxa"/>
            <w:tcBorders>
              <w:top w:val="single" w:color="auto" w:sz="4" w:space="0"/>
              <w:left w:val="nil"/>
              <w:bottom w:val="single" w:color="auto" w:sz="4" w:space="0"/>
              <w:right w:val="single" w:color="auto" w:sz="4" w:space="0"/>
            </w:tcBorders>
            <w:vAlign w:val="center"/>
          </w:tcPr>
          <w:p w14:paraId="3C30C9F2">
            <w:pPr>
              <w:widowControl/>
              <w:snapToGrid w:val="0"/>
              <w:jc w:val="center"/>
              <w:rPr>
                <w:rFonts w:ascii="宋体" w:hAnsi="宋体" w:cs="宋体"/>
                <w:kern w:val="0"/>
                <w:sz w:val="15"/>
                <w:szCs w:val="15"/>
              </w:rPr>
            </w:pPr>
            <w:r>
              <w:rPr>
                <w:rFonts w:hint="eastAsia" w:ascii="宋体" w:hAnsi="宋体" w:cs="宋体"/>
                <w:kern w:val="0"/>
                <w:sz w:val="15"/>
                <w:szCs w:val="15"/>
              </w:rPr>
              <w:t>中等风险</w:t>
            </w:r>
          </w:p>
          <w:p w14:paraId="230FE8E6">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PR3</w:t>
            </w:r>
            <w:r>
              <w:rPr>
                <w:rFonts w:hint="eastAsia" w:ascii="宋体" w:hAnsi="宋体" w:cs="宋体"/>
                <w:kern w:val="0"/>
                <w:sz w:val="15"/>
                <w:szCs w:val="15"/>
              </w:rPr>
              <w:t>）</w:t>
            </w:r>
          </w:p>
        </w:tc>
        <w:tc>
          <w:tcPr>
            <w:tcW w:w="816" w:type="dxa"/>
            <w:tcBorders>
              <w:top w:val="single" w:color="auto" w:sz="4" w:space="0"/>
              <w:left w:val="nil"/>
              <w:bottom w:val="single" w:color="auto" w:sz="4" w:space="0"/>
              <w:right w:val="single" w:color="auto" w:sz="4" w:space="0"/>
            </w:tcBorders>
            <w:vAlign w:val="center"/>
          </w:tcPr>
          <w:p w14:paraId="6772DF0E">
            <w:pPr>
              <w:widowControl/>
              <w:snapToGrid w:val="0"/>
              <w:jc w:val="center"/>
              <w:rPr>
                <w:rFonts w:ascii="宋体" w:hAnsi="宋体" w:cs="宋体"/>
                <w:kern w:val="0"/>
                <w:sz w:val="15"/>
                <w:szCs w:val="15"/>
              </w:rPr>
            </w:pPr>
            <w:r>
              <w:rPr>
                <w:rFonts w:hint="eastAsia" w:ascii="宋体" w:hAnsi="宋体" w:cs="宋体"/>
                <w:kern w:val="0"/>
                <w:sz w:val="15"/>
                <w:szCs w:val="15"/>
              </w:rPr>
              <w:t>中高风险</w:t>
            </w:r>
          </w:p>
          <w:p w14:paraId="2D8DDB37">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PR4</w:t>
            </w:r>
            <w:r>
              <w:rPr>
                <w:rFonts w:hint="eastAsia" w:ascii="宋体" w:hAnsi="宋体" w:cs="宋体"/>
                <w:kern w:val="0"/>
                <w:sz w:val="15"/>
                <w:szCs w:val="15"/>
              </w:rPr>
              <w:t>）</w:t>
            </w:r>
          </w:p>
        </w:tc>
        <w:tc>
          <w:tcPr>
            <w:tcW w:w="741" w:type="dxa"/>
            <w:tcBorders>
              <w:top w:val="single" w:color="auto" w:sz="4" w:space="0"/>
              <w:left w:val="nil"/>
              <w:bottom w:val="single" w:color="auto" w:sz="4" w:space="0"/>
              <w:right w:val="single" w:color="auto" w:sz="4" w:space="0"/>
            </w:tcBorders>
            <w:vAlign w:val="center"/>
          </w:tcPr>
          <w:p w14:paraId="0033CFD2">
            <w:pPr>
              <w:widowControl/>
              <w:snapToGrid w:val="0"/>
              <w:jc w:val="center"/>
              <w:rPr>
                <w:rFonts w:ascii="宋体" w:hAnsi="宋体" w:cs="宋体"/>
                <w:kern w:val="0"/>
                <w:sz w:val="15"/>
                <w:szCs w:val="15"/>
              </w:rPr>
            </w:pPr>
            <w:r>
              <w:rPr>
                <w:rFonts w:hint="eastAsia" w:ascii="宋体" w:hAnsi="宋体" w:cs="宋体"/>
                <w:kern w:val="0"/>
                <w:sz w:val="15"/>
                <w:szCs w:val="15"/>
              </w:rPr>
              <w:t>高风险</w:t>
            </w:r>
          </w:p>
          <w:p w14:paraId="7340428B">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PR5</w:t>
            </w:r>
            <w:r>
              <w:rPr>
                <w:rFonts w:hint="eastAsia" w:ascii="宋体" w:hAnsi="宋体" w:cs="宋体"/>
                <w:kern w:val="0"/>
                <w:sz w:val="15"/>
                <w:szCs w:val="15"/>
              </w:rPr>
              <w:t>）</w:t>
            </w:r>
          </w:p>
        </w:tc>
      </w:tr>
      <w:tr w14:paraId="617536E1">
        <w:tblPrEx>
          <w:tblCellMar>
            <w:top w:w="0" w:type="dxa"/>
            <w:left w:w="108" w:type="dxa"/>
            <w:bottom w:w="0" w:type="dxa"/>
            <w:right w:w="108" w:type="dxa"/>
          </w:tblCellMar>
        </w:tblPrEx>
        <w:trPr>
          <w:trHeight w:val="270" w:hRule="atLeast"/>
          <w:jc w:val="center"/>
        </w:trPr>
        <w:tc>
          <w:tcPr>
            <w:tcW w:w="1866" w:type="dxa"/>
            <w:tcBorders>
              <w:top w:val="nil"/>
              <w:left w:val="single" w:color="auto" w:sz="4" w:space="0"/>
              <w:bottom w:val="single" w:color="auto" w:sz="4" w:space="0"/>
              <w:right w:val="single" w:color="auto" w:sz="4" w:space="0"/>
            </w:tcBorders>
            <w:vAlign w:val="center"/>
          </w:tcPr>
          <w:p w14:paraId="6B2CCB49">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color="auto" w:sz="4" w:space="0"/>
              <w:right w:val="single" w:color="auto" w:sz="4" w:space="0"/>
            </w:tcBorders>
          </w:tcPr>
          <w:p w14:paraId="011D46D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37CF65DF">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1705BB5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2DE37CE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color="auto" w:sz="4" w:space="0"/>
              <w:right w:val="single" w:color="auto" w:sz="4" w:space="0"/>
            </w:tcBorders>
            <w:vAlign w:val="center"/>
          </w:tcPr>
          <w:p w14:paraId="03C1DA4A">
            <w:pPr>
              <w:widowControl/>
              <w:snapToGrid w:val="0"/>
              <w:jc w:val="center"/>
              <w:rPr>
                <w:rFonts w:ascii="宋体" w:hAnsi="宋体" w:cs="宋体"/>
                <w:kern w:val="0"/>
                <w:sz w:val="15"/>
                <w:szCs w:val="15"/>
              </w:rPr>
            </w:pPr>
            <w:r>
              <w:rPr>
                <w:rFonts w:hint="eastAsia"/>
                <w:spacing w:val="10"/>
                <w:sz w:val="15"/>
                <w:szCs w:val="15"/>
              </w:rPr>
              <w:t>√</w:t>
            </w:r>
          </w:p>
        </w:tc>
      </w:tr>
      <w:tr w14:paraId="6FC42DFE">
        <w:tblPrEx>
          <w:tblCellMar>
            <w:top w:w="0" w:type="dxa"/>
            <w:left w:w="108" w:type="dxa"/>
            <w:bottom w:w="0" w:type="dxa"/>
            <w:right w:w="108" w:type="dxa"/>
          </w:tblCellMar>
        </w:tblPrEx>
        <w:trPr>
          <w:trHeight w:val="270" w:hRule="atLeast"/>
          <w:jc w:val="center"/>
        </w:trPr>
        <w:tc>
          <w:tcPr>
            <w:tcW w:w="1866" w:type="dxa"/>
            <w:tcBorders>
              <w:top w:val="nil"/>
              <w:left w:val="single" w:color="auto" w:sz="4" w:space="0"/>
              <w:bottom w:val="single" w:color="auto" w:sz="4" w:space="0"/>
              <w:right w:val="single" w:color="auto" w:sz="4" w:space="0"/>
            </w:tcBorders>
            <w:shd w:val="clear" w:color="auto" w:fill="auto"/>
            <w:vAlign w:val="center"/>
          </w:tcPr>
          <w:p w14:paraId="5BDAB80C">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color="auto" w:sz="4" w:space="0"/>
              <w:right w:val="single" w:color="auto" w:sz="4" w:space="0"/>
            </w:tcBorders>
            <w:shd w:val="clear" w:color="auto" w:fill="auto"/>
          </w:tcPr>
          <w:p w14:paraId="37D8DE22">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14:paraId="30AC8C2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14:paraId="2D8EA80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14:paraId="05143CA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color="auto" w:sz="4" w:space="0"/>
              <w:right w:val="single" w:color="auto" w:sz="4" w:space="0"/>
            </w:tcBorders>
            <w:shd w:val="clear" w:color="auto" w:fill="C0504D"/>
            <w:vAlign w:val="center"/>
          </w:tcPr>
          <w:p w14:paraId="211CF1BC">
            <w:pPr>
              <w:widowControl/>
              <w:snapToGrid w:val="0"/>
              <w:jc w:val="center"/>
              <w:rPr>
                <w:rFonts w:ascii="宋体" w:hAnsi="宋体" w:cs="宋体"/>
                <w:kern w:val="0"/>
                <w:sz w:val="15"/>
                <w:szCs w:val="15"/>
              </w:rPr>
            </w:pPr>
            <w:r>
              <w:rPr>
                <w:rFonts w:hint="eastAsia"/>
                <w:spacing w:val="10"/>
                <w:sz w:val="15"/>
                <w:szCs w:val="15"/>
              </w:rPr>
              <w:t>×</w:t>
            </w:r>
          </w:p>
        </w:tc>
      </w:tr>
      <w:tr w14:paraId="79E02775">
        <w:tblPrEx>
          <w:tblCellMar>
            <w:top w:w="0" w:type="dxa"/>
            <w:left w:w="108" w:type="dxa"/>
            <w:bottom w:w="0" w:type="dxa"/>
            <w:right w:w="108" w:type="dxa"/>
          </w:tblCellMar>
        </w:tblPrEx>
        <w:trPr>
          <w:trHeight w:val="270" w:hRule="atLeast"/>
          <w:jc w:val="center"/>
        </w:trPr>
        <w:tc>
          <w:tcPr>
            <w:tcW w:w="1866" w:type="dxa"/>
            <w:tcBorders>
              <w:top w:val="nil"/>
              <w:left w:val="single" w:color="auto" w:sz="4" w:space="0"/>
              <w:bottom w:val="single" w:color="auto" w:sz="4" w:space="0"/>
              <w:right w:val="single" w:color="auto" w:sz="4" w:space="0"/>
            </w:tcBorders>
            <w:shd w:val="clear" w:color="auto" w:fill="auto"/>
            <w:vAlign w:val="center"/>
          </w:tcPr>
          <w:p w14:paraId="0C8BCACA">
            <w:pPr>
              <w:widowControl/>
              <w:snapToGrid w:val="0"/>
              <w:jc w:val="center"/>
              <w:rPr>
                <w:rFonts w:ascii="宋体" w:hAnsi="宋体" w:cs="宋体"/>
                <w:kern w:val="0"/>
                <w:sz w:val="15"/>
                <w:szCs w:val="15"/>
              </w:rPr>
            </w:pPr>
            <w:r>
              <w:rPr>
                <w:rFonts w:hint="eastAsia"/>
                <w:bCs/>
                <w:spacing w:val="10"/>
                <w:sz w:val="15"/>
                <w:szCs w:val="15"/>
              </w:rPr>
              <w:t>中（三级）</w:t>
            </w:r>
          </w:p>
        </w:tc>
        <w:tc>
          <w:tcPr>
            <w:tcW w:w="741" w:type="dxa"/>
            <w:tcBorders>
              <w:top w:val="nil"/>
              <w:left w:val="nil"/>
              <w:bottom w:val="single" w:color="auto" w:sz="4" w:space="0"/>
              <w:right w:val="single" w:color="auto" w:sz="4" w:space="0"/>
            </w:tcBorders>
            <w:shd w:val="clear" w:color="auto" w:fill="auto"/>
          </w:tcPr>
          <w:p w14:paraId="33DB9A2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14:paraId="68C86A1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14:paraId="01C1B92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C0504D"/>
          </w:tcPr>
          <w:p w14:paraId="7332284C">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color="auto" w:sz="4" w:space="0"/>
              <w:right w:val="single" w:color="auto" w:sz="4" w:space="0"/>
            </w:tcBorders>
            <w:shd w:val="clear" w:color="auto" w:fill="C0504D"/>
          </w:tcPr>
          <w:p w14:paraId="1E109868">
            <w:pPr>
              <w:widowControl/>
              <w:snapToGrid w:val="0"/>
              <w:jc w:val="center"/>
              <w:rPr>
                <w:rFonts w:ascii="宋体" w:hAnsi="宋体" w:cs="宋体"/>
                <w:kern w:val="0"/>
                <w:sz w:val="15"/>
                <w:szCs w:val="15"/>
              </w:rPr>
            </w:pPr>
            <w:r>
              <w:rPr>
                <w:rFonts w:hint="eastAsia"/>
                <w:spacing w:val="10"/>
                <w:sz w:val="15"/>
                <w:szCs w:val="15"/>
              </w:rPr>
              <w:t>×</w:t>
            </w:r>
          </w:p>
        </w:tc>
      </w:tr>
      <w:tr w14:paraId="184008D1">
        <w:tblPrEx>
          <w:tblCellMar>
            <w:top w:w="0" w:type="dxa"/>
            <w:left w:w="108" w:type="dxa"/>
            <w:bottom w:w="0" w:type="dxa"/>
            <w:right w:w="108" w:type="dxa"/>
          </w:tblCellMar>
        </w:tblPrEx>
        <w:trPr>
          <w:trHeight w:val="270" w:hRule="atLeast"/>
          <w:jc w:val="center"/>
        </w:trPr>
        <w:tc>
          <w:tcPr>
            <w:tcW w:w="1866" w:type="dxa"/>
            <w:tcBorders>
              <w:top w:val="single" w:color="auto" w:sz="4" w:space="0"/>
              <w:left w:val="single" w:color="auto" w:sz="4" w:space="0"/>
              <w:bottom w:val="single" w:color="auto" w:sz="4" w:space="0"/>
              <w:right w:val="single" w:color="auto" w:sz="4" w:space="0"/>
            </w:tcBorders>
            <w:shd w:val="clear" w:color="auto" w:fill="auto"/>
            <w:vAlign w:val="center"/>
          </w:tcPr>
          <w:p w14:paraId="0CDEC222">
            <w:pPr>
              <w:widowControl/>
              <w:snapToGrid w:val="0"/>
              <w:jc w:val="center"/>
              <w:rPr>
                <w:rFonts w:ascii="宋体" w:hAnsi="宋体" w:cs="宋体"/>
                <w:kern w:val="0"/>
                <w:sz w:val="15"/>
                <w:szCs w:val="15"/>
              </w:rPr>
            </w:pPr>
            <w:r>
              <w:rPr>
                <w:rFonts w:hint="eastAsia" w:ascii="宋体" w:hAnsi="宋体" w:cs="宋体"/>
                <w:kern w:val="0"/>
                <w:sz w:val="15"/>
                <w:szCs w:val="15"/>
              </w:rPr>
              <w:t>中低（二级）</w:t>
            </w:r>
          </w:p>
        </w:tc>
        <w:tc>
          <w:tcPr>
            <w:tcW w:w="741" w:type="dxa"/>
            <w:tcBorders>
              <w:top w:val="single" w:color="auto" w:sz="4" w:space="0"/>
              <w:left w:val="single" w:color="auto" w:sz="4" w:space="0"/>
              <w:bottom w:val="single" w:color="auto" w:sz="4" w:space="0"/>
              <w:right w:val="single" w:color="auto" w:sz="4" w:space="0"/>
            </w:tcBorders>
            <w:shd w:val="clear" w:color="auto" w:fill="auto"/>
          </w:tcPr>
          <w:p w14:paraId="7A92B53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auto"/>
          </w:tcPr>
          <w:p w14:paraId="3A02443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3246D42D">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03D04872">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color="auto" w:sz="4" w:space="0"/>
              <w:left w:val="single" w:color="auto" w:sz="4" w:space="0"/>
              <w:bottom w:val="single" w:color="auto" w:sz="4" w:space="0"/>
              <w:right w:val="single" w:color="auto" w:sz="4" w:space="0"/>
            </w:tcBorders>
            <w:shd w:val="clear" w:color="auto" w:fill="C0504D"/>
          </w:tcPr>
          <w:p w14:paraId="1945E8B0">
            <w:pPr>
              <w:widowControl/>
              <w:snapToGrid w:val="0"/>
              <w:jc w:val="center"/>
              <w:rPr>
                <w:rFonts w:ascii="宋体" w:hAnsi="宋体" w:cs="宋体"/>
                <w:kern w:val="0"/>
                <w:sz w:val="15"/>
                <w:szCs w:val="15"/>
              </w:rPr>
            </w:pPr>
            <w:r>
              <w:rPr>
                <w:rFonts w:hint="eastAsia"/>
                <w:spacing w:val="10"/>
                <w:sz w:val="15"/>
                <w:szCs w:val="15"/>
              </w:rPr>
              <w:t>×</w:t>
            </w:r>
          </w:p>
        </w:tc>
      </w:tr>
      <w:tr w14:paraId="0560AEC9">
        <w:tblPrEx>
          <w:tblCellMar>
            <w:top w:w="0" w:type="dxa"/>
            <w:left w:w="108" w:type="dxa"/>
            <w:bottom w:w="0" w:type="dxa"/>
            <w:right w:w="108" w:type="dxa"/>
          </w:tblCellMar>
        </w:tblPrEx>
        <w:trPr>
          <w:trHeight w:val="270" w:hRule="atLeast"/>
          <w:jc w:val="center"/>
        </w:trPr>
        <w:tc>
          <w:tcPr>
            <w:tcW w:w="1866" w:type="dxa"/>
            <w:tcBorders>
              <w:top w:val="single" w:color="auto" w:sz="4" w:space="0"/>
              <w:left w:val="single" w:color="auto" w:sz="4" w:space="0"/>
              <w:bottom w:val="single" w:color="auto" w:sz="4" w:space="0"/>
              <w:right w:val="single" w:color="auto" w:sz="4" w:space="0"/>
            </w:tcBorders>
            <w:shd w:val="clear" w:color="auto" w:fill="auto"/>
            <w:vAlign w:val="center"/>
          </w:tcPr>
          <w:p w14:paraId="1D46E6A7">
            <w:pPr>
              <w:widowControl/>
              <w:snapToGrid w:val="0"/>
              <w:jc w:val="center"/>
              <w:rPr>
                <w:rFonts w:ascii="宋体" w:hAnsi="宋体" w:cs="宋体"/>
                <w:kern w:val="0"/>
                <w:sz w:val="15"/>
                <w:szCs w:val="15"/>
              </w:rPr>
            </w:pPr>
            <w:r>
              <w:rPr>
                <w:rFonts w:hint="eastAsia" w:ascii="宋体" w:hAnsi="宋体" w:cs="宋体"/>
                <w:kern w:val="0"/>
                <w:sz w:val="15"/>
                <w:szCs w:val="15"/>
              </w:rPr>
              <w:t>低（一级）</w:t>
            </w:r>
          </w:p>
        </w:tc>
        <w:tc>
          <w:tcPr>
            <w:tcW w:w="741" w:type="dxa"/>
            <w:tcBorders>
              <w:top w:val="single" w:color="auto" w:sz="4" w:space="0"/>
              <w:left w:val="single" w:color="auto" w:sz="4" w:space="0"/>
              <w:bottom w:val="single" w:color="auto" w:sz="4" w:space="0"/>
              <w:right w:val="single" w:color="auto" w:sz="4" w:space="0"/>
            </w:tcBorders>
            <w:shd w:val="clear" w:color="auto" w:fill="auto"/>
          </w:tcPr>
          <w:p w14:paraId="7FCED84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684F5F4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26A9DEE7">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43EF8D77">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color="auto" w:sz="4" w:space="0"/>
              <w:left w:val="single" w:color="auto" w:sz="4" w:space="0"/>
              <w:bottom w:val="single" w:color="auto" w:sz="4" w:space="0"/>
              <w:right w:val="single" w:color="auto" w:sz="4" w:space="0"/>
            </w:tcBorders>
            <w:shd w:val="clear" w:color="auto" w:fill="C0504D"/>
          </w:tcPr>
          <w:p w14:paraId="48272D9C">
            <w:pPr>
              <w:widowControl/>
              <w:snapToGrid w:val="0"/>
              <w:jc w:val="center"/>
              <w:rPr>
                <w:rFonts w:ascii="宋体" w:hAnsi="宋体" w:cs="宋体"/>
                <w:kern w:val="0"/>
                <w:sz w:val="15"/>
                <w:szCs w:val="15"/>
              </w:rPr>
            </w:pPr>
            <w:r>
              <w:rPr>
                <w:rFonts w:hint="eastAsia"/>
                <w:spacing w:val="10"/>
                <w:sz w:val="15"/>
                <w:szCs w:val="15"/>
              </w:rPr>
              <w:t>×</w:t>
            </w:r>
          </w:p>
        </w:tc>
      </w:tr>
    </w:tbl>
    <w:p w14:paraId="254E16EB">
      <w:pPr>
        <w:pStyle w:val="14"/>
        <w:spacing w:before="0" w:after="0" w:line="240" w:lineRule="auto"/>
        <w:ind w:firstLine="340" w:firstLineChars="200"/>
        <w:jc w:val="center"/>
        <w:rPr>
          <w:b/>
          <w:spacing w:val="10"/>
          <w:kern w:val="2"/>
          <w:sz w:val="15"/>
          <w:szCs w:val="15"/>
        </w:rPr>
      </w:pPr>
      <w:r>
        <w:rPr>
          <w:rFonts w:hint="eastAsia"/>
          <w:spacing w:val="10"/>
          <w:kern w:val="2"/>
          <w:sz w:val="15"/>
          <w:szCs w:val="15"/>
        </w:rPr>
        <w:t>备注：√代表可以购买；×代表不能购买。</w:t>
      </w:r>
    </w:p>
    <w:p w14:paraId="42C45B62">
      <w:pPr>
        <w:pStyle w:val="14"/>
        <w:spacing w:before="0" w:after="0" w:line="240" w:lineRule="auto"/>
        <w:ind w:firstLine="341" w:firstLineChars="200"/>
        <w:rPr>
          <w:b/>
          <w:spacing w:val="10"/>
          <w:kern w:val="2"/>
          <w:sz w:val="15"/>
          <w:szCs w:val="15"/>
        </w:rPr>
      </w:pPr>
      <w:r>
        <w:rPr>
          <w:rFonts w:hint="eastAsia"/>
          <w:b/>
          <w:spacing w:val="10"/>
          <w:kern w:val="2"/>
          <w:sz w:val="15"/>
          <w:szCs w:val="15"/>
        </w:rPr>
        <w:t>第五条 理财产品信息披露的方式、渠道和频率说明</w:t>
      </w:r>
    </w:p>
    <w:p w14:paraId="5B61E399">
      <w:pPr>
        <w:pStyle w:val="14"/>
        <w:spacing w:before="0" w:after="0" w:line="240" w:lineRule="auto"/>
        <w:ind w:firstLine="340" w:firstLineChars="20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14:paraId="07992B35">
      <w:pPr>
        <w:pStyle w:val="14"/>
        <w:spacing w:before="0" w:after="0" w:line="240" w:lineRule="auto"/>
        <w:ind w:firstLine="340" w:firstLineChars="20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14:paraId="6836E4C9">
      <w:pPr>
        <w:pStyle w:val="14"/>
        <w:spacing w:before="0" w:after="0" w:line="240" w:lineRule="auto"/>
        <w:ind w:firstLine="341" w:firstLineChars="200"/>
        <w:rPr>
          <w:bCs/>
          <w:spacing w:val="10"/>
          <w:kern w:val="2"/>
          <w:sz w:val="15"/>
          <w:szCs w:val="15"/>
        </w:rPr>
      </w:pPr>
      <w:r>
        <w:rPr>
          <w:rFonts w:hint="eastAsia"/>
          <w:b/>
          <w:spacing w:val="10"/>
          <w:kern w:val="2"/>
          <w:sz w:val="15"/>
          <w:szCs w:val="15"/>
        </w:rPr>
        <w:t>第六条 投资者信息保护</w:t>
      </w:r>
    </w:p>
    <w:p w14:paraId="0D681BA5">
      <w:pPr>
        <w:pStyle w:val="14"/>
        <w:spacing w:before="0" w:after="0" w:line="240" w:lineRule="auto"/>
        <w:ind w:firstLine="340" w:firstLineChars="20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14:paraId="52C01515">
      <w:pPr>
        <w:pStyle w:val="14"/>
        <w:spacing w:before="0" w:after="0" w:line="240" w:lineRule="auto"/>
        <w:ind w:firstLine="341" w:firstLineChars="200"/>
        <w:rPr>
          <w:b/>
          <w:spacing w:val="10"/>
          <w:kern w:val="2"/>
          <w:sz w:val="15"/>
          <w:szCs w:val="15"/>
        </w:rPr>
      </w:pPr>
      <w:r>
        <w:rPr>
          <w:rFonts w:hint="eastAsia"/>
          <w:b/>
          <w:spacing w:val="10"/>
          <w:kern w:val="2"/>
          <w:sz w:val="15"/>
          <w:szCs w:val="15"/>
        </w:rPr>
        <w:t>第七条 投资者投诉的方式和程序</w:t>
      </w:r>
    </w:p>
    <w:p w14:paraId="21F1DACB">
      <w:pPr>
        <w:pStyle w:val="14"/>
        <w:spacing w:before="0" w:after="0" w:line="240" w:lineRule="auto"/>
        <w:ind w:firstLine="340" w:firstLineChars="20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14:paraId="76C15527">
      <w:pPr>
        <w:pStyle w:val="14"/>
        <w:spacing w:before="0" w:after="0" w:line="240" w:lineRule="auto"/>
        <w:ind w:firstLine="341" w:firstLineChars="200"/>
        <w:rPr>
          <w:b/>
          <w:spacing w:val="10"/>
          <w:kern w:val="2"/>
          <w:sz w:val="15"/>
          <w:szCs w:val="15"/>
        </w:rPr>
      </w:pPr>
      <w:r>
        <w:rPr>
          <w:rFonts w:hint="eastAsia"/>
          <w:b/>
          <w:spacing w:val="10"/>
          <w:kern w:val="2"/>
          <w:sz w:val="15"/>
          <w:szCs w:val="15"/>
        </w:rPr>
        <w:t>第八条 联系方式</w:t>
      </w:r>
    </w:p>
    <w:p w14:paraId="29E99C96">
      <w:pPr>
        <w:pStyle w:val="14"/>
        <w:spacing w:before="0" w:after="0" w:line="240" w:lineRule="auto"/>
        <w:ind w:firstLine="341" w:firstLineChars="200"/>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14:paraId="3CEAF97C">
      <w:pPr>
        <w:pStyle w:val="14"/>
        <w:spacing w:before="0" w:after="0" w:line="240" w:lineRule="auto"/>
        <w:ind w:firstLine="340" w:firstLineChars="200"/>
        <w:rPr>
          <w:bCs/>
          <w:spacing w:val="10"/>
          <w:kern w:val="2"/>
          <w:sz w:val="15"/>
          <w:szCs w:val="15"/>
        </w:rPr>
      </w:pPr>
      <w:r>
        <w:rPr>
          <w:rFonts w:hint="eastAsia"/>
          <w:bCs/>
          <w:spacing w:val="10"/>
          <w:kern w:val="2"/>
          <w:sz w:val="15"/>
          <w:szCs w:val="15"/>
        </w:rPr>
        <w:t>（一）南银理财联系方式</w:t>
      </w:r>
    </w:p>
    <w:p w14:paraId="09D98485">
      <w:pPr>
        <w:pStyle w:val="14"/>
        <w:spacing w:before="0" w:after="0" w:line="240" w:lineRule="auto"/>
        <w:ind w:left="340" w:firstLine="0"/>
        <w:rPr>
          <w:bCs/>
          <w:spacing w:val="10"/>
          <w:kern w:val="2"/>
          <w:sz w:val="15"/>
          <w:szCs w:val="15"/>
        </w:rPr>
      </w:pPr>
      <w:r>
        <w:rPr>
          <w:rFonts w:hint="eastAsia"/>
          <w:bCs/>
          <w:spacing w:val="10"/>
          <w:kern w:val="2"/>
          <w:sz w:val="15"/>
          <w:szCs w:val="15"/>
        </w:rPr>
        <w:t>地址：南京市建邺区庐山路2</w:t>
      </w:r>
      <w:r>
        <w:rPr>
          <w:bCs/>
          <w:spacing w:val="10"/>
          <w:kern w:val="2"/>
          <w:sz w:val="15"/>
          <w:szCs w:val="15"/>
        </w:rPr>
        <w:t>42</w:t>
      </w:r>
      <w:r>
        <w:rPr>
          <w:rFonts w:hint="eastAsia"/>
          <w:bCs/>
          <w:spacing w:val="10"/>
          <w:kern w:val="2"/>
          <w:sz w:val="15"/>
          <w:szCs w:val="15"/>
        </w:rPr>
        <w:t>号2号楼1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14:paraId="17FC580B">
      <w:pPr>
        <w:pStyle w:val="14"/>
        <w:spacing w:before="0" w:after="0" w:line="240" w:lineRule="auto"/>
        <w:ind w:left="340" w:firstLine="0"/>
        <w:rPr>
          <w:bCs/>
          <w:spacing w:val="10"/>
          <w:kern w:val="2"/>
          <w:sz w:val="15"/>
          <w:szCs w:val="15"/>
        </w:rPr>
      </w:pPr>
      <w:r>
        <w:rPr>
          <w:rFonts w:hint="eastAsia"/>
          <w:bCs/>
          <w:spacing w:val="10"/>
          <w:kern w:val="2"/>
          <w:sz w:val="15"/>
          <w:szCs w:val="15"/>
        </w:rPr>
        <w:t xml:space="preserve">电话：4001195302 </w:t>
      </w:r>
    </w:p>
    <w:p w14:paraId="4AD54525">
      <w:pPr>
        <w:pStyle w:val="14"/>
        <w:spacing w:before="0" w:after="0" w:line="240" w:lineRule="auto"/>
        <w:ind w:firstLine="340" w:firstLineChars="200"/>
        <w:rPr>
          <w:bCs/>
          <w:spacing w:val="10"/>
          <w:kern w:val="2"/>
          <w:sz w:val="15"/>
          <w:szCs w:val="15"/>
        </w:rPr>
      </w:pPr>
      <w:r>
        <w:rPr>
          <w:rFonts w:hint="eastAsia"/>
          <w:bCs/>
          <w:spacing w:val="10"/>
          <w:kern w:val="2"/>
          <w:sz w:val="15"/>
          <w:szCs w:val="15"/>
        </w:rPr>
        <w:t>（二）销售机构联系方式</w:t>
      </w:r>
    </w:p>
    <w:p w14:paraId="6F882AD6">
      <w:pPr>
        <w:pStyle w:val="14"/>
        <w:spacing w:before="0" w:after="0" w:line="240" w:lineRule="auto"/>
        <w:ind w:firstLine="340" w:firstLineChars="200"/>
        <w:rPr>
          <w:bCs/>
          <w:spacing w:val="10"/>
          <w:kern w:val="2"/>
          <w:sz w:val="15"/>
          <w:szCs w:val="15"/>
        </w:rPr>
      </w:pPr>
      <w:r>
        <w:rPr>
          <w:rFonts w:hint="eastAsia"/>
          <w:bCs/>
          <w:spacing w:val="10"/>
          <w:kern w:val="2"/>
          <w:sz w:val="15"/>
          <w:szCs w:val="15"/>
        </w:rPr>
        <w:t>官方网站：www.njcb.com.cn</w:t>
      </w:r>
    </w:p>
    <w:p w14:paraId="2DEE9C6A">
      <w:pPr>
        <w:pStyle w:val="14"/>
        <w:spacing w:before="0" w:after="0" w:line="240" w:lineRule="auto"/>
        <w:ind w:firstLine="340" w:firstLineChars="200"/>
        <w:rPr>
          <w:b/>
          <w:spacing w:val="10"/>
          <w:kern w:val="2"/>
          <w:sz w:val="15"/>
          <w:szCs w:val="15"/>
          <w:u w:val="single"/>
        </w:rPr>
      </w:pPr>
      <w:r>
        <w:rPr>
          <w:rFonts w:hint="eastAsia"/>
          <w:bCs/>
          <w:spacing w:val="10"/>
          <w:kern w:val="2"/>
          <w:sz w:val="15"/>
          <w:szCs w:val="15"/>
        </w:rPr>
        <w:t>全国统一客服热线：95302</w:t>
      </w:r>
    </w:p>
    <w:p w14:paraId="51A3B5B1">
      <w:pPr>
        <w:pStyle w:val="14"/>
        <w:spacing w:before="0" w:after="0" w:line="240" w:lineRule="auto"/>
        <w:ind w:firstLine="341" w:firstLineChars="200"/>
        <w:rPr>
          <w:b/>
          <w:spacing w:val="10"/>
          <w:kern w:val="2"/>
          <w:sz w:val="15"/>
          <w:szCs w:val="15"/>
        </w:rPr>
      </w:pPr>
    </w:p>
    <w:p w14:paraId="14AE923B">
      <w:pPr>
        <w:pStyle w:val="14"/>
        <w:spacing w:before="0" w:after="0" w:line="240" w:lineRule="auto"/>
        <w:ind w:firstLine="0"/>
        <w:jc w:val="both"/>
        <w:rPr>
          <w:b/>
          <w:spacing w:val="10"/>
          <w:kern w:val="2"/>
          <w:sz w:val="15"/>
          <w:szCs w:val="15"/>
          <w:u w:val="single"/>
        </w:rPr>
      </w:pPr>
    </w:p>
    <w:p w14:paraId="6E840B64">
      <w:pPr>
        <w:pStyle w:val="14"/>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14:paraId="29D2CFD6">
      <w:pPr>
        <w:ind w:firstLine="340" w:firstLineChars="200"/>
        <w:rPr>
          <w:b/>
          <w:spacing w:val="10"/>
          <w:sz w:val="15"/>
          <w:szCs w:val="15"/>
          <w:u w:val="single"/>
        </w:rPr>
        <w:sectPr>
          <w:pgSz w:w="11906" w:h="16838"/>
          <w:pgMar w:top="720" w:right="720" w:bottom="720" w:left="720" w:header="851" w:footer="992" w:gutter="0"/>
          <w:cols w:space="720" w:num="1"/>
          <w:docGrid w:type="lines" w:linePitch="312" w:charSpace="0"/>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14:paraId="65898519">
      <w:pPr>
        <w:spacing w:line="0" w:lineRule="atLeast"/>
        <w:jc w:val="center"/>
        <w:rPr>
          <w:rFonts w:eastAsia="黑体"/>
          <w:b/>
          <w:bCs/>
          <w:sz w:val="24"/>
          <w:szCs w:val="15"/>
        </w:rPr>
      </w:pPr>
    </w:p>
    <w:p w14:paraId="67CC8833">
      <w:pPr>
        <w:spacing w:line="0" w:lineRule="atLeast"/>
        <w:jc w:val="center"/>
        <w:rPr>
          <w:rFonts w:eastAsia="黑体"/>
          <w:b/>
          <w:bCs/>
          <w:sz w:val="24"/>
          <w:szCs w:val="15"/>
        </w:rPr>
      </w:pPr>
    </w:p>
    <w:p w14:paraId="38C8FF25">
      <w:pPr>
        <w:spacing w:line="0" w:lineRule="atLeast"/>
        <w:jc w:val="center"/>
        <w:rPr>
          <w:rFonts w:eastAsia="黑体"/>
          <w:b/>
          <w:bCs/>
          <w:sz w:val="24"/>
          <w:szCs w:val="15"/>
        </w:rPr>
      </w:pPr>
    </w:p>
    <w:p w14:paraId="43BC4C0D">
      <w:pPr>
        <w:spacing w:line="0" w:lineRule="atLeast"/>
        <w:jc w:val="center"/>
        <w:rPr>
          <w:rFonts w:eastAsia="黑体"/>
          <w:b/>
          <w:bCs/>
          <w:sz w:val="24"/>
          <w:szCs w:val="15"/>
        </w:rPr>
      </w:pPr>
    </w:p>
    <w:p w14:paraId="123DFED8">
      <w:pPr>
        <w:spacing w:line="0" w:lineRule="atLeast"/>
        <w:jc w:val="center"/>
        <w:rPr>
          <w:rFonts w:eastAsia="黑体"/>
          <w:b/>
          <w:bCs/>
          <w:sz w:val="24"/>
          <w:szCs w:val="15"/>
        </w:rPr>
      </w:pPr>
    </w:p>
    <w:p w14:paraId="212B998E">
      <w:pPr>
        <w:spacing w:line="0" w:lineRule="atLeast"/>
        <w:jc w:val="center"/>
        <w:rPr>
          <w:rFonts w:eastAsia="黑体"/>
          <w:b/>
          <w:bCs/>
          <w:sz w:val="24"/>
          <w:szCs w:val="15"/>
        </w:rPr>
      </w:pPr>
    </w:p>
    <w:p w14:paraId="1712CB9F">
      <w:pPr>
        <w:spacing w:line="0" w:lineRule="atLeast"/>
        <w:jc w:val="center"/>
        <w:rPr>
          <w:rFonts w:eastAsia="黑体"/>
          <w:b/>
          <w:bCs/>
          <w:sz w:val="24"/>
          <w:szCs w:val="15"/>
        </w:rPr>
      </w:pPr>
    </w:p>
    <w:p w14:paraId="4E843CDB">
      <w:pPr>
        <w:spacing w:line="0" w:lineRule="atLeast"/>
        <w:jc w:val="center"/>
        <w:rPr>
          <w:rFonts w:eastAsia="黑体"/>
          <w:b/>
          <w:bCs/>
          <w:sz w:val="24"/>
          <w:szCs w:val="15"/>
        </w:rPr>
      </w:pPr>
    </w:p>
    <w:p w14:paraId="412B9A79">
      <w:pPr>
        <w:spacing w:line="0" w:lineRule="atLeast"/>
        <w:jc w:val="center"/>
        <w:rPr>
          <w:rFonts w:eastAsia="黑体"/>
          <w:b/>
          <w:bCs/>
          <w:sz w:val="24"/>
          <w:szCs w:val="15"/>
        </w:rPr>
      </w:pPr>
    </w:p>
    <w:p w14:paraId="5FEB6B53">
      <w:pPr>
        <w:spacing w:line="0" w:lineRule="atLeast"/>
        <w:jc w:val="center"/>
        <w:rPr>
          <w:rFonts w:eastAsia="黑体"/>
          <w:b/>
          <w:bCs/>
          <w:sz w:val="24"/>
          <w:szCs w:val="15"/>
        </w:rPr>
      </w:pPr>
    </w:p>
    <w:p w14:paraId="5D9E13CD">
      <w:pPr>
        <w:spacing w:line="0" w:lineRule="atLeast"/>
        <w:jc w:val="center"/>
        <w:rPr>
          <w:rFonts w:eastAsia="黑体"/>
          <w:b/>
          <w:bCs/>
          <w:sz w:val="24"/>
          <w:szCs w:val="15"/>
        </w:rPr>
      </w:pPr>
    </w:p>
    <w:p w14:paraId="4559DCE6">
      <w:pPr>
        <w:spacing w:line="0" w:lineRule="atLeast"/>
        <w:jc w:val="center"/>
        <w:rPr>
          <w:rFonts w:eastAsia="黑体"/>
          <w:b/>
          <w:bCs/>
          <w:sz w:val="24"/>
          <w:szCs w:val="15"/>
        </w:rPr>
      </w:pPr>
    </w:p>
    <w:p w14:paraId="2AEBD890">
      <w:pPr>
        <w:spacing w:line="0" w:lineRule="atLeast"/>
        <w:rPr>
          <w:rFonts w:eastAsia="黑体"/>
          <w:b/>
          <w:bCs/>
          <w:sz w:val="24"/>
          <w:szCs w:val="15"/>
        </w:rPr>
      </w:pPr>
    </w:p>
    <w:p w14:paraId="4DBE1661">
      <w:pPr>
        <w:spacing w:line="0" w:lineRule="atLeast"/>
        <w:jc w:val="center"/>
        <w:rPr>
          <w:rFonts w:eastAsia="黑体"/>
          <w:b/>
          <w:bCs/>
          <w:sz w:val="24"/>
          <w:szCs w:val="15"/>
        </w:rPr>
      </w:pPr>
    </w:p>
    <w:p w14:paraId="376947E0">
      <w:pPr>
        <w:spacing w:line="0" w:lineRule="atLeast"/>
        <w:rPr>
          <w:rFonts w:eastAsia="黑体"/>
          <w:b/>
          <w:bCs/>
          <w:sz w:val="24"/>
          <w:szCs w:val="15"/>
        </w:rPr>
      </w:pPr>
    </w:p>
    <w:p w14:paraId="3C328B38">
      <w:pPr>
        <w:spacing w:line="0" w:lineRule="atLeast"/>
        <w:jc w:val="center"/>
        <w:rPr>
          <w:rFonts w:eastAsia="黑体"/>
          <w:b/>
          <w:bCs/>
          <w:sz w:val="24"/>
          <w:szCs w:val="15"/>
        </w:rPr>
      </w:pPr>
    </w:p>
    <w:p w14:paraId="61E22F2D">
      <w:pPr>
        <w:spacing w:line="0" w:lineRule="atLeast"/>
        <w:jc w:val="center"/>
        <w:rPr>
          <w:rFonts w:eastAsia="黑体"/>
          <w:b/>
          <w:bCs/>
          <w:sz w:val="24"/>
          <w:szCs w:val="15"/>
        </w:rPr>
      </w:pPr>
    </w:p>
    <w:p w14:paraId="3813F49D">
      <w:pPr>
        <w:spacing w:line="0" w:lineRule="atLeast"/>
        <w:jc w:val="center"/>
        <w:rPr>
          <w:rFonts w:eastAsia="黑体"/>
          <w:b/>
          <w:bCs/>
          <w:sz w:val="24"/>
          <w:szCs w:val="15"/>
        </w:rPr>
      </w:pPr>
      <w:r>
        <w:rPr>
          <w:rFonts w:eastAsia="黑体"/>
          <w:b/>
          <w:bCs/>
          <w:sz w:val="24"/>
          <w:szCs w:val="15"/>
        </w:rPr>
        <w:t>理财产品销售协议书</w:t>
      </w:r>
    </w:p>
    <w:p w14:paraId="584030CC">
      <w:pPr>
        <w:tabs>
          <w:tab w:val="left" w:pos="0"/>
        </w:tabs>
        <w:jc w:val="center"/>
      </w:pPr>
    </w:p>
    <w:p w14:paraId="14588B29">
      <w:pPr>
        <w:tabs>
          <w:tab w:val="left" w:pos="0"/>
        </w:tabs>
        <w:jc w:val="center"/>
      </w:pPr>
    </w:p>
    <w:p w14:paraId="20F0DC87">
      <w:pPr>
        <w:tabs>
          <w:tab w:val="left" w:pos="0"/>
        </w:tabs>
        <w:jc w:val="center"/>
      </w:pPr>
    </w:p>
    <w:p w14:paraId="11625D0D">
      <w:pPr>
        <w:tabs>
          <w:tab w:val="left" w:pos="0"/>
        </w:tabs>
        <w:jc w:val="center"/>
      </w:pPr>
    </w:p>
    <w:p w14:paraId="1280B604">
      <w:pPr>
        <w:tabs>
          <w:tab w:val="left" w:pos="0"/>
        </w:tabs>
        <w:jc w:val="center"/>
      </w:pPr>
    </w:p>
    <w:p w14:paraId="620127AC">
      <w:pPr>
        <w:tabs>
          <w:tab w:val="left" w:pos="0"/>
        </w:tabs>
        <w:jc w:val="center"/>
      </w:pPr>
    </w:p>
    <w:p w14:paraId="2C385FE7">
      <w:pPr>
        <w:tabs>
          <w:tab w:val="left" w:pos="0"/>
        </w:tabs>
        <w:jc w:val="center"/>
      </w:pPr>
    </w:p>
    <w:p w14:paraId="7D5B1081">
      <w:pPr>
        <w:tabs>
          <w:tab w:val="left" w:pos="0"/>
        </w:tabs>
        <w:jc w:val="center"/>
      </w:pPr>
    </w:p>
    <w:p w14:paraId="47FE37F7">
      <w:pPr>
        <w:tabs>
          <w:tab w:val="left" w:pos="0"/>
        </w:tabs>
        <w:jc w:val="center"/>
      </w:pPr>
      <w:r>
        <w:t>编制单位：</w:t>
      </w:r>
      <w:r>
        <w:rPr>
          <w:u w:val="single"/>
        </w:rPr>
        <w:t>南银理财有限责任公司</w:t>
      </w:r>
    </w:p>
    <w:p w14:paraId="39763760">
      <w:pPr>
        <w:spacing w:line="0" w:lineRule="atLeast"/>
        <w:ind w:firstLine="4200" w:firstLineChars="2000"/>
        <w:rPr>
          <w:rFonts w:eastAsia="黑体"/>
          <w:b/>
          <w:bCs/>
          <w:sz w:val="24"/>
          <w:szCs w:val="15"/>
        </w:rPr>
      </w:pPr>
      <w:r>
        <w:t>版次号：</w:t>
      </w:r>
      <w:r>
        <w:rPr>
          <w:rFonts w:hint="eastAsia"/>
          <w:u w:val="single"/>
        </w:rPr>
        <w:t>2021第2</w:t>
      </w:r>
      <w:r>
        <w:rPr>
          <w:u w:val="single"/>
        </w:rPr>
        <w:t>版</w:t>
      </w:r>
      <w:r>
        <w:br w:type="page"/>
      </w:r>
    </w:p>
    <w:p w14:paraId="7E969635">
      <w:pPr>
        <w:adjustRightInd w:val="0"/>
        <w:snapToGrid w:val="0"/>
        <w:spacing w:line="0" w:lineRule="atLeast"/>
        <w:rPr>
          <w:b/>
          <w:bCs/>
        </w:rPr>
      </w:pPr>
      <w:r>
        <w:rPr>
          <w:b/>
          <w:bCs/>
        </w:rPr>
        <w:t>风险提示：</w:t>
      </w:r>
    </w:p>
    <w:p w14:paraId="6A1F0F3D">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14:paraId="16463BBC">
      <w:pPr>
        <w:tabs>
          <w:tab w:val="left" w:pos="7920"/>
          <w:tab w:val="left" w:pos="8100"/>
        </w:tabs>
        <w:spacing w:line="0" w:lineRule="atLeast"/>
        <w:rPr>
          <w:b/>
          <w:bCs/>
        </w:rPr>
      </w:pPr>
    </w:p>
    <w:p w14:paraId="33054751">
      <w:pPr>
        <w:spacing w:line="0" w:lineRule="atLeast"/>
        <w:jc w:val="center"/>
        <w:rPr>
          <w:rFonts w:eastAsia="黑体"/>
          <w:b/>
          <w:bCs/>
          <w:sz w:val="24"/>
          <w:szCs w:val="15"/>
        </w:rPr>
      </w:pPr>
    </w:p>
    <w:p w14:paraId="39413AC2">
      <w:pPr>
        <w:spacing w:line="0" w:lineRule="atLeast"/>
        <w:jc w:val="center"/>
        <w:rPr>
          <w:rFonts w:eastAsia="黑体"/>
          <w:b/>
          <w:bCs/>
          <w:sz w:val="24"/>
          <w:szCs w:val="15"/>
        </w:rPr>
      </w:pPr>
      <w:r>
        <w:rPr>
          <w:rFonts w:eastAsia="黑体"/>
          <w:b/>
          <w:bCs/>
          <w:sz w:val="24"/>
          <w:szCs w:val="15"/>
        </w:rPr>
        <w:t>理财产品销售协议书</w:t>
      </w:r>
    </w:p>
    <w:p w14:paraId="47E19E1D">
      <w:pPr>
        <w:spacing w:line="200" w:lineRule="exact"/>
        <w:ind w:firstLine="300" w:firstLineChars="200"/>
        <w:rPr>
          <w:rFonts w:eastAsia="方正细黑一简体"/>
          <w:sz w:val="15"/>
          <w:szCs w:val="15"/>
        </w:rPr>
      </w:pPr>
    </w:p>
    <w:p w14:paraId="6C209217">
      <w:pPr>
        <w:spacing w:line="200" w:lineRule="exact"/>
        <w:ind w:firstLine="300" w:firstLineChars="200"/>
        <w:rPr>
          <w:rFonts w:eastAsia="方正细黑一简体"/>
          <w:sz w:val="15"/>
          <w:szCs w:val="15"/>
        </w:rPr>
      </w:pPr>
      <w:r>
        <w:rPr>
          <w:rFonts w:eastAsia="方正细黑一简体"/>
          <w:sz w:val="15"/>
          <w:szCs w:val="15"/>
        </w:rPr>
        <w:t>经甲方（南银理财有限责任公司，以下简称“南银理财”、“</w:t>
      </w:r>
      <w:r>
        <w:rPr>
          <w:rFonts w:eastAsia="方正细黑一简体"/>
          <w:color w:val="3D3D3D"/>
          <w:sz w:val="15"/>
          <w:szCs w:val="15"/>
        </w:rPr>
        <w:t>管理人”</w:t>
      </w:r>
      <w:r>
        <w:rPr>
          <w:rFonts w:hint="eastAsia" w:eastAsia="方正细黑一简体"/>
          <w:color w:val="3D3D3D"/>
          <w:sz w:val="15"/>
          <w:szCs w:val="15"/>
        </w:rPr>
        <w:t>、“产品管理人”</w:t>
      </w:r>
      <w:r>
        <w:rPr>
          <w:rFonts w:eastAsia="方正细黑一简体"/>
          <w:color w:val="3D3D3D"/>
          <w:sz w:val="15"/>
          <w:szCs w:val="15"/>
        </w:rPr>
        <w:t>或“理财产品管理人</w:t>
      </w:r>
      <w:r>
        <w:rPr>
          <w:rFonts w:eastAsia="方正细黑一简体"/>
          <w:sz w:val="15"/>
          <w:szCs w:val="15"/>
        </w:rPr>
        <w:t>”）与乙方（</w:t>
      </w:r>
      <w:r>
        <w:rPr>
          <w:rFonts w:hint="eastAsia" w:eastAsia="方正细黑一简体"/>
          <w:sz w:val="15"/>
          <w:szCs w:val="15"/>
        </w:rPr>
        <w:t>以下简称“</w:t>
      </w:r>
      <w:r>
        <w:rPr>
          <w:rFonts w:eastAsia="方正细黑一简体"/>
          <w:sz w:val="15"/>
          <w:szCs w:val="15"/>
        </w:rPr>
        <w:t>投资者</w:t>
      </w:r>
      <w:r>
        <w:rPr>
          <w:rFonts w:hint="eastAsia" w:eastAsia="方正细黑一简体"/>
          <w:sz w:val="15"/>
          <w:szCs w:val="15"/>
        </w:rPr>
        <w:t>”</w:t>
      </w:r>
      <w:r>
        <w:rPr>
          <w:rFonts w:eastAsia="方正细黑一简体"/>
          <w:sz w:val="15"/>
          <w:szCs w:val="15"/>
        </w:rPr>
        <w:t>）双方平等友好协商，本着平等自愿、诚实守信的原则，就乙方购买甲方管理的理财产品的有关事宜达成协议如下：</w:t>
      </w:r>
    </w:p>
    <w:p w14:paraId="42936B2F">
      <w:pPr>
        <w:numPr>
          <w:ilvl w:val="0"/>
          <w:numId w:val="6"/>
        </w:numPr>
        <w:spacing w:line="200" w:lineRule="exact"/>
        <w:ind w:firstLine="340" w:firstLineChars="200"/>
        <w:rPr>
          <w:b/>
          <w:bCs/>
          <w:spacing w:val="10"/>
          <w:sz w:val="15"/>
          <w:szCs w:val="15"/>
        </w:rPr>
      </w:pPr>
      <w:r>
        <w:rPr>
          <w:b/>
          <w:bCs/>
          <w:spacing w:val="10"/>
          <w:sz w:val="15"/>
          <w:szCs w:val="15"/>
        </w:rPr>
        <w:t>名词释义</w:t>
      </w:r>
    </w:p>
    <w:p w14:paraId="607C2C2E">
      <w:pPr>
        <w:pStyle w:val="61"/>
        <w:ind w:firstLine="340"/>
        <w:rPr>
          <w:spacing w:val="10"/>
          <w:sz w:val="15"/>
          <w:szCs w:val="15"/>
        </w:rPr>
      </w:pPr>
      <w:r>
        <w:rPr>
          <w:spacing w:val="10"/>
          <w:sz w:val="15"/>
          <w:szCs w:val="15"/>
        </w:rPr>
        <w:t>本协议项下用词与对应期次的《理财产品说明书》中相关用词含义一致，本协议另有说明的除外。</w:t>
      </w:r>
    </w:p>
    <w:p w14:paraId="25343678">
      <w:pPr>
        <w:numPr>
          <w:ilvl w:val="0"/>
          <w:numId w:val="6"/>
        </w:numPr>
        <w:spacing w:line="200" w:lineRule="exact"/>
        <w:ind w:firstLine="340" w:firstLineChars="200"/>
        <w:rPr>
          <w:b/>
          <w:bCs/>
          <w:spacing w:val="10"/>
          <w:sz w:val="15"/>
          <w:szCs w:val="15"/>
        </w:rPr>
      </w:pPr>
      <w:r>
        <w:rPr>
          <w:rFonts w:hint="eastAsia"/>
          <w:b/>
          <w:bCs/>
          <w:spacing w:val="10"/>
          <w:sz w:val="15"/>
          <w:szCs w:val="15"/>
        </w:rPr>
        <w:t>销售机构</w:t>
      </w:r>
    </w:p>
    <w:p w14:paraId="7D42CE94">
      <w:pPr>
        <w:spacing w:line="200" w:lineRule="exact"/>
        <w:ind w:firstLine="340" w:firstLineChars="20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14:paraId="55102A68">
      <w:pPr>
        <w:numPr>
          <w:ilvl w:val="0"/>
          <w:numId w:val="6"/>
        </w:numPr>
        <w:spacing w:line="200" w:lineRule="exact"/>
        <w:ind w:firstLine="340" w:firstLineChars="200"/>
        <w:rPr>
          <w:b/>
          <w:bCs/>
          <w:spacing w:val="10"/>
          <w:sz w:val="15"/>
          <w:szCs w:val="15"/>
        </w:rPr>
      </w:pPr>
      <w:r>
        <w:rPr>
          <w:b/>
          <w:bCs/>
          <w:spacing w:val="10"/>
          <w:sz w:val="15"/>
          <w:szCs w:val="15"/>
        </w:rPr>
        <w:t>甲方的权利与义务：</w:t>
      </w:r>
    </w:p>
    <w:p w14:paraId="23F70283">
      <w:pPr>
        <w:numPr>
          <w:ilvl w:val="0"/>
          <w:numId w:val="7"/>
        </w:numPr>
        <w:spacing w:line="200" w:lineRule="exact"/>
        <w:ind w:firstLine="340" w:firstLineChars="200"/>
        <w:rPr>
          <w:spacing w:val="10"/>
          <w:sz w:val="15"/>
          <w:szCs w:val="15"/>
        </w:rPr>
      </w:pPr>
      <w:r>
        <w:rPr>
          <w:spacing w:val="10"/>
          <w:sz w:val="15"/>
          <w:szCs w:val="15"/>
        </w:rPr>
        <w:t>甲方应当履行恪尽职守、勤勉尽责、诚实守信、有效管理的义务。</w:t>
      </w:r>
    </w:p>
    <w:p w14:paraId="6B2D4D69">
      <w:pPr>
        <w:numPr>
          <w:ilvl w:val="0"/>
          <w:numId w:val="7"/>
        </w:numPr>
        <w:spacing w:line="200" w:lineRule="exact"/>
        <w:ind w:firstLine="340" w:firstLineChars="200"/>
        <w:rPr>
          <w:spacing w:val="10"/>
          <w:sz w:val="15"/>
          <w:szCs w:val="15"/>
        </w:rPr>
      </w:pPr>
      <w:r>
        <w:rPr>
          <w:rFonts w:hint="eastAsia"/>
          <w:spacing w:val="10"/>
          <w:sz w:val="15"/>
          <w:szCs w:val="15"/>
        </w:rPr>
        <w:t>甲方应当按照理财产品销售文件的约定向投资者分配收益。</w:t>
      </w:r>
    </w:p>
    <w:p w14:paraId="7CBDF6CB">
      <w:pPr>
        <w:numPr>
          <w:ilvl w:val="0"/>
          <w:numId w:val="7"/>
        </w:numPr>
        <w:spacing w:line="200" w:lineRule="exact"/>
        <w:ind w:firstLine="340" w:firstLineChars="200"/>
        <w:rPr>
          <w:spacing w:val="10"/>
          <w:sz w:val="15"/>
          <w:szCs w:val="15"/>
        </w:rPr>
      </w:pPr>
      <w:r>
        <w:rPr>
          <w:rFonts w:hint="eastAsia"/>
          <w:spacing w:val="10"/>
          <w:sz w:val="15"/>
          <w:szCs w:val="15"/>
        </w:rPr>
        <w:t>甲方应当按照法律法规、理财产品销售文件的约定履行信息披露义务。</w:t>
      </w:r>
    </w:p>
    <w:p w14:paraId="092786DC">
      <w:pPr>
        <w:numPr>
          <w:ilvl w:val="0"/>
          <w:numId w:val="7"/>
        </w:numPr>
        <w:spacing w:line="200" w:lineRule="exact"/>
        <w:ind w:firstLine="340" w:firstLineChars="200"/>
        <w:rPr>
          <w:spacing w:val="10"/>
          <w:sz w:val="15"/>
          <w:szCs w:val="15"/>
        </w:rPr>
      </w:pPr>
      <w:r>
        <w:rPr>
          <w:rFonts w:hint="eastAsia"/>
          <w:spacing w:val="10"/>
          <w:sz w:val="15"/>
          <w:szCs w:val="15"/>
        </w:rPr>
        <w:t>甲方应当确保理财业务与其他业务相分离，理财产品之间相分离，理财业务操作与其他业务操作相分离。</w:t>
      </w:r>
    </w:p>
    <w:p w14:paraId="76BB2A7D">
      <w:pPr>
        <w:numPr>
          <w:ilvl w:val="0"/>
          <w:numId w:val="7"/>
        </w:numPr>
        <w:spacing w:line="200" w:lineRule="exact"/>
        <w:ind w:firstLine="340" w:firstLineChars="20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14:paraId="09641153">
      <w:pPr>
        <w:numPr>
          <w:ilvl w:val="0"/>
          <w:numId w:val="7"/>
        </w:numPr>
        <w:spacing w:line="200" w:lineRule="exact"/>
        <w:ind w:firstLine="340" w:firstLineChars="20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14:paraId="668F8CC7">
      <w:pPr>
        <w:numPr>
          <w:ilvl w:val="0"/>
          <w:numId w:val="7"/>
        </w:numPr>
        <w:spacing w:line="200" w:lineRule="exact"/>
        <w:ind w:firstLine="340" w:firstLineChars="20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14:paraId="3943CE6A">
      <w:pPr>
        <w:numPr>
          <w:ilvl w:val="0"/>
          <w:numId w:val="7"/>
        </w:numPr>
        <w:spacing w:line="200" w:lineRule="exact"/>
        <w:ind w:firstLine="340" w:firstLineChars="200"/>
        <w:rPr>
          <w:spacing w:val="10"/>
          <w:sz w:val="15"/>
          <w:szCs w:val="15"/>
        </w:rPr>
      </w:pPr>
      <w:r>
        <w:rPr>
          <w:spacing w:val="10"/>
          <w:sz w:val="15"/>
          <w:szCs w:val="15"/>
        </w:rPr>
        <w:t>由于投资管理或者获取投资标的的需要，甲方有权决定以理财产品财产支付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14:paraId="4D5B87BA">
      <w:pPr>
        <w:numPr>
          <w:ilvl w:val="0"/>
          <w:numId w:val="7"/>
        </w:numPr>
        <w:spacing w:line="200" w:lineRule="exact"/>
        <w:ind w:firstLine="340" w:firstLineChars="20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14:paraId="439C6560">
      <w:pPr>
        <w:numPr>
          <w:ilvl w:val="0"/>
          <w:numId w:val="7"/>
        </w:numPr>
        <w:spacing w:line="200" w:lineRule="exact"/>
        <w:ind w:firstLine="340" w:firstLineChars="20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14:paraId="3EE93CAB">
      <w:pPr>
        <w:numPr>
          <w:ilvl w:val="0"/>
          <w:numId w:val="7"/>
        </w:numPr>
        <w:spacing w:line="200" w:lineRule="exact"/>
        <w:ind w:firstLine="300" w:firstLineChars="200"/>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14:paraId="5D53588E">
      <w:pPr>
        <w:numPr>
          <w:ilvl w:val="0"/>
          <w:numId w:val="7"/>
        </w:numPr>
        <w:spacing w:line="200" w:lineRule="exact"/>
        <w:ind w:firstLine="340" w:firstLineChars="20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14:paraId="2086DE6A">
      <w:pPr>
        <w:numPr>
          <w:ilvl w:val="0"/>
          <w:numId w:val="7"/>
        </w:numPr>
        <w:spacing w:line="200" w:lineRule="exact"/>
        <w:ind w:firstLine="340" w:firstLineChars="20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14:paraId="2D6816F3">
      <w:pPr>
        <w:numPr>
          <w:ilvl w:val="0"/>
          <w:numId w:val="7"/>
        </w:numPr>
        <w:spacing w:line="200" w:lineRule="exact"/>
        <w:ind w:firstLine="340" w:firstLineChars="200"/>
        <w:rPr>
          <w:spacing w:val="10"/>
          <w:sz w:val="15"/>
          <w:szCs w:val="15"/>
        </w:rPr>
      </w:pPr>
      <w:r>
        <w:rPr>
          <w:spacing w:val="10"/>
          <w:sz w:val="15"/>
          <w:szCs w:val="15"/>
        </w:rPr>
        <w:t>甲方有权根据本理财产品销售文件的约定提前终止或延长本理财产品的存续期限。</w:t>
      </w:r>
    </w:p>
    <w:p w14:paraId="09F0D5D1">
      <w:pPr>
        <w:numPr>
          <w:ilvl w:val="0"/>
          <w:numId w:val="7"/>
        </w:numPr>
        <w:spacing w:line="200" w:lineRule="exact"/>
        <w:ind w:firstLine="340" w:firstLineChars="200"/>
        <w:rPr>
          <w:spacing w:val="10"/>
          <w:sz w:val="15"/>
          <w:szCs w:val="15"/>
        </w:rPr>
      </w:pPr>
      <w:r>
        <w:rPr>
          <w:spacing w:val="10"/>
          <w:sz w:val="15"/>
          <w:szCs w:val="15"/>
        </w:rPr>
        <w:t>甲方有权调整本理财产品的认购或申购起点、单笔认购或申购上限等要素。</w:t>
      </w:r>
    </w:p>
    <w:p w14:paraId="29F232F2">
      <w:pPr>
        <w:numPr>
          <w:ilvl w:val="0"/>
          <w:numId w:val="7"/>
        </w:numPr>
        <w:spacing w:line="200" w:lineRule="exact"/>
        <w:ind w:firstLine="340" w:firstLineChars="200"/>
        <w:rPr>
          <w:spacing w:val="10"/>
          <w:sz w:val="15"/>
          <w:szCs w:val="15"/>
        </w:rPr>
      </w:pPr>
      <w:r>
        <w:rPr>
          <w:spacing w:val="10"/>
          <w:sz w:val="15"/>
          <w:szCs w:val="15"/>
        </w:rPr>
        <w:t>甲方有权根据相关规定及销售文件的约定，变更销售文件内容。</w:t>
      </w:r>
    </w:p>
    <w:p w14:paraId="14157621">
      <w:pPr>
        <w:numPr>
          <w:ilvl w:val="0"/>
          <w:numId w:val="7"/>
        </w:numPr>
        <w:spacing w:line="200" w:lineRule="exact"/>
        <w:ind w:firstLine="340" w:firstLineChars="20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14:paraId="53797B8D">
      <w:pPr>
        <w:numPr>
          <w:ilvl w:val="0"/>
          <w:numId w:val="7"/>
        </w:numPr>
        <w:spacing w:line="200" w:lineRule="exact"/>
        <w:ind w:firstLine="340" w:firstLineChars="200"/>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14:paraId="7F660DA7">
      <w:pPr>
        <w:numPr>
          <w:ilvl w:val="0"/>
          <w:numId w:val="7"/>
        </w:numPr>
        <w:spacing w:line="200" w:lineRule="exact"/>
        <w:ind w:firstLine="340" w:firstLineChars="20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14:paraId="7D0D9B38">
      <w:pPr>
        <w:numPr>
          <w:ilvl w:val="0"/>
          <w:numId w:val="7"/>
        </w:numPr>
        <w:spacing w:line="200" w:lineRule="exact"/>
        <w:ind w:firstLine="340" w:firstLineChars="200"/>
        <w:rPr>
          <w:spacing w:val="10"/>
          <w:sz w:val="15"/>
          <w:szCs w:val="15"/>
        </w:rPr>
      </w:pPr>
      <w:r>
        <w:rPr>
          <w:spacing w:val="10"/>
          <w:sz w:val="15"/>
          <w:szCs w:val="15"/>
        </w:rPr>
        <w:t>甲方在此特别披露：</w:t>
      </w:r>
      <w:r>
        <w:rPr>
          <w:rFonts w:hint="eastAsia"/>
          <w:b/>
          <w:bCs/>
          <w:spacing w:val="10"/>
          <w:sz w:val="15"/>
          <w:szCs w:val="15"/>
        </w:rPr>
        <w:t>若产品管理人的关联方担任理财产品的销售机构、托管人、合作机构的，产品管理人将按照法律法规和监管要求履行相应程序，乙方认购或申购理财产品即视为同意该等安排。</w:t>
      </w:r>
    </w:p>
    <w:p w14:paraId="28782B03">
      <w:pPr>
        <w:numPr>
          <w:ilvl w:val="0"/>
          <w:numId w:val="7"/>
        </w:numPr>
        <w:spacing w:line="200" w:lineRule="exact"/>
        <w:ind w:firstLine="340" w:firstLineChars="20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14:paraId="4C193BCF">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14:paraId="6E3EBFC4">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14:paraId="7948AC56">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14:paraId="2B97339C">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14:paraId="0728A5EF">
      <w:pPr>
        <w:numPr>
          <w:ilvl w:val="0"/>
          <w:numId w:val="8"/>
        </w:numPr>
        <w:spacing w:line="200" w:lineRule="exact"/>
        <w:ind w:firstLine="340"/>
        <w:rPr>
          <w:spacing w:val="10"/>
          <w:sz w:val="15"/>
          <w:szCs w:val="15"/>
        </w:rPr>
      </w:pPr>
      <w:r>
        <w:rPr>
          <w:spacing w:val="10"/>
          <w:sz w:val="15"/>
          <w:szCs w:val="15"/>
        </w:rPr>
        <w:t>乙方应接受</w:t>
      </w:r>
      <w:r>
        <w:rPr>
          <w:rFonts w:hint="eastAsia"/>
          <w:spacing w:val="10"/>
          <w:sz w:val="15"/>
          <w:szCs w:val="15"/>
        </w:rPr>
        <w:t>销售机构</w:t>
      </w:r>
      <w:r>
        <w:rPr>
          <w:spacing w:val="10"/>
          <w:sz w:val="15"/>
          <w:szCs w:val="15"/>
        </w:rPr>
        <w:t>对其投资风险承受能力进行的测评。（个人投资者适用）</w:t>
      </w:r>
    </w:p>
    <w:p w14:paraId="37ADBD33">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14:paraId="36B7504A">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14:paraId="674C1568">
      <w:pPr>
        <w:numPr>
          <w:ilvl w:val="0"/>
          <w:numId w:val="8"/>
        </w:numPr>
        <w:spacing w:line="200" w:lineRule="exact"/>
        <w:ind w:firstLine="340"/>
        <w:rPr>
          <w:spacing w:val="10"/>
          <w:sz w:val="15"/>
          <w:szCs w:val="15"/>
        </w:rPr>
      </w:pPr>
      <w:r>
        <w:rPr>
          <w:spacing w:val="10"/>
          <w:sz w:val="15"/>
          <w:szCs w:val="15"/>
        </w:rPr>
        <w:t>乙方保证，乙方系符合监管规定要求的合格投资者。（私募产品投资者适用）</w:t>
      </w:r>
    </w:p>
    <w:p w14:paraId="361F69DF">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14:paraId="31A6FF37">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14:paraId="51A1BFC9">
      <w:pPr>
        <w:numPr>
          <w:ilvl w:val="0"/>
          <w:numId w:val="8"/>
        </w:numPr>
        <w:spacing w:line="200" w:lineRule="exact"/>
        <w:ind w:firstLine="340" w:firstLineChars="200"/>
        <w:rPr>
          <w:spacing w:val="10"/>
          <w:sz w:val="15"/>
          <w:szCs w:val="15"/>
        </w:rPr>
      </w:pPr>
      <w:r>
        <w:rPr>
          <w:spacing w:val="10"/>
          <w:sz w:val="15"/>
          <w:szCs w:val="15"/>
        </w:rPr>
        <w:t>乙方保证执行及交付任何文件或履行本协议项下的义务，均不会违反(i)任何适用法律、法规、法令或法律限制，任何法院或其他政府机关所作出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14:paraId="1A459F73">
      <w:pPr>
        <w:numPr>
          <w:ilvl w:val="0"/>
          <w:numId w:val="8"/>
        </w:numPr>
        <w:spacing w:line="200" w:lineRule="exact"/>
        <w:ind w:firstLine="340" w:firstLineChars="20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14:paraId="2E69A531">
      <w:pPr>
        <w:pStyle w:val="6"/>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14:paraId="463DE324">
      <w:pPr>
        <w:numPr>
          <w:ilvl w:val="0"/>
          <w:numId w:val="8"/>
        </w:numPr>
        <w:spacing w:line="200" w:lineRule="exact"/>
        <w:ind w:firstLine="340" w:firstLineChars="200"/>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14:paraId="76EEF842">
      <w:pPr>
        <w:numPr>
          <w:ilvl w:val="0"/>
          <w:numId w:val="8"/>
        </w:numPr>
        <w:spacing w:line="200" w:lineRule="exact"/>
        <w:ind w:firstLine="340" w:firstLineChars="200"/>
        <w:rPr>
          <w:spacing w:val="10"/>
          <w:sz w:val="15"/>
          <w:szCs w:val="15"/>
        </w:rPr>
      </w:pPr>
      <w:r>
        <w:rPr>
          <w:spacing w:val="10"/>
          <w:sz w:val="15"/>
          <w:szCs w:val="15"/>
        </w:rPr>
        <w:t>乙方承诺，不利用本理财业务及本理财产品说明书项下理财产品从事违法活动。</w:t>
      </w:r>
    </w:p>
    <w:p w14:paraId="68478BE0">
      <w:pPr>
        <w:numPr>
          <w:ilvl w:val="0"/>
          <w:numId w:val="8"/>
        </w:numPr>
        <w:spacing w:line="200" w:lineRule="exact"/>
        <w:ind w:firstLine="340" w:firstLineChars="200"/>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14:paraId="2138CCA1">
      <w:pPr>
        <w:numPr>
          <w:ilvl w:val="0"/>
          <w:numId w:val="8"/>
        </w:numPr>
        <w:spacing w:line="200" w:lineRule="exact"/>
        <w:ind w:firstLine="340" w:firstLineChars="200"/>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14:paraId="63B5DFE1">
      <w:pPr>
        <w:numPr>
          <w:ilvl w:val="0"/>
          <w:numId w:val="8"/>
        </w:numPr>
        <w:spacing w:line="200" w:lineRule="exact"/>
        <w:ind w:firstLine="340" w:firstLineChars="20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保证其不属于联合国、欧盟或美国等制裁名单，及中国政府部门或有权机关发布的涉恐及反洗钱相关风险名单；不位于被联合国、欧盟或美国等制裁的国家和地区。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14:paraId="5D8B9A5F">
      <w:pPr>
        <w:numPr>
          <w:ilvl w:val="0"/>
          <w:numId w:val="8"/>
        </w:numPr>
        <w:spacing w:line="200" w:lineRule="exact"/>
        <w:ind w:firstLine="340" w:firstLineChars="20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14:paraId="4770E9E5">
      <w:pPr>
        <w:numPr>
          <w:ilvl w:val="0"/>
          <w:numId w:val="8"/>
        </w:numPr>
        <w:spacing w:line="200" w:lineRule="exact"/>
        <w:ind w:firstLine="340" w:firstLineChars="20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14:paraId="6BEEE7D3">
      <w:pPr>
        <w:numPr>
          <w:ilvl w:val="0"/>
          <w:numId w:val="8"/>
        </w:numPr>
        <w:spacing w:line="200" w:lineRule="exact"/>
        <w:ind w:firstLine="340" w:firstLineChars="200"/>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14:paraId="5191D4E0">
      <w:pPr>
        <w:numPr>
          <w:ilvl w:val="0"/>
          <w:numId w:val="8"/>
        </w:numPr>
        <w:spacing w:line="200" w:lineRule="exact"/>
        <w:ind w:firstLine="340" w:firstLineChars="20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6902223B">
      <w:pPr>
        <w:numPr>
          <w:ilvl w:val="0"/>
          <w:numId w:val="8"/>
        </w:numPr>
        <w:spacing w:line="200" w:lineRule="exact"/>
        <w:ind w:firstLine="340" w:firstLineChars="20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14:paraId="1E767D04">
      <w:pPr>
        <w:spacing w:line="200" w:lineRule="exact"/>
        <w:ind w:firstLine="340" w:firstLineChars="200"/>
        <w:rPr>
          <w:spacing w:val="10"/>
          <w:sz w:val="15"/>
          <w:szCs w:val="15"/>
        </w:rPr>
      </w:pPr>
      <w:r>
        <w:rPr>
          <w:rFonts w:hint="eastAsia"/>
          <w:b/>
          <w:bCs/>
          <w:spacing w:val="10"/>
          <w:sz w:val="15"/>
          <w:szCs w:val="15"/>
        </w:rPr>
        <w:t>5</w:t>
      </w:r>
      <w:r>
        <w:rPr>
          <w:b/>
          <w:bCs/>
          <w:spacing w:val="10"/>
          <w:sz w:val="15"/>
          <w:szCs w:val="15"/>
        </w:rPr>
        <w:t>.产品认购或申购、赎回</w:t>
      </w:r>
    </w:p>
    <w:p w14:paraId="50803694">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14:paraId="1DC75C54">
      <w:pPr>
        <w:numPr>
          <w:ilvl w:val="0"/>
          <w:numId w:val="9"/>
        </w:numPr>
        <w:spacing w:line="200" w:lineRule="exact"/>
        <w:ind w:firstLine="340" w:firstLineChars="20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14:paraId="77363B73">
      <w:pPr>
        <w:numPr>
          <w:ilvl w:val="0"/>
          <w:numId w:val="9"/>
        </w:numPr>
        <w:spacing w:line="200" w:lineRule="exact"/>
        <w:ind w:firstLine="340" w:firstLineChars="20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14:paraId="2C0FB5D9">
      <w:pPr>
        <w:numPr>
          <w:ilvl w:val="0"/>
          <w:numId w:val="9"/>
        </w:numPr>
        <w:spacing w:line="200" w:lineRule="exact"/>
        <w:ind w:firstLine="340" w:firstLineChars="200"/>
        <w:rPr>
          <w:spacing w:val="10"/>
          <w:sz w:val="15"/>
          <w:szCs w:val="15"/>
        </w:rPr>
      </w:pPr>
      <w:r>
        <w:rPr>
          <w:spacing w:val="10"/>
          <w:sz w:val="15"/>
          <w:szCs w:val="15"/>
        </w:rPr>
        <w:t>理财产品投资品种、投资起点金额、收益支付方式：参照对应期次的《理财产品说明书》中的约定。</w:t>
      </w:r>
    </w:p>
    <w:p w14:paraId="70C413CA">
      <w:pPr>
        <w:numPr>
          <w:ilvl w:val="0"/>
          <w:numId w:val="9"/>
        </w:numPr>
        <w:spacing w:line="200" w:lineRule="exact"/>
        <w:ind w:firstLine="340" w:firstLineChars="20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14:paraId="1ACF0BAE">
      <w:pPr>
        <w:spacing w:line="200" w:lineRule="exact"/>
        <w:ind w:firstLine="340" w:firstLineChars="200"/>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14:paraId="162BEBD0">
      <w:pPr>
        <w:spacing w:line="200" w:lineRule="exact"/>
        <w:ind w:firstLine="300" w:firstLineChars="2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14:paraId="49FB0BC2">
      <w:pPr>
        <w:spacing w:line="200" w:lineRule="exact"/>
        <w:ind w:firstLine="340" w:firstLineChars="200"/>
        <w:rPr>
          <w:b/>
          <w:bCs/>
          <w:spacing w:val="10"/>
          <w:sz w:val="15"/>
          <w:szCs w:val="15"/>
        </w:rPr>
      </w:pPr>
      <w:r>
        <w:rPr>
          <w:rFonts w:hint="eastAsia"/>
          <w:b/>
          <w:bCs/>
          <w:spacing w:val="10"/>
          <w:sz w:val="15"/>
          <w:szCs w:val="15"/>
        </w:rPr>
        <w:t>（1）理财</w:t>
      </w:r>
      <w:r>
        <w:rPr>
          <w:b/>
          <w:bCs/>
          <w:spacing w:val="10"/>
          <w:sz w:val="15"/>
          <w:szCs w:val="15"/>
        </w:rPr>
        <w:t>产品提前终止</w:t>
      </w:r>
    </w:p>
    <w:p w14:paraId="463F741D">
      <w:pPr>
        <w:spacing w:line="200" w:lineRule="exact"/>
        <w:ind w:firstLine="340" w:firstLineChars="200"/>
        <w:rPr>
          <w:bCs/>
          <w:spacing w:val="10"/>
          <w:sz w:val="15"/>
          <w:szCs w:val="15"/>
        </w:rPr>
      </w:pPr>
      <w:r>
        <w:rPr>
          <w:bCs/>
          <w:spacing w:val="10"/>
          <w:sz w:val="15"/>
          <w:szCs w:val="15"/>
        </w:rPr>
        <w:t>在理财产品存续期内，如发生以下事项时，南银理财可对本理财产品行使全部提前终止权：</w:t>
      </w:r>
    </w:p>
    <w:p w14:paraId="21CAA4ED">
      <w:pPr>
        <w:pStyle w:val="6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14:paraId="6A108611">
      <w:pPr>
        <w:pStyle w:val="6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14:paraId="0406D319">
      <w:pPr>
        <w:pStyle w:val="6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14:paraId="56C73EDD">
      <w:pPr>
        <w:pStyle w:val="6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14:paraId="50C2E1AE">
      <w:pPr>
        <w:pStyle w:val="6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14:paraId="6138F87F">
      <w:pPr>
        <w:pStyle w:val="6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14:paraId="59DA0691">
      <w:pPr>
        <w:pStyle w:val="6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14:paraId="3471A236">
      <w:pPr>
        <w:pStyle w:val="6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14:paraId="1F316B25">
      <w:pPr>
        <w:pStyle w:val="61"/>
        <w:numPr>
          <w:ilvl w:val="0"/>
          <w:numId w:val="10"/>
        </w:numPr>
        <w:spacing w:line="200" w:lineRule="exact"/>
        <w:ind w:firstLineChars="0"/>
        <w:rPr>
          <w:bCs/>
          <w:spacing w:val="10"/>
          <w:sz w:val="15"/>
          <w:szCs w:val="15"/>
        </w:rPr>
      </w:pPr>
      <w:r>
        <w:rPr>
          <w:bCs/>
          <w:spacing w:val="10"/>
          <w:sz w:val="15"/>
          <w:szCs w:val="15"/>
        </w:rPr>
        <w:t>南银理财合理认为应该提前终止本理财产品的其他情况。</w:t>
      </w:r>
    </w:p>
    <w:p w14:paraId="7148A6DC">
      <w:pPr>
        <w:pStyle w:val="61"/>
        <w:spacing w:line="200" w:lineRule="exact"/>
        <w:ind w:left="340" w:firstLine="0" w:firstLineChars="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14:paraId="59C72E95">
      <w:pPr>
        <w:spacing w:line="200" w:lineRule="exact"/>
        <w:ind w:firstLine="340" w:firstLineChars="200"/>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14:paraId="146BB022">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14:paraId="4AB2C5BA">
      <w:pPr>
        <w:pStyle w:val="61"/>
        <w:numPr>
          <w:ilvl w:val="0"/>
          <w:numId w:val="11"/>
        </w:numPr>
        <w:spacing w:line="200" w:lineRule="exact"/>
        <w:ind w:firstLineChars="0"/>
        <w:rPr>
          <w:bCs/>
          <w:spacing w:val="10"/>
          <w:sz w:val="15"/>
          <w:szCs w:val="15"/>
        </w:rPr>
      </w:pPr>
      <w:r>
        <w:rPr>
          <w:bCs/>
          <w:spacing w:val="10"/>
          <w:sz w:val="15"/>
          <w:szCs w:val="15"/>
        </w:rPr>
        <w:t>产品到期日遇非工作日，产品到期日顺延至下一工作日；</w:t>
      </w:r>
    </w:p>
    <w:p w14:paraId="3996007B">
      <w:pPr>
        <w:pStyle w:val="6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14:paraId="6AE83400">
      <w:pPr>
        <w:pStyle w:val="6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14:paraId="44812CD8">
      <w:pPr>
        <w:pStyle w:val="6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因不可抗力等原因，导致管理人无法及时收回资金及/或进行理财资金清算分配的；</w:t>
      </w:r>
    </w:p>
    <w:p w14:paraId="54161048">
      <w:pPr>
        <w:pStyle w:val="6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14:paraId="16B5BEA7">
      <w:pPr>
        <w:pStyle w:val="61"/>
        <w:numPr>
          <w:ilvl w:val="0"/>
          <w:numId w:val="11"/>
        </w:numPr>
        <w:spacing w:line="200" w:lineRule="exact"/>
        <w:ind w:firstLineChars="0"/>
        <w:rPr>
          <w:bCs/>
          <w:spacing w:val="10"/>
          <w:sz w:val="15"/>
          <w:szCs w:val="15"/>
        </w:rPr>
      </w:pPr>
      <w:r>
        <w:rPr>
          <w:bCs/>
          <w:spacing w:val="10"/>
          <w:sz w:val="15"/>
          <w:szCs w:val="15"/>
        </w:rPr>
        <w:t>其他管理人认为需要延期的情形；</w:t>
      </w:r>
    </w:p>
    <w:p w14:paraId="3173DEA5">
      <w:pPr>
        <w:pStyle w:val="61"/>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14:paraId="7906D35B">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14:paraId="6E6A8640">
      <w:pPr>
        <w:spacing w:line="200" w:lineRule="exact"/>
        <w:ind w:firstLine="340" w:firstLineChars="20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14:paraId="7E823FEA">
      <w:pPr>
        <w:spacing w:line="200" w:lineRule="exact"/>
        <w:ind w:firstLine="340" w:firstLineChars="200"/>
        <w:rPr>
          <w:b/>
          <w:spacing w:val="10"/>
          <w:sz w:val="15"/>
          <w:szCs w:val="15"/>
        </w:rPr>
      </w:pPr>
      <w:r>
        <w:rPr>
          <w:rFonts w:hint="eastAsia"/>
          <w:b/>
          <w:spacing w:val="10"/>
          <w:sz w:val="15"/>
          <w:szCs w:val="15"/>
        </w:rPr>
        <w:t xml:space="preserve">7.产品资产的清算 </w:t>
      </w:r>
    </w:p>
    <w:p w14:paraId="24CE088A">
      <w:pPr>
        <w:spacing w:line="200" w:lineRule="exact"/>
        <w:ind w:firstLine="340" w:firstLineChars="20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14:paraId="4B8E7DCE">
      <w:pPr>
        <w:spacing w:line="200" w:lineRule="exact"/>
        <w:ind w:firstLine="340" w:firstLineChars="200"/>
        <w:rPr>
          <w:bCs/>
          <w:spacing w:val="10"/>
          <w:sz w:val="15"/>
          <w:szCs w:val="15"/>
        </w:rPr>
      </w:pPr>
      <w:r>
        <w:rPr>
          <w:rFonts w:hint="eastAsia"/>
          <w:bCs/>
          <w:spacing w:val="10"/>
          <w:sz w:val="15"/>
          <w:szCs w:val="15"/>
        </w:rPr>
        <w:t>清算期原则上不得超过5个工作日，因清算期超过5个工作日的，应当在理财产品终止前，将依约定进行公告。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14:paraId="77A6B33B">
      <w:pPr>
        <w:spacing w:line="200" w:lineRule="exact"/>
        <w:ind w:firstLine="340" w:firstLineChars="200"/>
        <w:rPr>
          <w:b/>
          <w:bCs/>
          <w:spacing w:val="10"/>
          <w:sz w:val="15"/>
          <w:szCs w:val="15"/>
        </w:rPr>
      </w:pPr>
      <w:r>
        <w:rPr>
          <w:rFonts w:hint="eastAsia"/>
          <w:b/>
          <w:bCs/>
          <w:spacing w:val="10"/>
          <w:sz w:val="15"/>
          <w:szCs w:val="15"/>
        </w:rPr>
        <w:t>8</w:t>
      </w:r>
      <w:r>
        <w:rPr>
          <w:b/>
          <w:bCs/>
          <w:spacing w:val="10"/>
          <w:sz w:val="15"/>
          <w:szCs w:val="15"/>
        </w:rPr>
        <w:t>.特别提示</w:t>
      </w:r>
    </w:p>
    <w:p w14:paraId="69EE0934">
      <w:pPr>
        <w:spacing w:line="200" w:lineRule="exact"/>
        <w:ind w:firstLine="340" w:firstLineChars="200"/>
        <w:rPr>
          <w:b/>
          <w:spacing w:val="10"/>
          <w:sz w:val="15"/>
          <w:szCs w:val="15"/>
        </w:rPr>
      </w:pPr>
      <w:r>
        <w:rPr>
          <w:b/>
          <w:spacing w:val="10"/>
          <w:sz w:val="15"/>
          <w:szCs w:val="15"/>
        </w:rPr>
        <w:t>在本理财产品存续期内</w:t>
      </w:r>
      <w:r>
        <w:rPr>
          <w:rFonts w:hint="eastAsia"/>
          <w:b/>
          <w:spacing w:val="10"/>
          <w:sz w:val="15"/>
          <w:szCs w:val="15"/>
        </w:rPr>
        <w:t>：</w:t>
      </w:r>
    </w:p>
    <w:p w14:paraId="65DB9923">
      <w:pPr>
        <w:numPr>
          <w:ilvl w:val="0"/>
          <w:numId w:val="12"/>
        </w:numPr>
        <w:spacing w:line="200" w:lineRule="exact"/>
        <w:ind w:firstLine="340" w:firstLineChars="200"/>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14:paraId="32B358C6">
      <w:pPr>
        <w:numPr>
          <w:ilvl w:val="0"/>
          <w:numId w:val="12"/>
        </w:numPr>
        <w:spacing w:line="200" w:lineRule="exact"/>
        <w:ind w:firstLine="340" w:firstLineChars="200"/>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市场情况等发生变化或是出于维护本理财产品正常运营或管理的需要，或基于甲方合理认定的其他情形，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通过短信及南银理财官网等渠道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694EC6D3">
      <w:pPr>
        <w:numPr>
          <w:ilvl w:val="0"/>
          <w:numId w:val="12"/>
        </w:numPr>
        <w:spacing w:line="200" w:lineRule="exact"/>
        <w:ind w:firstLine="340" w:firstLineChars="200"/>
        <w:rPr>
          <w:b/>
          <w:bCs/>
          <w:spacing w:val="10"/>
          <w:sz w:val="15"/>
          <w:szCs w:val="15"/>
        </w:rPr>
      </w:pPr>
      <w:r>
        <w:rPr>
          <w:b/>
          <w:bCs/>
          <w:spacing w:val="10"/>
          <w:sz w:val="15"/>
          <w:szCs w:val="15"/>
        </w:rPr>
        <w:t>免责条款</w:t>
      </w:r>
    </w:p>
    <w:p w14:paraId="4E641093">
      <w:pPr>
        <w:pStyle w:val="61"/>
        <w:numPr>
          <w:ilvl w:val="0"/>
          <w:numId w:val="13"/>
        </w:numPr>
        <w:spacing w:line="200" w:lineRule="exact"/>
        <w:ind w:firstLineChars="0"/>
        <w:rPr>
          <w:b/>
          <w:bCs/>
          <w:spacing w:val="10"/>
          <w:sz w:val="15"/>
          <w:szCs w:val="15"/>
        </w:rPr>
      </w:pPr>
      <w:r>
        <w:rPr>
          <w:b/>
          <w:bCs/>
          <w:spacing w:val="10"/>
          <w:sz w:val="15"/>
          <w:szCs w:val="15"/>
        </w:rPr>
        <w:t>不合法。如果因遵守任何适用法律、法规、条例、规则、规定、裁决、命令或指令</w:t>
      </w:r>
      <w:r>
        <w:rPr>
          <w:rFonts w:hint="eastAsia"/>
          <w:b/>
          <w:bCs/>
          <w:spacing w:val="10"/>
          <w:sz w:val="15"/>
          <w:szCs w:val="15"/>
        </w:rPr>
        <w:t>（</w:t>
      </w:r>
      <w:r>
        <w:rPr>
          <w:b/>
          <w:bCs/>
          <w:spacing w:val="10"/>
          <w:sz w:val="15"/>
          <w:szCs w:val="15"/>
        </w:rPr>
        <w:t>不论是现行或将来实施的</w:t>
      </w:r>
      <w:r>
        <w:rPr>
          <w:rFonts w:hint="eastAsia"/>
          <w:b/>
          <w:bCs/>
          <w:spacing w:val="10"/>
          <w:sz w:val="15"/>
          <w:szCs w:val="15"/>
        </w:rPr>
        <w:t>）</w:t>
      </w:r>
      <w:r>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14:paraId="06B66171">
      <w:pPr>
        <w:pStyle w:val="61"/>
        <w:numPr>
          <w:ilvl w:val="0"/>
          <w:numId w:val="13"/>
        </w:numPr>
        <w:spacing w:line="200" w:lineRule="exact"/>
        <w:ind w:firstLineChars="0"/>
        <w:rPr>
          <w:b/>
          <w:spacing w:val="10"/>
          <w:sz w:val="15"/>
          <w:szCs w:val="15"/>
        </w:rPr>
      </w:pPr>
      <w:r>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內地或全球金融外汇市场发生致使甲方无法进行货币兑换、划转等的异常变化；任何政府机关或其他机关的行为</w:t>
      </w:r>
      <w:r>
        <w:rPr>
          <w:rFonts w:hint="eastAsia"/>
          <w:b/>
          <w:bCs/>
          <w:spacing w:val="10"/>
          <w:sz w:val="15"/>
          <w:szCs w:val="15"/>
        </w:rPr>
        <w:t>（</w:t>
      </w:r>
      <w:r>
        <w:rPr>
          <w:b/>
          <w:bCs/>
          <w:spacing w:val="10"/>
          <w:sz w:val="15"/>
          <w:szCs w:val="15"/>
        </w:rPr>
        <w:t>不论是在法律上或是在事实上</w:t>
      </w:r>
      <w:r>
        <w:rPr>
          <w:rFonts w:hint="eastAsia"/>
          <w:b/>
          <w:bCs/>
          <w:spacing w:val="10"/>
          <w:sz w:val="15"/>
          <w:szCs w:val="15"/>
        </w:rPr>
        <w:t>）</w:t>
      </w:r>
      <w:r>
        <w:rPr>
          <w:b/>
          <w:bCs/>
          <w:spacing w:val="10"/>
          <w:sz w:val="15"/>
          <w:szCs w:val="15"/>
        </w:rPr>
        <w:t>、法律、法规、条例、规则、规定、裁决、命令或指令</w:t>
      </w:r>
      <w:r>
        <w:rPr>
          <w:rFonts w:hint="eastAsia"/>
          <w:b/>
          <w:bCs/>
          <w:spacing w:val="10"/>
          <w:sz w:val="15"/>
          <w:szCs w:val="15"/>
        </w:rPr>
        <w:t>（</w:t>
      </w:r>
      <w:r>
        <w:rPr>
          <w:b/>
          <w:bCs/>
          <w:spacing w:val="10"/>
          <w:sz w:val="15"/>
          <w:szCs w:val="15"/>
        </w:rPr>
        <w:t>包括国有化或对外限制、外汇管制</w:t>
      </w:r>
      <w:r>
        <w:rPr>
          <w:rFonts w:hint="eastAsia"/>
          <w:b/>
          <w:bCs/>
          <w:spacing w:val="10"/>
          <w:sz w:val="15"/>
          <w:szCs w:val="15"/>
        </w:rPr>
        <w:t>）</w:t>
      </w:r>
      <w:r>
        <w:rPr>
          <w:b/>
          <w:bCs/>
          <w:spacing w:val="10"/>
          <w:sz w:val="15"/>
          <w:szCs w:val="15"/>
        </w:rPr>
        <w:t>、诉讼或威胁；因理财产品各方和/或其关联方运营网络系统遭受黑客攻击、电信部门技术调整或故障等原因而造成的理财产品各方和/或其关联方之服务、营业的中断或者延迟;或任何其他非甲方所能控制的情况或原因，导致甲方未能履行或需延迟履行协议项下或与理财产品相关的支付义务，甲方无需对乙方承担任何责任。尤其是，当资金存放在任何</w:t>
      </w:r>
      <w:r>
        <w:rPr>
          <w:rFonts w:hint="eastAsia"/>
          <w:b/>
          <w:bCs/>
          <w:spacing w:val="10"/>
          <w:sz w:val="15"/>
          <w:szCs w:val="15"/>
        </w:rPr>
        <w:t>销售</w:t>
      </w:r>
      <w:r>
        <w:rPr>
          <w:b/>
          <w:bCs/>
          <w:spacing w:val="10"/>
          <w:sz w:val="15"/>
          <w:szCs w:val="15"/>
        </w:rPr>
        <w:t>机构、托管人或代理人处而他们因上述原因被禁止向甲方付款或履行义务时，甲方亦无需向乙方负责。如果在一个支付日发生不可抗力</w:t>
      </w:r>
      <w:r>
        <w:rPr>
          <w:rFonts w:hint="eastAsia"/>
          <w:b/>
          <w:bCs/>
          <w:spacing w:val="10"/>
          <w:sz w:val="15"/>
          <w:szCs w:val="15"/>
        </w:rPr>
        <w:t>（</w:t>
      </w:r>
      <w:r>
        <w:rPr>
          <w:b/>
          <w:bCs/>
          <w:spacing w:val="10"/>
          <w:sz w:val="15"/>
          <w:szCs w:val="15"/>
        </w:rPr>
        <w:t>不论该不可抗力是否持续整个当日</w:t>
      </w:r>
      <w:r>
        <w:rPr>
          <w:rFonts w:hint="eastAsia"/>
          <w:b/>
          <w:bCs/>
          <w:spacing w:val="10"/>
          <w:sz w:val="15"/>
          <w:szCs w:val="15"/>
        </w:rPr>
        <w:t>）</w:t>
      </w:r>
      <w:r>
        <w:rPr>
          <w:b/>
          <w:bCs/>
          <w:spacing w:val="10"/>
          <w:sz w:val="15"/>
          <w:szCs w:val="15"/>
        </w:rPr>
        <w:t>，与理财产品有关的相关回报或赎回金额</w:t>
      </w:r>
      <w:r>
        <w:rPr>
          <w:rFonts w:hint="eastAsia"/>
          <w:b/>
          <w:bCs/>
          <w:spacing w:val="10"/>
          <w:sz w:val="15"/>
          <w:szCs w:val="15"/>
        </w:rPr>
        <w:t>（</w:t>
      </w:r>
      <w:r>
        <w:rPr>
          <w:b/>
          <w:bCs/>
          <w:spacing w:val="10"/>
          <w:sz w:val="15"/>
          <w:szCs w:val="15"/>
        </w:rPr>
        <w:t>视情形而定</w:t>
      </w:r>
      <w:r>
        <w:rPr>
          <w:rFonts w:hint="eastAsia"/>
          <w:b/>
          <w:bCs/>
          <w:spacing w:val="10"/>
          <w:sz w:val="15"/>
          <w:szCs w:val="15"/>
        </w:rPr>
        <w:t>）</w:t>
      </w:r>
      <w:r>
        <w:rPr>
          <w:b/>
          <w:bCs/>
          <w:spacing w:val="10"/>
          <w:sz w:val="15"/>
          <w:szCs w:val="15"/>
        </w:rPr>
        <w:t>的支付将由甲方按完全自行酌情决定顺延至紧临的下一个不存在不可抗力的工作日。乙方将不会因此而收到额外的收益或者补偿。</w:t>
      </w:r>
    </w:p>
    <w:p w14:paraId="20CEBE58">
      <w:pPr>
        <w:pStyle w:val="61"/>
        <w:numPr>
          <w:ilvl w:val="0"/>
          <w:numId w:val="13"/>
        </w:numPr>
        <w:spacing w:line="200" w:lineRule="exact"/>
        <w:ind w:firstLineChars="0"/>
        <w:rPr>
          <w:b/>
          <w:bCs/>
          <w:spacing w:val="10"/>
          <w:sz w:val="15"/>
          <w:szCs w:val="15"/>
        </w:rPr>
      </w:pPr>
      <w:r>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Pr>
          <w:rFonts w:hint="eastAsia"/>
          <w:b/>
          <w:bCs/>
          <w:spacing w:val="10"/>
          <w:sz w:val="15"/>
          <w:szCs w:val="15"/>
        </w:rPr>
        <w:t>乙方承担</w:t>
      </w:r>
      <w:r>
        <w:rPr>
          <w:b/>
          <w:bCs/>
          <w:spacing w:val="10"/>
          <w:sz w:val="15"/>
          <w:szCs w:val="15"/>
        </w:rPr>
        <w:t>由此</w:t>
      </w:r>
      <w:r>
        <w:rPr>
          <w:rFonts w:hint="eastAsia"/>
          <w:b/>
          <w:bCs/>
          <w:spacing w:val="10"/>
          <w:sz w:val="15"/>
          <w:szCs w:val="15"/>
        </w:rPr>
        <w:t>给乙方</w:t>
      </w:r>
      <w:r>
        <w:rPr>
          <w:b/>
          <w:bCs/>
          <w:spacing w:val="10"/>
          <w:sz w:val="15"/>
          <w:szCs w:val="15"/>
        </w:rPr>
        <w:t>造成的任何损失。</w:t>
      </w:r>
    </w:p>
    <w:p w14:paraId="554CE194">
      <w:pPr>
        <w:pStyle w:val="61"/>
        <w:numPr>
          <w:ilvl w:val="0"/>
          <w:numId w:val="13"/>
        </w:numPr>
        <w:spacing w:line="200" w:lineRule="exact"/>
        <w:ind w:firstLineChars="0"/>
        <w:rPr>
          <w:b/>
          <w:bCs/>
          <w:spacing w:val="10"/>
          <w:sz w:val="15"/>
          <w:szCs w:val="15"/>
        </w:rPr>
      </w:pPr>
      <w:r>
        <w:rPr>
          <w:b/>
          <w:bCs/>
          <w:spacing w:val="10"/>
          <w:sz w:val="15"/>
          <w:szCs w:val="15"/>
        </w:rPr>
        <w:t>本理财产品</w:t>
      </w:r>
      <w:r>
        <w:rPr>
          <w:rFonts w:hint="eastAsia"/>
          <w:b/>
          <w:bCs/>
          <w:spacing w:val="10"/>
          <w:sz w:val="15"/>
          <w:szCs w:val="15"/>
        </w:rPr>
        <w:t>销售文件</w:t>
      </w:r>
      <w:r>
        <w:rPr>
          <w:b/>
          <w:bCs/>
          <w:spacing w:val="10"/>
          <w:sz w:val="15"/>
          <w:szCs w:val="15"/>
        </w:rPr>
        <w:t>项下理财业务不受</w:t>
      </w:r>
      <w:r>
        <w:rPr>
          <w:rFonts w:hint="eastAsia"/>
          <w:b/>
          <w:bCs/>
          <w:spacing w:val="10"/>
          <w:sz w:val="15"/>
          <w:szCs w:val="15"/>
        </w:rPr>
        <w:t>销售</w:t>
      </w:r>
      <w:r>
        <w:rPr>
          <w:b/>
          <w:bCs/>
          <w:spacing w:val="10"/>
          <w:sz w:val="15"/>
          <w:szCs w:val="15"/>
        </w:rPr>
        <w:t>机构存款保险机制或其他保障机制保障。</w:t>
      </w:r>
    </w:p>
    <w:p w14:paraId="278E479D">
      <w:pPr>
        <w:numPr>
          <w:ilvl w:val="0"/>
          <w:numId w:val="12"/>
        </w:numPr>
        <w:spacing w:line="200" w:lineRule="exact"/>
        <w:ind w:firstLine="340" w:firstLineChars="200"/>
        <w:rPr>
          <w:spacing w:val="10"/>
          <w:sz w:val="15"/>
          <w:szCs w:val="15"/>
        </w:rPr>
      </w:pPr>
      <w:r>
        <w:rPr>
          <w:bCs/>
          <w:spacing w:val="10"/>
          <w:sz w:val="15"/>
          <w:szCs w:val="15"/>
        </w:rPr>
        <w:t>赔偿</w:t>
      </w:r>
      <w:r>
        <w:rPr>
          <w:spacing w:val="10"/>
          <w:sz w:val="15"/>
          <w:szCs w:val="15"/>
        </w:rPr>
        <w:t>及责任限制</w:t>
      </w:r>
    </w:p>
    <w:p w14:paraId="4731065D">
      <w:pPr>
        <w:spacing w:line="200" w:lineRule="exact"/>
        <w:ind w:firstLine="340" w:firstLineChars="20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14:paraId="54EDF06E">
      <w:pPr>
        <w:spacing w:line="200" w:lineRule="exact"/>
        <w:ind w:firstLine="340" w:firstLineChars="200"/>
        <w:rPr>
          <w:spacing w:val="10"/>
          <w:sz w:val="15"/>
          <w:szCs w:val="15"/>
        </w:rPr>
      </w:pPr>
      <w:r>
        <w:rPr>
          <w:spacing w:val="10"/>
          <w:sz w:val="15"/>
          <w:szCs w:val="15"/>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14:paraId="7D4C3459">
      <w:pPr>
        <w:numPr>
          <w:ilvl w:val="0"/>
          <w:numId w:val="12"/>
        </w:numPr>
        <w:spacing w:line="200" w:lineRule="exact"/>
        <w:ind w:firstLine="340" w:firstLineChars="200"/>
        <w:rPr>
          <w:spacing w:val="10"/>
          <w:sz w:val="15"/>
          <w:szCs w:val="15"/>
        </w:rPr>
      </w:pPr>
      <w:r>
        <w:rPr>
          <w:bCs/>
          <w:spacing w:val="10"/>
          <w:sz w:val="15"/>
          <w:szCs w:val="15"/>
        </w:rPr>
        <w:t>抵销</w:t>
      </w:r>
    </w:p>
    <w:p w14:paraId="64EA269C">
      <w:pPr>
        <w:pStyle w:val="61"/>
        <w:numPr>
          <w:ilvl w:val="0"/>
          <w:numId w:val="14"/>
        </w:numPr>
        <w:spacing w:line="200" w:lineRule="exact"/>
        <w:ind w:firstLineChars="0"/>
        <w:rPr>
          <w:bCs/>
          <w:spacing w:val="10"/>
          <w:sz w:val="15"/>
          <w:szCs w:val="15"/>
        </w:rPr>
      </w:pPr>
      <w:r>
        <w:rPr>
          <w:b/>
          <w:spacing w:val="10"/>
          <w:sz w:val="15"/>
          <w:szCs w:val="15"/>
        </w:rPr>
        <w:t>除享有法律规定的或其他的抵销权利外，甲方有权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进行抵销，而无须事先书面通知乙方或任何其他人员</w:t>
      </w:r>
      <w:r>
        <w:rPr>
          <w:rFonts w:hint="eastAsia"/>
          <w:bCs/>
          <w:spacing w:val="10"/>
          <w:sz w:val="15"/>
          <w:szCs w:val="15"/>
        </w:rPr>
        <w:t>。</w:t>
      </w:r>
    </w:p>
    <w:p w14:paraId="3B36D3B9">
      <w:pPr>
        <w:pStyle w:val="61"/>
        <w:numPr>
          <w:ilvl w:val="0"/>
          <w:numId w:val="14"/>
        </w:numPr>
        <w:spacing w:line="200" w:lineRule="exact"/>
        <w:ind w:firstLineChars="0"/>
        <w:rPr>
          <w:bCs/>
          <w:spacing w:val="10"/>
          <w:sz w:val="15"/>
          <w:szCs w:val="15"/>
        </w:rPr>
      </w:pPr>
      <w:r>
        <w:rPr>
          <w:bCs/>
          <w:spacing w:val="10"/>
          <w:sz w:val="15"/>
          <w:szCs w:val="15"/>
        </w:rPr>
        <w:t>为了对不同货币进行抵销，甲方可在有关日期以甲方所选择适用的市场汇率将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的债务予以兑换。如果债务尚未确定，则甲方可估计该债务的数额后进行抵销，但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14:paraId="5A4ABA94">
      <w:pPr>
        <w:numPr>
          <w:ilvl w:val="0"/>
          <w:numId w:val="12"/>
        </w:numPr>
        <w:spacing w:line="200" w:lineRule="exact"/>
        <w:ind w:firstLine="340" w:firstLineChars="200"/>
        <w:rPr>
          <w:spacing w:val="10"/>
          <w:sz w:val="15"/>
          <w:szCs w:val="15"/>
        </w:rPr>
      </w:pPr>
      <w:r>
        <w:rPr>
          <w:bCs/>
          <w:spacing w:val="10"/>
          <w:sz w:val="15"/>
          <w:szCs w:val="15"/>
        </w:rPr>
        <w:t>弃权</w:t>
      </w:r>
    </w:p>
    <w:p w14:paraId="12E9D658">
      <w:pPr>
        <w:spacing w:line="200" w:lineRule="exact"/>
        <w:ind w:firstLine="340" w:firstLineChars="20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14:paraId="648FADD6">
      <w:pPr>
        <w:numPr>
          <w:ilvl w:val="0"/>
          <w:numId w:val="12"/>
        </w:numPr>
        <w:spacing w:line="200" w:lineRule="exact"/>
        <w:ind w:firstLine="340" w:firstLineChars="200"/>
        <w:rPr>
          <w:spacing w:val="10"/>
          <w:sz w:val="15"/>
          <w:szCs w:val="15"/>
        </w:rPr>
      </w:pPr>
      <w:r>
        <w:rPr>
          <w:spacing w:val="10"/>
          <w:sz w:val="15"/>
          <w:szCs w:val="15"/>
        </w:rPr>
        <w:t>可分割性</w:t>
      </w:r>
    </w:p>
    <w:p w14:paraId="4248C48E">
      <w:pPr>
        <w:spacing w:line="200" w:lineRule="exact"/>
        <w:ind w:firstLine="340" w:firstLineChars="200"/>
        <w:rPr>
          <w:spacing w:val="10"/>
          <w:sz w:val="15"/>
          <w:szCs w:val="15"/>
        </w:rPr>
      </w:pPr>
      <w:r>
        <w:rPr>
          <w:spacing w:val="10"/>
          <w:sz w:val="15"/>
          <w:szCs w:val="15"/>
        </w:rPr>
        <w:t>协议的任何条款在任何方面的非法、无效或不可强制执行，不影响协议的其他条款的合法性、有效性或可强制执行。</w:t>
      </w:r>
    </w:p>
    <w:p w14:paraId="0EE3C6C7">
      <w:pPr>
        <w:numPr>
          <w:ilvl w:val="0"/>
          <w:numId w:val="12"/>
        </w:numPr>
        <w:spacing w:line="200" w:lineRule="exact"/>
        <w:ind w:firstLine="340" w:firstLineChars="200"/>
        <w:rPr>
          <w:spacing w:val="10"/>
          <w:sz w:val="15"/>
          <w:szCs w:val="15"/>
        </w:rPr>
      </w:pPr>
      <w:r>
        <w:rPr>
          <w:spacing w:val="10"/>
          <w:sz w:val="15"/>
          <w:szCs w:val="15"/>
        </w:rPr>
        <w:t>税收条款</w:t>
      </w:r>
    </w:p>
    <w:p w14:paraId="0E04424A">
      <w:pPr>
        <w:spacing w:line="200" w:lineRule="exact"/>
        <w:ind w:firstLine="340" w:firstLineChars="200"/>
        <w:rPr>
          <w:spacing w:val="10"/>
          <w:sz w:val="15"/>
          <w:szCs w:val="15"/>
        </w:rPr>
      </w:pPr>
      <w:r>
        <w:rPr>
          <w:spacing w:val="10"/>
          <w:sz w:val="15"/>
          <w:szCs w:val="15"/>
        </w:rPr>
        <w:t>以对应期次的《理财产品说明书》约定的税务处理方式为准，如遇国家政策调整则相应执行最新政策。</w:t>
      </w:r>
    </w:p>
    <w:p w14:paraId="12FCEE78">
      <w:pPr>
        <w:spacing w:line="200" w:lineRule="exact"/>
        <w:ind w:firstLine="340" w:firstLineChars="200"/>
        <w:rPr>
          <w:spacing w:val="10"/>
          <w:sz w:val="15"/>
          <w:szCs w:val="15"/>
        </w:rPr>
      </w:pPr>
      <w:r>
        <w:rPr>
          <w:rFonts w:hint="eastAsia"/>
          <w:b/>
          <w:bCs/>
          <w:spacing w:val="10"/>
          <w:sz w:val="15"/>
          <w:szCs w:val="15"/>
        </w:rPr>
        <w:t>9</w:t>
      </w:r>
      <w:r>
        <w:rPr>
          <w:b/>
          <w:bCs/>
          <w:spacing w:val="10"/>
          <w:sz w:val="15"/>
          <w:szCs w:val="15"/>
        </w:rPr>
        <w:t>.争议处理</w:t>
      </w:r>
    </w:p>
    <w:p w14:paraId="31801267">
      <w:pPr>
        <w:spacing w:line="200" w:lineRule="exact"/>
        <w:ind w:firstLine="340" w:firstLineChars="200"/>
        <w:rPr>
          <w:spacing w:val="10"/>
          <w:sz w:val="15"/>
          <w:szCs w:val="15"/>
        </w:rPr>
      </w:pPr>
      <w:r>
        <w:rPr>
          <w:spacing w:val="10"/>
          <w:sz w:val="15"/>
          <w:szCs w:val="15"/>
        </w:rPr>
        <w:t>本协议在履行过程中发生争议，可以通过协商解决；协商不成的，任何一方有权向甲方所在地有管辖权的人民法院提起诉讼。</w:t>
      </w:r>
    </w:p>
    <w:p w14:paraId="479DBDCE">
      <w:pPr>
        <w:spacing w:line="200" w:lineRule="exact"/>
        <w:ind w:firstLine="340" w:firstLineChars="200"/>
        <w:rPr>
          <w:b/>
          <w:bCs/>
          <w:spacing w:val="10"/>
          <w:sz w:val="15"/>
          <w:szCs w:val="15"/>
        </w:rPr>
      </w:pPr>
      <w:r>
        <w:rPr>
          <w:rFonts w:hint="eastAsia"/>
          <w:b/>
          <w:bCs/>
          <w:spacing w:val="10"/>
          <w:sz w:val="15"/>
          <w:szCs w:val="15"/>
        </w:rPr>
        <w:t>10</w:t>
      </w:r>
      <w:r>
        <w:rPr>
          <w:b/>
          <w:bCs/>
          <w:spacing w:val="10"/>
          <w:sz w:val="15"/>
          <w:szCs w:val="15"/>
        </w:rPr>
        <w:t>.协议的生效和终止</w:t>
      </w:r>
    </w:p>
    <w:p w14:paraId="531E11B5">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14:paraId="701CC902">
      <w:pPr>
        <w:spacing w:line="200" w:lineRule="exact"/>
        <w:ind w:firstLine="340" w:firstLineChars="20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14:paraId="67E09A63">
      <w:pPr>
        <w:numPr>
          <w:ilvl w:val="0"/>
          <w:numId w:val="15"/>
        </w:numPr>
        <w:spacing w:line="200" w:lineRule="exact"/>
        <w:ind w:firstLine="340" w:firstLineChars="20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14:paraId="2443F65F">
      <w:pPr>
        <w:numPr>
          <w:ilvl w:val="0"/>
          <w:numId w:val="15"/>
        </w:numPr>
        <w:spacing w:line="200" w:lineRule="exact"/>
        <w:ind w:firstLine="340" w:firstLineChars="20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14:paraId="3F04FE33">
      <w:pPr>
        <w:spacing w:line="200" w:lineRule="exact"/>
        <w:ind w:firstLine="340" w:firstLineChars="200"/>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14:paraId="004AC467">
      <w:pPr>
        <w:spacing w:line="200" w:lineRule="exact"/>
        <w:ind w:firstLine="340" w:firstLineChars="200"/>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14:paraId="52B45051">
      <w:pPr>
        <w:spacing w:line="200" w:lineRule="exact"/>
        <w:ind w:firstLine="340" w:firstLineChars="200"/>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14:paraId="6C0D236F">
      <w:pPr>
        <w:spacing w:line="200" w:lineRule="exact"/>
        <w:ind w:firstLine="340" w:firstLineChars="200"/>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乙方签署本协议视为同时同意并确认了对应期次的《理财产品说明书》《理财产品风险揭示书》《投资者权益须知》《理财产品投资协议书》等理财产品销售文件的相关条款。</w:t>
      </w:r>
    </w:p>
    <w:p w14:paraId="29068111">
      <w:pPr>
        <w:spacing w:line="200" w:lineRule="exact"/>
        <w:ind w:firstLine="340" w:firstLineChars="200"/>
        <w:rPr>
          <w:spacing w:val="10"/>
          <w:sz w:val="15"/>
          <w:szCs w:val="15"/>
        </w:rPr>
      </w:pPr>
    </w:p>
    <w:p w14:paraId="3312EE74">
      <w:pPr>
        <w:spacing w:line="200" w:lineRule="exact"/>
        <w:ind w:firstLine="340" w:firstLineChars="200"/>
        <w:rPr>
          <w:spacing w:val="10"/>
          <w:sz w:val="15"/>
          <w:szCs w:val="15"/>
        </w:rPr>
      </w:pPr>
    </w:p>
    <w:tbl>
      <w:tblPr>
        <w:tblStyle w:val="15"/>
        <w:tblW w:w="9525" w:type="dxa"/>
        <w:jc w:val="center"/>
        <w:tblLayout w:type="fixed"/>
        <w:tblCellMar>
          <w:top w:w="0" w:type="dxa"/>
          <w:left w:w="108" w:type="dxa"/>
          <w:bottom w:w="0" w:type="dxa"/>
          <w:right w:w="108" w:type="dxa"/>
        </w:tblCellMar>
      </w:tblPr>
      <w:tblGrid>
        <w:gridCol w:w="4812"/>
        <w:gridCol w:w="4713"/>
      </w:tblGrid>
      <w:tr w14:paraId="2D62D1F8">
        <w:tblPrEx>
          <w:tblCellMar>
            <w:top w:w="0" w:type="dxa"/>
            <w:left w:w="108" w:type="dxa"/>
            <w:bottom w:w="0" w:type="dxa"/>
            <w:right w:w="108" w:type="dxa"/>
          </w:tblCellMar>
        </w:tblPrEx>
        <w:trPr>
          <w:jc w:val="center"/>
        </w:trPr>
        <w:tc>
          <w:tcPr>
            <w:tcW w:w="4812" w:type="dxa"/>
          </w:tcPr>
          <w:p w14:paraId="2706CF8C">
            <w:pPr>
              <w:spacing w:line="200" w:lineRule="exact"/>
              <w:rPr>
                <w:spacing w:val="10"/>
                <w:sz w:val="15"/>
                <w:szCs w:val="15"/>
              </w:rPr>
            </w:pPr>
            <w:r>
              <w:rPr>
                <w:spacing w:val="10"/>
                <w:sz w:val="15"/>
                <w:szCs w:val="15"/>
              </w:rPr>
              <w:t>个人投资者（如适用）：</w:t>
            </w:r>
          </w:p>
        </w:tc>
        <w:tc>
          <w:tcPr>
            <w:tcW w:w="4713" w:type="dxa"/>
          </w:tcPr>
          <w:p w14:paraId="0B53E480">
            <w:pPr>
              <w:spacing w:line="200" w:lineRule="exact"/>
              <w:rPr>
                <w:spacing w:val="10"/>
                <w:sz w:val="15"/>
                <w:szCs w:val="15"/>
              </w:rPr>
            </w:pPr>
            <w:r>
              <w:rPr>
                <w:spacing w:val="10"/>
                <w:sz w:val="15"/>
                <w:szCs w:val="15"/>
              </w:rPr>
              <w:t>机构投资者（如适用）：</w:t>
            </w:r>
          </w:p>
        </w:tc>
      </w:tr>
      <w:tr w14:paraId="26C9116A">
        <w:tblPrEx>
          <w:tblCellMar>
            <w:top w:w="0" w:type="dxa"/>
            <w:left w:w="108" w:type="dxa"/>
            <w:bottom w:w="0" w:type="dxa"/>
            <w:right w:w="108" w:type="dxa"/>
          </w:tblCellMar>
        </w:tblPrEx>
        <w:trPr>
          <w:jc w:val="center"/>
        </w:trPr>
        <w:tc>
          <w:tcPr>
            <w:tcW w:w="4812" w:type="dxa"/>
          </w:tcPr>
          <w:p w14:paraId="64E208D0">
            <w:pPr>
              <w:spacing w:line="200" w:lineRule="exact"/>
              <w:ind w:firstLine="340" w:firstLineChars="200"/>
              <w:rPr>
                <w:spacing w:val="10"/>
                <w:sz w:val="15"/>
                <w:szCs w:val="15"/>
              </w:rPr>
            </w:pPr>
          </w:p>
          <w:p w14:paraId="00BB94EC">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14:paraId="08C76B5B">
            <w:pPr>
              <w:spacing w:line="200" w:lineRule="exact"/>
              <w:ind w:firstLine="680" w:firstLineChars="400"/>
              <w:rPr>
                <w:spacing w:val="10"/>
                <w:sz w:val="15"/>
                <w:szCs w:val="15"/>
              </w:rPr>
            </w:pPr>
          </w:p>
          <w:p w14:paraId="21DB31D1">
            <w:pPr>
              <w:spacing w:line="200" w:lineRule="exact"/>
              <w:ind w:firstLine="850" w:firstLineChars="500"/>
              <w:rPr>
                <w:spacing w:val="10"/>
                <w:sz w:val="15"/>
                <w:szCs w:val="15"/>
              </w:rPr>
            </w:pPr>
          </w:p>
          <w:p w14:paraId="368902E0">
            <w:pPr>
              <w:spacing w:line="200" w:lineRule="exact"/>
              <w:ind w:firstLine="850" w:firstLineChars="500"/>
              <w:rPr>
                <w:spacing w:val="10"/>
                <w:sz w:val="15"/>
                <w:szCs w:val="15"/>
              </w:rPr>
            </w:pPr>
            <w:r>
              <w:rPr>
                <w:spacing w:val="10"/>
                <w:sz w:val="15"/>
                <w:szCs w:val="15"/>
              </w:rPr>
              <w:t>年月日</w:t>
            </w:r>
          </w:p>
        </w:tc>
        <w:tc>
          <w:tcPr>
            <w:tcW w:w="4713" w:type="dxa"/>
          </w:tcPr>
          <w:p w14:paraId="008EA03A">
            <w:pPr>
              <w:spacing w:line="200" w:lineRule="exact"/>
              <w:ind w:firstLine="340" w:firstLineChars="200"/>
              <w:rPr>
                <w:spacing w:val="10"/>
                <w:sz w:val="15"/>
                <w:szCs w:val="15"/>
              </w:rPr>
            </w:pPr>
          </w:p>
          <w:p w14:paraId="7AED8EF2">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14:paraId="55806AFB">
            <w:pPr>
              <w:spacing w:line="200" w:lineRule="exact"/>
              <w:rPr>
                <w:spacing w:val="10"/>
                <w:sz w:val="15"/>
                <w:szCs w:val="15"/>
              </w:rPr>
            </w:pPr>
          </w:p>
          <w:p w14:paraId="62CA4F36">
            <w:pPr>
              <w:spacing w:line="200" w:lineRule="exact"/>
              <w:rPr>
                <w:spacing w:val="10"/>
                <w:sz w:val="15"/>
                <w:szCs w:val="15"/>
              </w:rPr>
            </w:pPr>
          </w:p>
          <w:p w14:paraId="519DBAA4">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14:paraId="4B436DA2">
            <w:pPr>
              <w:spacing w:line="200" w:lineRule="exact"/>
              <w:ind w:firstLine="680" w:firstLineChars="400"/>
              <w:rPr>
                <w:spacing w:val="10"/>
                <w:sz w:val="15"/>
                <w:szCs w:val="15"/>
              </w:rPr>
            </w:pPr>
          </w:p>
          <w:p w14:paraId="7342EA43">
            <w:pPr>
              <w:spacing w:line="200" w:lineRule="exact"/>
              <w:ind w:firstLine="680" w:firstLineChars="400"/>
              <w:rPr>
                <w:spacing w:val="10"/>
                <w:sz w:val="15"/>
                <w:szCs w:val="15"/>
              </w:rPr>
            </w:pPr>
            <w:r>
              <w:rPr>
                <w:spacing w:val="10"/>
                <w:sz w:val="15"/>
                <w:szCs w:val="15"/>
              </w:rPr>
              <w:t>年月日</w:t>
            </w:r>
          </w:p>
        </w:tc>
      </w:tr>
    </w:tbl>
    <w:p w14:paraId="5717FBAD">
      <w:pPr>
        <w:spacing w:line="200" w:lineRule="exact"/>
        <w:rPr>
          <w:spacing w:val="10"/>
          <w:sz w:val="15"/>
          <w:szCs w:val="15"/>
        </w:rPr>
      </w:pPr>
    </w:p>
    <w:p w14:paraId="42739871">
      <w:pPr>
        <w:pStyle w:val="62"/>
        <w:spacing w:line="360" w:lineRule="auto"/>
        <w:ind w:firstLine="0" w:firstLineChars="0"/>
        <w:jc w:val="center"/>
        <w:sectPr>
          <w:headerReference r:id="rId5" w:type="default"/>
          <w:footerReference r:id="rId6" w:type="default"/>
          <w:pgSz w:w="11906" w:h="16838"/>
          <w:pgMar w:top="720" w:right="720" w:bottom="720" w:left="720" w:header="851" w:footer="992" w:gutter="0"/>
          <w:cols w:space="720" w:num="1"/>
          <w:docGrid w:type="lines" w:linePitch="312" w:charSpace="0"/>
        </w:sectPr>
      </w:pPr>
    </w:p>
    <w:p w14:paraId="69F7064B">
      <w:pPr>
        <w:pStyle w:val="62"/>
        <w:spacing w:line="360" w:lineRule="auto"/>
        <w:ind w:firstLine="0" w:firstLineChars="0"/>
        <w:jc w:val="center"/>
        <w:rPr>
          <w:rFonts w:ascii="宋体" w:hAnsi="宋体" w:cs="宋体"/>
          <w:b/>
          <w:sz w:val="22"/>
          <w:szCs w:val="22"/>
        </w:rPr>
      </w:pPr>
      <w:r>
        <w:rPr>
          <w:rFonts w:hint="eastAsia" w:ascii="黑体" w:hAnsi="黑体" w:eastAsia="黑体" w:cs="黑体"/>
          <w:b/>
          <w:kern w:val="0"/>
          <w:sz w:val="24"/>
          <w:szCs w:val="24"/>
        </w:rPr>
        <w:t>理财产品投资协议书</w:t>
      </w:r>
    </w:p>
    <w:p w14:paraId="5CF3BFC8">
      <w:pPr>
        <w:pStyle w:val="62"/>
        <w:spacing w:line="360" w:lineRule="auto"/>
        <w:ind w:firstLine="400"/>
        <w:rPr>
          <w:rFonts w:ascii="宋体" w:hAnsi="宋体" w:cs="宋体"/>
          <w:sz w:val="20"/>
          <w:szCs w:val="21"/>
        </w:rPr>
      </w:pPr>
      <w:r>
        <w:rPr>
          <w:rFonts w:hint="eastAsia" w:ascii="宋体" w:hAnsi="宋体" w:cs="宋体"/>
          <w:sz w:val="20"/>
          <w:szCs w:val="21"/>
        </w:rPr>
        <w:t>经南银理财有限责任公司（下称“甲方”或“理财产品管理人”）与投资者（下称“乙方”）协商一致，就乙方购买的对应期次理财产品投资事宜，达成如下协议：</w:t>
      </w:r>
    </w:p>
    <w:p w14:paraId="56972E0F">
      <w:pPr>
        <w:pStyle w:val="62"/>
        <w:spacing w:line="360" w:lineRule="auto"/>
        <w:ind w:firstLine="442" w:firstLineChars="0"/>
        <w:rPr>
          <w:rFonts w:ascii="宋体" w:hAnsi="宋体" w:cs="宋体"/>
          <w:b/>
          <w:bCs/>
          <w:sz w:val="20"/>
          <w:szCs w:val="21"/>
        </w:rPr>
      </w:pPr>
      <w:r>
        <w:rPr>
          <w:rFonts w:hint="eastAsia" w:ascii="宋体" w:hAnsi="宋体" w:cs="宋体"/>
          <w:b/>
          <w:bCs/>
          <w:sz w:val="20"/>
          <w:szCs w:val="21"/>
        </w:rPr>
        <w:t>一、重要提示</w:t>
      </w:r>
    </w:p>
    <w:p w14:paraId="2A8EDC7F">
      <w:pPr>
        <w:pStyle w:val="62"/>
        <w:spacing w:line="360" w:lineRule="auto"/>
        <w:ind w:firstLine="440" w:firstLineChars="0"/>
        <w:rPr>
          <w:rFonts w:ascii="宋体" w:hAnsi="宋体" w:cs="宋体"/>
          <w:sz w:val="20"/>
          <w:szCs w:val="21"/>
        </w:rPr>
      </w:pPr>
      <w:r>
        <w:rPr>
          <w:rFonts w:hint="eastAsia" w:ascii="宋体" w:hAnsi="宋体" w:cs="宋体"/>
          <w:b/>
          <w:sz w:val="20"/>
          <w:szCs w:val="21"/>
        </w:rPr>
        <w:t>理财非存款、产品有风险、投资须谨慎。</w:t>
      </w:r>
      <w:r>
        <w:rPr>
          <w:rFonts w:hint="eastAsia" w:ascii="宋体" w:hAnsi="宋体" w:cs="宋体"/>
          <w:sz w:val="20"/>
          <w:szCs w:val="21"/>
        </w:rPr>
        <w:t>理财产品面临</w:t>
      </w:r>
      <w:r>
        <w:rPr>
          <w:rFonts w:ascii="宋体" w:hAnsi="宋体" w:cs="宋体"/>
          <w:sz w:val="20"/>
          <w:szCs w:val="21"/>
        </w:rPr>
        <w:t>的风险详见</w:t>
      </w:r>
      <w:r>
        <w:rPr>
          <w:rFonts w:hint="eastAsia" w:ascii="宋体" w:hAnsi="宋体" w:cs="宋体"/>
          <w:sz w:val="20"/>
          <w:szCs w:val="21"/>
        </w:rPr>
        <w:t>对应期次《理财产品风险揭示书》和《理财产品说明书》的详细条款，乙方</w:t>
      </w:r>
      <w:r>
        <w:rPr>
          <w:rFonts w:ascii="宋体" w:hAnsi="宋体" w:cs="宋体"/>
          <w:sz w:val="20"/>
          <w:szCs w:val="21"/>
        </w:rPr>
        <w:t>应</w:t>
      </w:r>
      <w:r>
        <w:rPr>
          <w:rFonts w:hint="eastAsia" w:ascii="宋体" w:hAnsi="宋体" w:cs="宋体"/>
          <w:sz w:val="20"/>
          <w:szCs w:val="21"/>
        </w:rPr>
        <w:t>仔细阅读并充分理解对应期次理财产品可能</w:t>
      </w:r>
      <w:r>
        <w:rPr>
          <w:rFonts w:ascii="宋体" w:hAnsi="宋体" w:cs="宋体"/>
          <w:sz w:val="20"/>
          <w:szCs w:val="21"/>
        </w:rPr>
        <w:t>发生的风险</w:t>
      </w:r>
      <w:r>
        <w:rPr>
          <w:rFonts w:hint="eastAsia" w:ascii="宋体" w:hAnsi="宋体" w:cs="宋体"/>
          <w:sz w:val="20"/>
          <w:szCs w:val="21"/>
        </w:rPr>
        <w:t>。</w:t>
      </w:r>
    </w:p>
    <w:p w14:paraId="2588777D">
      <w:pPr>
        <w:pStyle w:val="62"/>
        <w:spacing w:line="360" w:lineRule="auto"/>
        <w:ind w:firstLine="442" w:firstLineChars="0"/>
        <w:rPr>
          <w:rFonts w:ascii="宋体" w:hAnsi="宋体" w:cs="宋体"/>
          <w:b/>
          <w:bCs/>
          <w:sz w:val="20"/>
          <w:szCs w:val="21"/>
        </w:rPr>
      </w:pPr>
      <w:r>
        <w:rPr>
          <w:rFonts w:hint="eastAsia" w:ascii="宋体" w:hAnsi="宋体" w:cs="宋体"/>
          <w:b/>
          <w:bCs/>
          <w:sz w:val="20"/>
          <w:szCs w:val="21"/>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代理销售）协议书》及《投资者权益须知》等完整理财产品销售文件中的各项条款。</w:t>
      </w:r>
    </w:p>
    <w:p w14:paraId="181D0CA6">
      <w:pPr>
        <w:pStyle w:val="62"/>
        <w:spacing w:line="360" w:lineRule="auto"/>
        <w:ind w:firstLine="402"/>
        <w:rPr>
          <w:rFonts w:ascii="宋体" w:hAnsi="宋体" w:cs="宋体"/>
          <w:b/>
          <w:sz w:val="20"/>
          <w:szCs w:val="21"/>
        </w:rPr>
      </w:pPr>
      <w:r>
        <w:rPr>
          <w:rFonts w:hint="eastAsia" w:ascii="宋体" w:hAnsi="宋体" w:cs="宋体"/>
          <w:b/>
          <w:sz w:val="20"/>
          <w:szCs w:val="21"/>
        </w:rPr>
        <w:t>二、</w:t>
      </w:r>
      <w:r>
        <w:rPr>
          <w:rFonts w:ascii="宋体" w:hAnsi="宋体" w:cs="宋体"/>
          <w:b/>
          <w:sz w:val="20"/>
          <w:szCs w:val="21"/>
        </w:rPr>
        <w:t>双方权利与义务</w:t>
      </w:r>
    </w:p>
    <w:p w14:paraId="3C9DDAD5">
      <w:pPr>
        <w:pStyle w:val="62"/>
        <w:spacing w:line="360" w:lineRule="auto"/>
        <w:ind w:firstLine="400"/>
        <w:rPr>
          <w:rFonts w:ascii="宋体" w:hAnsi="宋体" w:cs="宋体"/>
          <w:sz w:val="20"/>
          <w:szCs w:val="21"/>
        </w:rPr>
      </w:pPr>
      <w:r>
        <w:rPr>
          <w:rFonts w:ascii="宋体" w:hAnsi="宋体" w:cs="宋体"/>
          <w:sz w:val="20"/>
          <w:szCs w:val="21"/>
        </w:rPr>
        <w:t>（</w:t>
      </w:r>
      <w:r>
        <w:rPr>
          <w:rFonts w:hint="eastAsia" w:ascii="宋体" w:hAnsi="宋体" w:cs="宋体"/>
          <w:sz w:val="20"/>
          <w:szCs w:val="21"/>
        </w:rPr>
        <w:t>一</w:t>
      </w:r>
      <w:r>
        <w:rPr>
          <w:rFonts w:ascii="宋体" w:hAnsi="宋体" w:cs="宋体"/>
          <w:sz w:val="20"/>
          <w:szCs w:val="21"/>
        </w:rPr>
        <w:t>）</w:t>
      </w:r>
      <w:r>
        <w:rPr>
          <w:rFonts w:hint="eastAsia" w:ascii="宋体" w:hAnsi="宋体" w:cs="宋体"/>
          <w:sz w:val="20"/>
          <w:szCs w:val="21"/>
        </w:rPr>
        <w:t>甲方的权利与义务</w:t>
      </w:r>
    </w:p>
    <w:p w14:paraId="259C759C">
      <w:pPr>
        <w:pStyle w:val="62"/>
        <w:spacing w:line="360" w:lineRule="auto"/>
        <w:ind w:firstLine="400"/>
        <w:rPr>
          <w:rFonts w:ascii="宋体" w:hAnsi="宋体" w:cs="宋体"/>
          <w:sz w:val="20"/>
          <w:szCs w:val="21"/>
        </w:rPr>
      </w:pPr>
      <w:r>
        <w:rPr>
          <w:rFonts w:hint="eastAsia" w:ascii="宋体" w:hAnsi="宋体" w:cs="宋体"/>
          <w:sz w:val="20"/>
          <w:szCs w:val="21"/>
        </w:rPr>
        <w:t>1.</w:t>
      </w:r>
      <w:r>
        <w:rPr>
          <w:rFonts w:ascii="宋体" w:hAnsi="宋体" w:cs="宋体"/>
          <w:sz w:val="20"/>
          <w:szCs w:val="21"/>
        </w:rPr>
        <w:t>甲方应当履行恪尽职守、勤勉尽责、诚实守信、有效管理的义务。</w:t>
      </w:r>
    </w:p>
    <w:p w14:paraId="727BD188">
      <w:pPr>
        <w:pStyle w:val="62"/>
        <w:spacing w:line="360" w:lineRule="auto"/>
        <w:ind w:firstLine="400"/>
        <w:rPr>
          <w:rFonts w:ascii="宋体" w:hAnsi="宋体" w:cs="宋体"/>
          <w:sz w:val="20"/>
          <w:szCs w:val="21"/>
        </w:rPr>
      </w:pPr>
      <w:r>
        <w:rPr>
          <w:rFonts w:hint="eastAsia" w:ascii="宋体" w:hAnsi="宋体" w:cs="宋体"/>
          <w:sz w:val="20"/>
          <w:szCs w:val="21"/>
        </w:rPr>
        <w:t>2.按照法律法规及</w:t>
      </w:r>
      <w:r>
        <w:rPr>
          <w:rFonts w:ascii="宋体" w:hAnsi="宋体" w:cs="宋体"/>
          <w:sz w:val="20"/>
          <w:szCs w:val="21"/>
        </w:rPr>
        <w:t>对应期次</w:t>
      </w:r>
      <w:r>
        <w:rPr>
          <w:rFonts w:hint="eastAsia" w:ascii="宋体" w:hAnsi="宋体" w:cs="宋体"/>
          <w:sz w:val="20"/>
          <w:szCs w:val="21"/>
        </w:rPr>
        <w:t>《理财产品说明书》</w:t>
      </w:r>
      <w:r>
        <w:rPr>
          <w:rFonts w:ascii="宋体" w:hAnsi="宋体" w:cs="宋体"/>
          <w:sz w:val="20"/>
          <w:szCs w:val="21"/>
        </w:rPr>
        <w:t>约定的投资范围和权限内，甲方拥有管理和运用理财资金的权利。</w:t>
      </w:r>
    </w:p>
    <w:p w14:paraId="57B99047">
      <w:pPr>
        <w:pStyle w:val="62"/>
        <w:spacing w:line="360" w:lineRule="auto"/>
        <w:ind w:firstLine="400"/>
        <w:rPr>
          <w:rFonts w:ascii="宋体" w:hAnsi="宋体" w:cs="宋体"/>
          <w:sz w:val="20"/>
          <w:szCs w:val="21"/>
        </w:rPr>
      </w:pPr>
      <w:r>
        <w:rPr>
          <w:rFonts w:hint="eastAsia" w:ascii="宋体" w:hAnsi="宋体" w:cs="宋体"/>
          <w:sz w:val="20"/>
          <w:szCs w:val="21"/>
        </w:rPr>
        <w:t>3.</w:t>
      </w:r>
      <w:r>
        <w:rPr>
          <w:rFonts w:ascii="宋体" w:hAnsi="宋体" w:cs="宋体"/>
          <w:sz w:val="20"/>
          <w:szCs w:val="21"/>
        </w:rPr>
        <w:t>甲方应当按照对应期次</w:t>
      </w:r>
      <w:r>
        <w:rPr>
          <w:rFonts w:hint="eastAsia" w:ascii="宋体" w:hAnsi="宋体" w:cs="宋体"/>
          <w:sz w:val="20"/>
          <w:szCs w:val="21"/>
        </w:rPr>
        <w:t>《理财产品说明书》的</w:t>
      </w:r>
      <w:r>
        <w:rPr>
          <w:rFonts w:ascii="宋体" w:hAnsi="宋体" w:cs="宋体"/>
          <w:sz w:val="20"/>
          <w:szCs w:val="21"/>
        </w:rPr>
        <w:t>约定向</w:t>
      </w:r>
      <w:r>
        <w:rPr>
          <w:rFonts w:hint="eastAsia" w:ascii="宋体" w:hAnsi="宋体" w:cs="宋体"/>
          <w:sz w:val="20"/>
          <w:szCs w:val="21"/>
        </w:rPr>
        <w:t>乙方</w:t>
      </w:r>
      <w:r>
        <w:rPr>
          <w:rFonts w:ascii="宋体" w:hAnsi="宋体" w:cs="宋体"/>
          <w:sz w:val="20"/>
          <w:szCs w:val="21"/>
        </w:rPr>
        <w:t>分配收益</w:t>
      </w:r>
      <w:r>
        <w:rPr>
          <w:rFonts w:hint="eastAsia" w:ascii="宋体" w:hAnsi="宋体" w:cs="宋体"/>
          <w:sz w:val="20"/>
          <w:szCs w:val="21"/>
        </w:rPr>
        <w:t>。</w:t>
      </w:r>
    </w:p>
    <w:p w14:paraId="5628DA2C">
      <w:pPr>
        <w:pStyle w:val="62"/>
        <w:spacing w:line="360" w:lineRule="auto"/>
        <w:ind w:firstLine="400"/>
        <w:rPr>
          <w:rFonts w:ascii="宋体" w:hAnsi="宋体" w:cs="宋体"/>
          <w:sz w:val="20"/>
          <w:szCs w:val="21"/>
        </w:rPr>
      </w:pPr>
      <w:r>
        <w:rPr>
          <w:rFonts w:hint="eastAsia" w:ascii="宋体" w:hAnsi="宋体" w:cs="宋体"/>
          <w:sz w:val="20"/>
          <w:szCs w:val="21"/>
        </w:rPr>
        <w:t>4.甲方</w:t>
      </w:r>
      <w:r>
        <w:rPr>
          <w:rFonts w:ascii="宋体" w:hAnsi="宋体" w:cs="宋体"/>
          <w:sz w:val="20"/>
          <w:szCs w:val="21"/>
        </w:rPr>
        <w:t>有权按照对应期次《理财产品说明书》的约定收取相应费用。</w:t>
      </w:r>
    </w:p>
    <w:p w14:paraId="1327A756">
      <w:pPr>
        <w:pStyle w:val="62"/>
        <w:spacing w:line="360" w:lineRule="auto"/>
        <w:ind w:firstLine="400"/>
        <w:rPr>
          <w:rFonts w:ascii="宋体" w:hAnsi="宋体" w:cs="宋体"/>
          <w:sz w:val="20"/>
          <w:szCs w:val="21"/>
        </w:rPr>
      </w:pPr>
      <w:r>
        <w:rPr>
          <w:rFonts w:hint="eastAsia" w:ascii="宋体" w:hAnsi="宋体" w:cs="宋体"/>
          <w:sz w:val="20"/>
          <w:szCs w:val="21"/>
        </w:rPr>
        <w:t>5.</w:t>
      </w:r>
      <w:r>
        <w:rPr>
          <w:rFonts w:ascii="宋体" w:hAnsi="宋体" w:cs="宋体"/>
          <w:sz w:val="20"/>
          <w:szCs w:val="21"/>
        </w:rPr>
        <w:t>由于投资管理或者获取投资标的的需要，甲方有权决定以理财产品财产支付</w:t>
      </w:r>
      <w:r>
        <w:rPr>
          <w:rFonts w:hint="eastAsia" w:ascii="宋体" w:hAnsi="宋体" w:cs="宋体"/>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14:paraId="0200B126">
      <w:pPr>
        <w:pStyle w:val="62"/>
        <w:spacing w:line="360" w:lineRule="auto"/>
        <w:ind w:firstLine="400"/>
        <w:rPr>
          <w:rFonts w:ascii="宋体" w:hAnsi="宋体" w:cs="宋体"/>
          <w:b/>
          <w:bCs/>
          <w:sz w:val="20"/>
          <w:szCs w:val="21"/>
        </w:rPr>
      </w:pPr>
      <w:r>
        <w:rPr>
          <w:rFonts w:hint="eastAsia" w:ascii="宋体" w:hAnsi="宋体" w:cs="宋体"/>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14:paraId="2080DC0F">
      <w:pPr>
        <w:pStyle w:val="62"/>
        <w:spacing w:line="360" w:lineRule="auto"/>
        <w:ind w:firstLine="440" w:firstLineChars="0"/>
        <w:rPr>
          <w:rFonts w:ascii="宋体" w:hAnsi="宋体" w:cs="宋体"/>
          <w:sz w:val="20"/>
          <w:szCs w:val="21"/>
        </w:rPr>
      </w:pPr>
      <w:r>
        <w:rPr>
          <w:rFonts w:hint="eastAsia" w:ascii="宋体" w:hAnsi="宋体" w:cs="宋体"/>
          <w:sz w:val="20"/>
          <w:szCs w:val="21"/>
        </w:rPr>
        <w:t>7.</w:t>
      </w:r>
      <w:r>
        <w:rPr>
          <w:rFonts w:ascii="宋体" w:hAnsi="宋体" w:cs="宋体"/>
          <w:sz w:val="20"/>
          <w:szCs w:val="21"/>
        </w:rPr>
        <w:t>甲方有权根据产品运作的需要选任必要的业务合作机构</w:t>
      </w:r>
      <w:r>
        <w:rPr>
          <w:rFonts w:hint="eastAsia" w:ascii="宋体" w:hAnsi="宋体" w:cs="宋体"/>
          <w:sz w:val="20"/>
          <w:szCs w:val="21"/>
        </w:rPr>
        <w:t>，并确定合作模式等相关内容。</w:t>
      </w:r>
    </w:p>
    <w:p w14:paraId="32DAD261">
      <w:pPr>
        <w:pStyle w:val="62"/>
        <w:spacing w:line="360" w:lineRule="auto"/>
        <w:ind w:firstLine="440" w:firstLineChars="0"/>
        <w:rPr>
          <w:rFonts w:ascii="宋体" w:hAnsi="宋体" w:cs="宋体"/>
          <w:b/>
          <w:bCs/>
          <w:sz w:val="20"/>
          <w:szCs w:val="21"/>
        </w:rPr>
      </w:pPr>
      <w:r>
        <w:rPr>
          <w:rFonts w:hint="eastAsia" w:ascii="宋体" w:hAnsi="宋体" w:cs="宋体"/>
          <w:sz w:val="20"/>
          <w:szCs w:val="21"/>
        </w:rPr>
        <w:t>8.</w:t>
      </w:r>
      <w:r>
        <w:rPr>
          <w:rFonts w:hint="eastAsia" w:ascii="宋体" w:hAnsi="宋体" w:cs="宋体"/>
          <w:b/>
          <w:bCs/>
          <w:sz w:val="20"/>
          <w:szCs w:val="21"/>
        </w:rPr>
        <w:t>在本理财产品存续期内：</w:t>
      </w:r>
    </w:p>
    <w:p w14:paraId="049AE263">
      <w:pPr>
        <w:pStyle w:val="62"/>
        <w:spacing w:line="360" w:lineRule="auto"/>
        <w:ind w:firstLine="440" w:firstLineChars="0"/>
        <w:rPr>
          <w:rFonts w:ascii="宋体" w:hAnsi="宋体" w:cs="宋体"/>
          <w:b/>
          <w:bCs/>
          <w:sz w:val="20"/>
          <w:szCs w:val="21"/>
        </w:rPr>
      </w:pPr>
      <w:r>
        <w:rPr>
          <w:rFonts w:hint="eastAsia" w:ascii="宋体" w:hAnsi="宋体" w:cs="宋体"/>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31A0D100">
      <w:pPr>
        <w:pStyle w:val="62"/>
        <w:spacing w:line="360" w:lineRule="auto"/>
        <w:ind w:firstLine="440" w:firstLineChars="0"/>
        <w:rPr>
          <w:rFonts w:ascii="宋体" w:hAnsi="宋体" w:cs="宋体"/>
          <w:b/>
          <w:bCs/>
          <w:sz w:val="20"/>
          <w:szCs w:val="21"/>
        </w:rPr>
      </w:pPr>
      <w:r>
        <w:rPr>
          <w:rFonts w:hint="eastAsia" w:ascii="宋体" w:hAnsi="宋体" w:cs="宋体"/>
          <w:b/>
          <w:bCs/>
          <w:sz w:val="20"/>
          <w:szCs w:val="21"/>
        </w:rPr>
        <w:t>（2）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560C74F0">
      <w:pPr>
        <w:pStyle w:val="62"/>
        <w:spacing w:line="360" w:lineRule="auto"/>
        <w:ind w:firstLine="440" w:firstLineChars="0"/>
        <w:rPr>
          <w:rFonts w:ascii="宋体" w:hAnsi="宋体" w:cs="宋体"/>
          <w:b/>
          <w:bCs/>
          <w:sz w:val="20"/>
          <w:szCs w:val="21"/>
        </w:rPr>
      </w:pPr>
      <w:r>
        <w:rPr>
          <w:rFonts w:hint="eastAsia" w:ascii="宋体" w:hAnsi="宋体" w:cs="宋体"/>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14:paraId="42704164">
      <w:pPr>
        <w:pStyle w:val="62"/>
        <w:spacing w:line="360" w:lineRule="auto"/>
        <w:ind w:firstLine="440" w:firstLineChars="0"/>
        <w:rPr>
          <w:rFonts w:ascii="宋体" w:hAnsi="宋体" w:cs="宋体"/>
          <w:sz w:val="20"/>
          <w:szCs w:val="21"/>
        </w:rPr>
      </w:pPr>
      <w:r>
        <w:rPr>
          <w:rFonts w:hint="eastAsia" w:ascii="宋体" w:hAnsi="宋体" w:cs="宋体"/>
          <w:sz w:val="20"/>
          <w:szCs w:val="21"/>
        </w:rPr>
        <w:t>10.法律法规规定或理财产品销售文件约定的其它权利及义务。</w:t>
      </w:r>
    </w:p>
    <w:p w14:paraId="4953EB3F">
      <w:pPr>
        <w:pStyle w:val="62"/>
        <w:spacing w:line="360" w:lineRule="auto"/>
        <w:ind w:firstLine="400"/>
        <w:rPr>
          <w:rFonts w:ascii="宋体" w:hAnsi="宋体" w:cs="宋体"/>
          <w:sz w:val="20"/>
          <w:szCs w:val="21"/>
        </w:rPr>
      </w:pPr>
      <w:r>
        <w:rPr>
          <w:rFonts w:hint="eastAsia" w:ascii="宋体" w:hAnsi="宋体" w:cs="宋体"/>
          <w:sz w:val="20"/>
          <w:szCs w:val="21"/>
        </w:rPr>
        <w:t>（二）乙方的权利与义务</w:t>
      </w:r>
    </w:p>
    <w:p w14:paraId="691AF1D1">
      <w:pPr>
        <w:pStyle w:val="62"/>
        <w:spacing w:line="360" w:lineRule="auto"/>
        <w:ind w:firstLine="440" w:firstLineChars="0"/>
        <w:rPr>
          <w:rFonts w:ascii="宋体" w:hAnsi="宋体" w:cs="宋体"/>
          <w:sz w:val="20"/>
          <w:szCs w:val="21"/>
        </w:rPr>
      </w:pPr>
      <w:r>
        <w:rPr>
          <w:rFonts w:hint="eastAsia" w:ascii="宋体" w:hAnsi="宋体" w:cs="宋体"/>
          <w:sz w:val="20"/>
          <w:szCs w:val="21"/>
        </w:rPr>
        <w:t>1.</w:t>
      </w:r>
      <w:r>
        <w:rPr>
          <w:rFonts w:ascii="宋体" w:hAnsi="宋体" w:cs="宋体"/>
          <w:sz w:val="20"/>
          <w:szCs w:val="21"/>
        </w:rPr>
        <w:t>乙方保证具有完全民事行为能力，</w:t>
      </w:r>
      <w:r>
        <w:rPr>
          <w:rFonts w:hint="eastAsia" w:ascii="宋体" w:hAnsi="宋体" w:cs="宋体"/>
          <w:sz w:val="20"/>
          <w:szCs w:val="21"/>
        </w:rPr>
        <w:t>有完全适当的资格与能力订立并履行本协议。</w:t>
      </w:r>
    </w:p>
    <w:p w14:paraId="175142D5">
      <w:pPr>
        <w:pStyle w:val="62"/>
        <w:spacing w:line="360" w:lineRule="auto"/>
        <w:ind w:firstLine="440" w:firstLineChars="0"/>
        <w:rPr>
          <w:rFonts w:ascii="宋体" w:hAnsi="宋体" w:cs="宋体"/>
          <w:sz w:val="20"/>
          <w:szCs w:val="21"/>
        </w:rPr>
      </w:pPr>
      <w:r>
        <w:rPr>
          <w:rFonts w:hint="eastAsia" w:ascii="宋体" w:hAnsi="宋体" w:cs="宋体"/>
          <w:sz w:val="20"/>
          <w:szCs w:val="21"/>
        </w:rPr>
        <w:t>2.</w:t>
      </w:r>
      <w:r>
        <w:rPr>
          <w:rFonts w:ascii="宋体" w:hAnsi="宋体" w:cs="宋体"/>
          <w:sz w:val="20"/>
          <w:szCs w:val="21"/>
        </w:rPr>
        <w:t>乙方能够自行识别、判断和承担理财产品的相关风险；不存在法律法规、有权机关或主管机关禁止或限制</w:t>
      </w:r>
      <w:r>
        <w:rPr>
          <w:rFonts w:hint="eastAsia" w:ascii="宋体" w:hAnsi="宋体" w:cs="宋体"/>
          <w:sz w:val="20"/>
          <w:szCs w:val="21"/>
        </w:rPr>
        <w:t>购买</w:t>
      </w:r>
      <w:r>
        <w:rPr>
          <w:rFonts w:ascii="宋体" w:hAnsi="宋体" w:cs="宋体"/>
          <w:sz w:val="20"/>
          <w:szCs w:val="21"/>
        </w:rPr>
        <w:t>理财产品的各种情形。乙方按其</w:t>
      </w:r>
      <w:r>
        <w:rPr>
          <w:rFonts w:hint="eastAsia" w:ascii="宋体" w:hAnsi="宋体" w:cs="宋体"/>
          <w:sz w:val="20"/>
          <w:szCs w:val="21"/>
        </w:rPr>
        <w:t>购买</w:t>
      </w:r>
      <w:r>
        <w:rPr>
          <w:rFonts w:ascii="宋体" w:hAnsi="宋体" w:cs="宋体"/>
          <w:sz w:val="20"/>
          <w:szCs w:val="21"/>
        </w:rPr>
        <w:t>金额在</w:t>
      </w:r>
      <w:r>
        <w:rPr>
          <w:rFonts w:hint="eastAsia" w:ascii="宋体" w:hAnsi="宋体" w:cs="宋体"/>
          <w:sz w:val="20"/>
          <w:szCs w:val="21"/>
        </w:rPr>
        <w:t>对应期次</w:t>
      </w:r>
      <w:r>
        <w:rPr>
          <w:rFonts w:ascii="宋体" w:hAnsi="宋体" w:cs="宋体"/>
          <w:sz w:val="20"/>
          <w:szCs w:val="21"/>
        </w:rPr>
        <w:t>理财协议中享有相应的权利，承担相应的义务和风险。</w:t>
      </w:r>
    </w:p>
    <w:p w14:paraId="22F8EDD5">
      <w:pPr>
        <w:pStyle w:val="62"/>
        <w:spacing w:line="360" w:lineRule="auto"/>
        <w:ind w:firstLine="400"/>
        <w:rPr>
          <w:rFonts w:ascii="宋体" w:hAnsi="宋体" w:cs="宋体"/>
          <w:sz w:val="20"/>
          <w:szCs w:val="21"/>
        </w:rPr>
      </w:pPr>
      <w:r>
        <w:rPr>
          <w:rFonts w:ascii="宋体" w:hAnsi="宋体" w:cs="宋体"/>
          <w:sz w:val="20"/>
          <w:szCs w:val="21"/>
        </w:rPr>
        <w:t>3</w:t>
      </w:r>
      <w:r>
        <w:rPr>
          <w:rFonts w:hint="eastAsia" w:ascii="宋体" w:hAnsi="宋体" w:cs="宋体"/>
          <w:sz w:val="20"/>
          <w:szCs w:val="21"/>
        </w:rPr>
        <w:t>.</w:t>
      </w:r>
      <w:r>
        <w:rPr>
          <w:rFonts w:ascii="宋体" w:hAnsi="宋体" w:cs="宋体"/>
          <w:sz w:val="20"/>
          <w:szCs w:val="21"/>
        </w:rPr>
        <w:t>乙方自愿</w:t>
      </w:r>
      <w:r>
        <w:rPr>
          <w:rFonts w:hint="eastAsia" w:ascii="宋体" w:hAnsi="宋体" w:cs="宋体"/>
          <w:sz w:val="20"/>
          <w:szCs w:val="21"/>
        </w:rPr>
        <w:t>购买</w:t>
      </w:r>
      <w:r>
        <w:rPr>
          <w:rFonts w:ascii="宋体" w:hAnsi="宋体" w:cs="宋体"/>
          <w:sz w:val="20"/>
          <w:szCs w:val="21"/>
        </w:rPr>
        <w:t>甲方管理的理财产品，接受甲方提供的投资理财服务。</w:t>
      </w:r>
      <w:r>
        <w:rPr>
          <w:rFonts w:hint="eastAsia" w:ascii="宋体" w:hAnsi="宋体" w:cs="宋体"/>
          <w:sz w:val="20"/>
          <w:szCs w:val="21"/>
        </w:rPr>
        <w:t>甲方向乙方提供的市场分析和预测（如有）仅供参考，乙方据此做出的任何决策均出于乙方自身的判断，甲方不承担任何责任。</w:t>
      </w:r>
    </w:p>
    <w:p w14:paraId="7759D2D5">
      <w:pPr>
        <w:pStyle w:val="62"/>
        <w:spacing w:line="360" w:lineRule="auto"/>
        <w:ind w:firstLine="400"/>
        <w:rPr>
          <w:rFonts w:ascii="宋体" w:hAnsi="宋体" w:cs="宋体"/>
          <w:sz w:val="20"/>
          <w:szCs w:val="21"/>
        </w:rPr>
      </w:pPr>
      <w:r>
        <w:rPr>
          <w:rFonts w:hint="eastAsia" w:ascii="宋体" w:hAnsi="宋体" w:cs="宋体"/>
          <w:sz w:val="20"/>
          <w:szCs w:val="21"/>
        </w:rPr>
        <w:t>4.</w:t>
      </w:r>
      <w:r>
        <w:rPr>
          <w:rFonts w:ascii="宋体" w:hAnsi="宋体" w:cs="宋体"/>
          <w:sz w:val="20"/>
          <w:szCs w:val="21"/>
        </w:rPr>
        <w:t>乙方已仔细阅读</w:t>
      </w:r>
      <w:r>
        <w:rPr>
          <w:rFonts w:hint="eastAsia" w:ascii="宋体" w:hAnsi="宋体" w:cs="宋体"/>
          <w:sz w:val="20"/>
          <w:szCs w:val="21"/>
        </w:rPr>
        <w:t>《投资者权益须知》</w:t>
      </w:r>
      <w:r>
        <w:rPr>
          <w:rFonts w:ascii="宋体" w:hAnsi="宋体" w:cs="宋体"/>
          <w:sz w:val="20"/>
          <w:szCs w:val="21"/>
        </w:rPr>
        <w:t>《理财产品说明书》</w:t>
      </w:r>
      <w:r>
        <w:rPr>
          <w:rFonts w:hint="eastAsia" w:ascii="宋体" w:hAnsi="宋体" w:cs="宋体"/>
          <w:sz w:val="20"/>
          <w:szCs w:val="21"/>
        </w:rPr>
        <w:t>并清楚知晓其内容，接受并签署《理财产品风险揭示书》《</w:t>
      </w:r>
      <w:r>
        <w:rPr>
          <w:rFonts w:ascii="宋体" w:hAnsi="宋体" w:cs="宋体"/>
          <w:sz w:val="20"/>
          <w:szCs w:val="21"/>
        </w:rPr>
        <w:t>理财产品销售协议书》</w:t>
      </w:r>
      <w:r>
        <w:rPr>
          <w:rFonts w:hint="eastAsia" w:ascii="宋体" w:hAnsi="宋体" w:cs="宋体"/>
          <w:sz w:val="20"/>
          <w:szCs w:val="21"/>
        </w:rPr>
        <w:t>和本协议。</w:t>
      </w:r>
    </w:p>
    <w:p w14:paraId="259BEB2C">
      <w:pPr>
        <w:pStyle w:val="62"/>
        <w:spacing w:line="360" w:lineRule="auto"/>
        <w:ind w:firstLine="440" w:firstLineChars="0"/>
        <w:rPr>
          <w:rFonts w:ascii="宋体" w:hAnsi="宋体" w:cs="宋体"/>
          <w:sz w:val="20"/>
          <w:szCs w:val="21"/>
        </w:rPr>
      </w:pPr>
      <w:r>
        <w:rPr>
          <w:rFonts w:hint="eastAsia" w:ascii="宋体" w:hAnsi="宋体" w:cs="宋体"/>
          <w:sz w:val="20"/>
          <w:szCs w:val="21"/>
        </w:rPr>
        <w:t>5.乙方</w:t>
      </w:r>
      <w:r>
        <w:rPr>
          <w:rFonts w:ascii="宋体" w:hAnsi="宋体" w:cs="宋体"/>
          <w:sz w:val="20"/>
          <w:szCs w:val="21"/>
        </w:rPr>
        <w:t>已充分知悉</w:t>
      </w:r>
      <w:r>
        <w:rPr>
          <w:rFonts w:hint="eastAsia" w:ascii="宋体" w:hAnsi="宋体" w:cs="宋体"/>
          <w:sz w:val="20"/>
          <w:szCs w:val="21"/>
        </w:rPr>
        <w:t>对应期次</w:t>
      </w:r>
      <w:r>
        <w:rPr>
          <w:rFonts w:ascii="宋体" w:hAnsi="宋体" w:cs="宋体"/>
          <w:sz w:val="20"/>
          <w:szCs w:val="21"/>
        </w:rPr>
        <w:t>理财产品风险等级</w:t>
      </w:r>
      <w:r>
        <w:rPr>
          <w:rFonts w:hint="eastAsia" w:ascii="宋体" w:hAnsi="宋体" w:cs="宋体"/>
          <w:sz w:val="20"/>
          <w:szCs w:val="21"/>
        </w:rPr>
        <w:t>（该产品通过代理销售机构渠道销售的，理财产品评级应当以代理销售机构最终披露的评级结果为准）</w:t>
      </w:r>
      <w:r>
        <w:rPr>
          <w:rFonts w:ascii="宋体" w:hAnsi="宋体" w:cs="宋体"/>
          <w:sz w:val="20"/>
          <w:szCs w:val="21"/>
        </w:rPr>
        <w:t>，并确定以相应理财资金</w:t>
      </w:r>
      <w:r>
        <w:rPr>
          <w:rFonts w:hint="eastAsia" w:ascii="宋体" w:hAnsi="宋体" w:cs="宋体"/>
          <w:sz w:val="20"/>
          <w:szCs w:val="21"/>
        </w:rPr>
        <w:t>购买对应期次</w:t>
      </w:r>
      <w:r>
        <w:rPr>
          <w:rFonts w:ascii="宋体" w:hAnsi="宋体" w:cs="宋体"/>
          <w:sz w:val="20"/>
          <w:szCs w:val="21"/>
        </w:rPr>
        <w:t>理财产品，乙方承诺由此产生的相关风险由其自身承担。</w:t>
      </w:r>
    </w:p>
    <w:p w14:paraId="18201000">
      <w:pPr>
        <w:pStyle w:val="62"/>
        <w:spacing w:line="360" w:lineRule="auto"/>
        <w:ind w:firstLine="442" w:firstLineChars="0"/>
        <w:rPr>
          <w:rFonts w:ascii="宋体" w:hAnsi="宋体" w:cs="宋体"/>
          <w:b/>
          <w:bCs/>
          <w:sz w:val="20"/>
          <w:szCs w:val="21"/>
        </w:rPr>
      </w:pPr>
      <w:r>
        <w:rPr>
          <w:rFonts w:hint="eastAsia" w:ascii="宋体" w:hAnsi="宋体" w:cs="宋体"/>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14:paraId="739D00D0">
      <w:pPr>
        <w:pStyle w:val="62"/>
        <w:spacing w:line="360" w:lineRule="auto"/>
        <w:ind w:firstLine="442" w:firstLineChars="0"/>
        <w:rPr>
          <w:rFonts w:ascii="宋体" w:hAnsi="宋体" w:cs="宋体"/>
          <w:b/>
          <w:bCs/>
          <w:sz w:val="20"/>
          <w:szCs w:val="21"/>
        </w:rPr>
      </w:pPr>
      <w:r>
        <w:rPr>
          <w:rFonts w:hint="eastAsia" w:ascii="宋体" w:hAnsi="宋体" w:cs="宋体"/>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14:paraId="4FF8C260">
      <w:pPr>
        <w:pStyle w:val="62"/>
        <w:spacing w:line="360" w:lineRule="auto"/>
        <w:ind w:firstLine="440" w:firstLineChars="0"/>
        <w:rPr>
          <w:rFonts w:ascii="宋体" w:hAnsi="宋体" w:cs="宋体"/>
          <w:b/>
          <w:bCs/>
          <w:sz w:val="20"/>
          <w:szCs w:val="21"/>
        </w:rPr>
      </w:pPr>
      <w:r>
        <w:rPr>
          <w:rFonts w:ascii="宋体" w:hAnsi="宋体" w:cs="宋体"/>
          <w:b/>
          <w:bCs/>
          <w:sz w:val="20"/>
          <w:szCs w:val="21"/>
        </w:rPr>
        <w:t>8</w:t>
      </w:r>
      <w:r>
        <w:rPr>
          <w:rFonts w:hint="eastAsia" w:ascii="宋体" w:hAnsi="宋体" w:cs="宋体"/>
          <w:sz w:val="20"/>
          <w:szCs w:val="21"/>
        </w:rPr>
        <w:t>.</w:t>
      </w:r>
      <w:r>
        <w:rPr>
          <w:rFonts w:hint="eastAsia" w:ascii="宋体" w:hAnsi="宋体" w:cs="宋体"/>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14:paraId="14D1B944">
      <w:pPr>
        <w:pStyle w:val="62"/>
        <w:spacing w:line="360" w:lineRule="auto"/>
        <w:ind w:firstLine="442" w:firstLineChars="0"/>
        <w:rPr>
          <w:rFonts w:ascii="宋体" w:hAnsi="宋体" w:cs="宋体"/>
          <w:b/>
          <w:bCs/>
          <w:sz w:val="20"/>
          <w:szCs w:val="21"/>
        </w:rPr>
      </w:pPr>
      <w:r>
        <w:rPr>
          <w:rFonts w:hint="eastAsia" w:ascii="宋体" w:hAnsi="宋体" w:cs="宋体"/>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7EE438BF">
      <w:pPr>
        <w:pStyle w:val="62"/>
        <w:spacing w:line="360" w:lineRule="auto"/>
        <w:ind w:firstLine="442" w:firstLineChars="0"/>
        <w:rPr>
          <w:rFonts w:ascii="宋体" w:hAnsi="宋体" w:cs="宋体"/>
          <w:b/>
          <w:bCs/>
          <w:sz w:val="20"/>
          <w:szCs w:val="21"/>
        </w:rPr>
      </w:pPr>
      <w:r>
        <w:rPr>
          <w:rFonts w:hint="eastAsia" w:ascii="宋体" w:hAnsi="宋体" w:cs="宋体"/>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14:paraId="14A7C803">
      <w:pPr>
        <w:pStyle w:val="62"/>
        <w:spacing w:line="360" w:lineRule="auto"/>
        <w:ind w:firstLine="440" w:firstLineChars="0"/>
        <w:rPr>
          <w:rFonts w:ascii="宋体" w:hAnsi="宋体" w:cs="宋体"/>
          <w:sz w:val="20"/>
          <w:szCs w:val="21"/>
        </w:rPr>
      </w:pPr>
      <w:r>
        <w:rPr>
          <w:rFonts w:hint="eastAsia" w:ascii="宋体" w:hAnsi="宋体" w:cs="宋体"/>
          <w:sz w:val="20"/>
          <w:szCs w:val="21"/>
        </w:rPr>
        <w:t>11.法律法规规定或理财产品销售文件约定的其它权利及义务。</w:t>
      </w:r>
    </w:p>
    <w:p w14:paraId="1E54C1B9">
      <w:pPr>
        <w:pStyle w:val="62"/>
        <w:spacing w:line="360" w:lineRule="auto"/>
        <w:ind w:firstLine="402"/>
        <w:rPr>
          <w:rFonts w:ascii="宋体" w:hAnsi="宋体" w:cs="宋体"/>
          <w:b/>
          <w:sz w:val="20"/>
          <w:szCs w:val="21"/>
        </w:rPr>
      </w:pPr>
      <w:r>
        <w:rPr>
          <w:rFonts w:hint="eastAsia" w:ascii="宋体" w:hAnsi="宋体" w:cs="宋体"/>
          <w:b/>
          <w:sz w:val="20"/>
          <w:szCs w:val="21"/>
        </w:rPr>
        <w:t>三、协议的生效和终止</w:t>
      </w:r>
    </w:p>
    <w:p w14:paraId="475FA4B0">
      <w:pPr>
        <w:pStyle w:val="62"/>
        <w:spacing w:line="360" w:lineRule="auto"/>
        <w:ind w:firstLine="400"/>
        <w:rPr>
          <w:rFonts w:ascii="宋体" w:hAnsi="宋体" w:cs="宋体"/>
          <w:sz w:val="20"/>
          <w:szCs w:val="21"/>
        </w:rPr>
      </w:pPr>
      <w:r>
        <w:rPr>
          <w:rFonts w:hint="eastAsia" w:ascii="宋体" w:hAnsi="宋体" w:cs="宋体"/>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14:paraId="67448D71">
      <w:pPr>
        <w:pStyle w:val="62"/>
        <w:spacing w:line="360" w:lineRule="auto"/>
        <w:ind w:firstLine="400"/>
        <w:rPr>
          <w:rFonts w:ascii="宋体" w:hAnsi="宋体" w:cs="宋体"/>
          <w:sz w:val="20"/>
          <w:szCs w:val="21"/>
        </w:rPr>
      </w:pPr>
      <w:r>
        <w:rPr>
          <w:rFonts w:hint="eastAsia" w:ascii="宋体" w:hAnsi="宋体" w:cs="宋体"/>
          <w:sz w:val="20"/>
          <w:szCs w:val="21"/>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14:paraId="4D848278">
      <w:pPr>
        <w:pStyle w:val="62"/>
        <w:spacing w:line="360" w:lineRule="auto"/>
        <w:ind w:firstLine="400"/>
        <w:rPr>
          <w:rFonts w:ascii="宋体" w:hAnsi="宋体" w:cs="宋体"/>
          <w:sz w:val="20"/>
          <w:szCs w:val="21"/>
        </w:rPr>
      </w:pPr>
      <w:r>
        <w:rPr>
          <w:rFonts w:hint="eastAsia" w:ascii="宋体" w:hAnsi="宋体" w:cs="宋体"/>
          <w:sz w:val="20"/>
          <w:szCs w:val="21"/>
        </w:rPr>
        <w:t>（三）乙方购买理财产品失败、甲方提前终止对应期次理财产品以及对应期次理财产品到期并结清后，本协议自动终止。</w:t>
      </w:r>
    </w:p>
    <w:p w14:paraId="02C93B36">
      <w:pPr>
        <w:pStyle w:val="62"/>
        <w:spacing w:line="360" w:lineRule="auto"/>
        <w:ind w:firstLine="402"/>
        <w:rPr>
          <w:rFonts w:ascii="宋体" w:hAnsi="宋体" w:cs="宋体"/>
          <w:b/>
          <w:bCs/>
          <w:sz w:val="20"/>
          <w:szCs w:val="21"/>
        </w:rPr>
      </w:pPr>
      <w:r>
        <w:rPr>
          <w:rFonts w:hint="eastAsia" w:ascii="宋体" w:hAnsi="宋体" w:cs="宋体"/>
          <w:b/>
          <w:bCs/>
          <w:sz w:val="20"/>
          <w:szCs w:val="21"/>
        </w:rPr>
        <w:t>四、不可抗力及其他免责条款</w:t>
      </w:r>
    </w:p>
    <w:p w14:paraId="2B9189C4">
      <w:pPr>
        <w:pStyle w:val="62"/>
        <w:spacing w:line="360" w:lineRule="auto"/>
        <w:ind w:firstLine="402"/>
        <w:rPr>
          <w:rFonts w:ascii="宋体" w:hAnsi="宋体" w:cs="宋体"/>
          <w:b/>
          <w:sz w:val="20"/>
          <w:szCs w:val="21"/>
        </w:rPr>
      </w:pPr>
      <w:r>
        <w:rPr>
          <w:rFonts w:hint="eastAsia" w:ascii="宋体" w:hAnsi="宋体" w:cs="宋体"/>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14:paraId="219BD8CA">
      <w:pPr>
        <w:pStyle w:val="62"/>
        <w:spacing w:line="360" w:lineRule="auto"/>
        <w:ind w:firstLine="402"/>
        <w:rPr>
          <w:rFonts w:ascii="宋体" w:hAnsi="宋体" w:cs="宋体"/>
          <w:b/>
          <w:sz w:val="20"/>
          <w:szCs w:val="21"/>
        </w:rPr>
      </w:pPr>
      <w:r>
        <w:rPr>
          <w:rFonts w:ascii="宋体" w:hAnsi="宋体" w:cs="宋体"/>
          <w:b/>
          <w:sz w:val="20"/>
          <w:szCs w:val="21"/>
        </w:rPr>
        <w:t>非因</w:t>
      </w:r>
      <w:r>
        <w:rPr>
          <w:rFonts w:hint="eastAsia" w:ascii="宋体" w:hAnsi="宋体" w:cs="宋体"/>
          <w:b/>
          <w:sz w:val="20"/>
          <w:szCs w:val="21"/>
        </w:rPr>
        <w:t>甲方</w:t>
      </w:r>
      <w:r>
        <w:rPr>
          <w:rFonts w:ascii="宋体" w:hAnsi="宋体" w:cs="宋体"/>
          <w:b/>
          <w:sz w:val="20"/>
          <w:szCs w:val="21"/>
        </w:rPr>
        <w:t>原因（包括但不限于理财产品投资者遗失理财产品销售文件、理财产品销售文件被盗用等原因）造成的损失，</w:t>
      </w:r>
      <w:r>
        <w:rPr>
          <w:rFonts w:hint="eastAsia" w:ascii="宋体" w:hAnsi="宋体" w:cs="宋体"/>
          <w:b/>
          <w:sz w:val="20"/>
          <w:szCs w:val="21"/>
        </w:rPr>
        <w:t>甲方</w:t>
      </w:r>
      <w:r>
        <w:rPr>
          <w:rFonts w:ascii="宋体" w:hAnsi="宋体" w:cs="宋体"/>
          <w:b/>
          <w:sz w:val="20"/>
          <w:szCs w:val="21"/>
        </w:rPr>
        <w:t>不承担责任。</w:t>
      </w:r>
    </w:p>
    <w:p w14:paraId="14DD3C49">
      <w:pPr>
        <w:pStyle w:val="62"/>
        <w:spacing w:line="360" w:lineRule="auto"/>
        <w:ind w:firstLine="402"/>
        <w:rPr>
          <w:rFonts w:ascii="宋体" w:hAnsi="宋体" w:cs="宋体"/>
          <w:b/>
          <w:bCs/>
          <w:sz w:val="20"/>
          <w:szCs w:val="21"/>
        </w:rPr>
      </w:pPr>
      <w:r>
        <w:rPr>
          <w:rFonts w:hint="eastAsia" w:ascii="宋体" w:hAnsi="宋体" w:cs="宋体"/>
          <w:b/>
          <w:bCs/>
          <w:sz w:val="20"/>
          <w:szCs w:val="21"/>
        </w:rPr>
        <w:t>五、争议解决</w:t>
      </w:r>
    </w:p>
    <w:p w14:paraId="38E6747B">
      <w:pPr>
        <w:pStyle w:val="62"/>
        <w:spacing w:line="360" w:lineRule="auto"/>
        <w:ind w:firstLine="402"/>
        <w:rPr>
          <w:rFonts w:ascii="宋体" w:hAnsi="宋体" w:cs="宋体"/>
          <w:b/>
          <w:sz w:val="20"/>
          <w:szCs w:val="21"/>
        </w:rPr>
      </w:pPr>
      <w:r>
        <w:rPr>
          <w:rFonts w:hint="eastAsia" w:ascii="宋体" w:hAnsi="宋体" w:cs="宋体"/>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14:paraId="19C26103">
      <w:pPr>
        <w:pStyle w:val="62"/>
        <w:spacing w:line="360" w:lineRule="auto"/>
        <w:ind w:firstLine="402"/>
        <w:rPr>
          <w:rFonts w:ascii="宋体" w:hAnsi="宋体" w:cs="宋体"/>
          <w:sz w:val="20"/>
          <w:szCs w:val="21"/>
        </w:rPr>
      </w:pPr>
      <w:r>
        <w:rPr>
          <w:rFonts w:hint="eastAsia" w:ascii="宋体" w:hAnsi="宋体" w:cs="宋体"/>
          <w:b/>
          <w:bCs/>
          <w:sz w:val="20"/>
          <w:szCs w:val="21"/>
        </w:rPr>
        <w:t>六、</w:t>
      </w:r>
      <w:r>
        <w:rPr>
          <w:rFonts w:hint="eastAsia" w:ascii="宋体" w:hAnsi="宋体" w:cs="宋体"/>
          <w:sz w:val="20"/>
          <w:szCs w:val="21"/>
        </w:rPr>
        <w:t>本协议未尽事宜，以《理财产品说明书》《理财产品风险揭示书》《理财产品销售协议书》及《投资者权益须知》等销售文件的内容为准。</w:t>
      </w:r>
    </w:p>
    <w:p w14:paraId="2FD29F5E">
      <w:pPr>
        <w:pStyle w:val="62"/>
        <w:spacing w:line="360" w:lineRule="auto"/>
        <w:ind w:firstLine="400"/>
        <w:rPr>
          <w:rFonts w:ascii="宋体" w:hAnsi="宋体" w:cs="宋体"/>
          <w:sz w:val="20"/>
          <w:szCs w:val="21"/>
        </w:rPr>
      </w:pPr>
    </w:p>
    <w:p w14:paraId="39D28676">
      <w:pPr>
        <w:pStyle w:val="62"/>
        <w:spacing w:line="360" w:lineRule="auto"/>
        <w:ind w:firstLine="402"/>
        <w:rPr>
          <w:rFonts w:ascii="宋体" w:hAnsi="宋体" w:cs="宋体"/>
          <w:b/>
          <w:bCs/>
          <w:sz w:val="20"/>
          <w:szCs w:val="21"/>
        </w:rPr>
      </w:pPr>
      <w:r>
        <w:rPr>
          <w:rFonts w:hint="eastAsia" w:ascii="宋体" w:hAnsi="宋体" w:cs="宋体"/>
          <w:b/>
          <w:bCs/>
          <w:sz w:val="20"/>
          <w:szCs w:val="21"/>
        </w:rPr>
        <w:t>请投资者在购买本理财产品前认真阅读以上条款，尤其是加粗的条款。如果投资者不同意本协议的任何内容，或者无法准确理解相关条款的解释，请不要进行后续操作。</w:t>
      </w:r>
    </w:p>
    <w:p w14:paraId="37C2C868">
      <w:pPr>
        <w:pStyle w:val="62"/>
        <w:spacing w:line="360" w:lineRule="auto"/>
        <w:ind w:firstLine="400"/>
        <w:rPr>
          <w:rFonts w:ascii="宋体" w:hAnsi="宋体" w:cs="宋体"/>
          <w:sz w:val="20"/>
          <w:szCs w:val="21"/>
        </w:rPr>
      </w:pPr>
      <w:r>
        <w:rPr>
          <w:rFonts w:hint="eastAsia" w:ascii="宋体" w:hAnsi="宋体" w:cs="宋体"/>
          <w:sz w:val="20"/>
          <w:szCs w:val="21"/>
        </w:rPr>
        <w:t>（以下无正文）</w:t>
      </w:r>
    </w:p>
    <w:p w14:paraId="5C19699C">
      <w:pPr>
        <w:pStyle w:val="62"/>
        <w:spacing w:line="360" w:lineRule="auto"/>
        <w:ind w:firstLine="400"/>
        <w:rPr>
          <w:rFonts w:ascii="宋体" w:hAnsi="宋体" w:cs="宋体"/>
          <w:sz w:val="20"/>
          <w:szCs w:val="21"/>
        </w:rPr>
      </w:pPr>
    </w:p>
    <w:p w14:paraId="06E30119">
      <w:pPr>
        <w:spacing w:line="360" w:lineRule="auto"/>
        <w:rPr>
          <w:rStyle w:val="63"/>
          <w:rFonts w:hint="default"/>
          <w:sz w:val="20"/>
        </w:rPr>
      </w:pPr>
      <w:r>
        <w:rPr>
          <w:rStyle w:val="63"/>
          <w:rFonts w:hint="default"/>
          <w:sz w:val="20"/>
        </w:rPr>
        <w:t>个人投资者（如适用）：                   机构投资者（如适用）：</w:t>
      </w:r>
    </w:p>
    <w:p w14:paraId="63398275">
      <w:pPr>
        <w:spacing w:line="360" w:lineRule="auto"/>
        <w:rPr>
          <w:rStyle w:val="63"/>
          <w:rFonts w:hint="default"/>
          <w:sz w:val="20"/>
        </w:rPr>
      </w:pPr>
      <w:r>
        <w:rPr>
          <w:rStyle w:val="63"/>
          <w:rFonts w:hint="default"/>
          <w:sz w:val="20"/>
        </w:rPr>
        <w:t>个人投资者： （签名或盖章）              机构投资者： （</w:t>
      </w:r>
      <w:r>
        <w:rPr>
          <w:rFonts w:hint="eastAsia" w:ascii="宋体" w:hAnsi="宋体" w:cs="宋体"/>
          <w:sz w:val="20"/>
        </w:rPr>
        <w:t>公章或合同专用章</w:t>
      </w:r>
      <w:r>
        <w:rPr>
          <w:rStyle w:val="63"/>
          <w:rFonts w:hint="default"/>
          <w:sz w:val="20"/>
        </w:rPr>
        <w:t>）</w:t>
      </w:r>
    </w:p>
    <w:p w14:paraId="3CB322D3">
      <w:pPr>
        <w:spacing w:line="360" w:lineRule="auto"/>
        <w:rPr>
          <w:rStyle w:val="63"/>
          <w:rFonts w:hint="default"/>
          <w:sz w:val="20"/>
        </w:rPr>
      </w:pPr>
      <w:r>
        <w:rPr>
          <w:rStyle w:val="63"/>
          <w:rFonts w:hint="default"/>
          <w:sz w:val="20"/>
        </w:rPr>
        <w:t xml:space="preserve">   年  月  日                           法定代表人或授权代理人：（签名或盖章）</w:t>
      </w:r>
    </w:p>
    <w:p w14:paraId="3DB0C4B5">
      <w:pPr>
        <w:widowControl/>
        <w:jc w:val="left"/>
      </w:pPr>
      <w:r>
        <w:rPr>
          <w:rStyle w:val="63"/>
          <w:rFonts w:hint="default"/>
          <w:sz w:val="20"/>
        </w:rPr>
        <w:t xml:space="preserve">                                            年    月   日</w:t>
      </w:r>
    </w:p>
    <w:p w14:paraId="6D1652A1">
      <w:pPr>
        <w:pStyle w:val="5"/>
        <w:ind w:firstLine="0" w:firstLineChars="0"/>
        <w:rPr>
          <w:b/>
          <w:kern w:val="0"/>
          <w:sz w:val="15"/>
          <w:szCs w:val="11"/>
        </w:rPr>
      </w:pPr>
    </w:p>
    <w:p w14:paraId="46D33DA7">
      <w:pPr>
        <w:rPr>
          <w:rFonts w:hint="eastAsia"/>
        </w:rPr>
      </w:pPr>
    </w:p>
    <w:p w14:paraId="755DCF8E">
      <w:pPr>
        <w:rPr>
          <w:rFonts w:hint="eastAsia" w:ascii="方正黑体_GBK" w:hAnsi="方正黑体_GBK" w:eastAsia="方正黑体_GBK"/>
          <w:b/>
          <w:bCs/>
          <w:color w:val="3D3D3D"/>
          <w:kern w:val="0"/>
          <w:sz w:val="15"/>
          <w:szCs w:val="15"/>
          <w:lang w:val="en-US" w:eastAsia="zh-CN"/>
        </w:rPr>
      </w:pPr>
    </w:p>
    <w:sectPr>
      <w:headerReference r:id="rId7" w:type="default"/>
      <w:pgSz w:w="11907" w:h="16839"/>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黑体_GBK">
    <w:altName w:val="Microsoft YaHei UI"/>
    <w:panose1 w:val="00000000000000000000"/>
    <w:charset w:val="86"/>
    <w:family w:val="auto"/>
    <w:pitch w:val="default"/>
    <w:sig w:usb0="00000000" w:usb1="00000000" w:usb2="00000000" w:usb3="00000000" w:csb0="00040000" w:csb1="00000000"/>
  </w:font>
  <w:font w:name="方正细黑一简体">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F03B1">
    <w:pPr>
      <w:pStyle w:val="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4C3A0">
    <w:pPr>
      <w:pStyle w:val="10"/>
      <w:pBdr>
        <w:bottom w:val="single" w:color="000000" w:sz="4" w:space="2"/>
      </w:pBdr>
      <w:ind w:right="360"/>
      <w:jc w:val="right"/>
      <w:rPr>
        <w:sz w:val="32"/>
      </w:rPr>
    </w:pPr>
    <w:r>
      <w:rPr>
        <w:rFonts w:hint="eastAsia"/>
        <w:sz w:val="22"/>
        <w:szCs w:val="24"/>
      </w:rPr>
      <w:t>南银理财理财产品销售文件（2021第2版）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CD4A">
    <w:pPr>
      <w:pStyle w:val="10"/>
      <w:jc w:val="right"/>
    </w:pPr>
    <w:r>
      <w:t>南银理财理财产品销售文件（2021第2版）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tabs>
          <w:tab w:val="left" w:pos="0"/>
        </w:tabs>
        <w:ind w:left="660" w:hanging="360"/>
      </w:pPr>
      <w:rPr>
        <w:rFonts w:hint="default" w:ascii="方正黑体_GBK" w:hAnsi="方正黑体_GBK" w:eastAsia="方正黑体_GBK"/>
      </w:rPr>
    </w:lvl>
    <w:lvl w:ilvl="1" w:tentative="0">
      <w:start w:val="1"/>
      <w:numFmt w:val="lowerLetter"/>
      <w:lvlText w:val="%2)"/>
      <w:lvlJc w:val="left"/>
      <w:pPr>
        <w:tabs>
          <w:tab w:val="left" w:pos="0"/>
        </w:tabs>
        <w:ind w:left="1140" w:hanging="420"/>
      </w:pPr>
      <w:rPr>
        <w:rFonts w:hint="default" w:ascii="方正黑体_GBK" w:hAnsi="方正黑体_GBK" w:eastAsia="方正黑体_GBK"/>
      </w:rPr>
    </w:lvl>
    <w:lvl w:ilvl="2" w:tentative="0">
      <w:start w:val="1"/>
      <w:numFmt w:val="decimal"/>
      <w:lvlText w:val="%3."/>
      <w:lvlJc w:val="right"/>
      <w:pPr>
        <w:tabs>
          <w:tab w:val="left" w:pos="0"/>
        </w:tabs>
        <w:ind w:left="1560" w:hanging="420"/>
      </w:pPr>
      <w:rPr>
        <w:rFonts w:hint="default" w:ascii="方正黑体_GBK" w:hAnsi="方正黑体_GBK" w:eastAsia="方正黑体_GBK"/>
      </w:rPr>
    </w:lvl>
    <w:lvl w:ilvl="3" w:tentative="0">
      <w:start w:val="1"/>
      <w:numFmt w:val="decimal"/>
      <w:lvlText w:val="%4."/>
      <w:lvlJc w:val="left"/>
      <w:pPr>
        <w:tabs>
          <w:tab w:val="left" w:pos="0"/>
        </w:tabs>
        <w:ind w:left="1980" w:hanging="420"/>
      </w:pPr>
      <w:rPr>
        <w:rFonts w:hint="default" w:ascii="方正黑体_GBK" w:hAnsi="方正黑体_GBK" w:eastAsia="方正黑体_GBK"/>
      </w:rPr>
    </w:lvl>
    <w:lvl w:ilvl="4" w:tentative="0">
      <w:start w:val="1"/>
      <w:numFmt w:val="lowerLetter"/>
      <w:lvlText w:val="%5)"/>
      <w:lvlJc w:val="left"/>
      <w:pPr>
        <w:tabs>
          <w:tab w:val="left" w:pos="0"/>
        </w:tabs>
        <w:ind w:left="2400" w:hanging="420"/>
      </w:pPr>
      <w:rPr>
        <w:rFonts w:hint="default" w:ascii="方正黑体_GBK" w:hAnsi="方正黑体_GBK" w:eastAsia="方正黑体_GBK"/>
      </w:rPr>
    </w:lvl>
    <w:lvl w:ilvl="5" w:tentative="0">
      <w:start w:val="1"/>
      <w:numFmt w:val="decimal"/>
      <w:lvlText w:val="%6."/>
      <w:lvlJc w:val="right"/>
      <w:pPr>
        <w:tabs>
          <w:tab w:val="left" w:pos="0"/>
        </w:tabs>
        <w:ind w:left="2820" w:hanging="420"/>
      </w:pPr>
      <w:rPr>
        <w:rFonts w:hint="default" w:ascii="方正黑体_GBK" w:hAnsi="方正黑体_GBK" w:eastAsia="方正黑体_GBK"/>
      </w:rPr>
    </w:lvl>
    <w:lvl w:ilvl="6" w:tentative="0">
      <w:start w:val="1"/>
      <w:numFmt w:val="decimal"/>
      <w:lvlText w:val="%7."/>
      <w:lvlJc w:val="left"/>
      <w:pPr>
        <w:tabs>
          <w:tab w:val="left" w:pos="0"/>
        </w:tabs>
        <w:ind w:left="3240" w:hanging="420"/>
      </w:pPr>
      <w:rPr>
        <w:rFonts w:hint="default" w:ascii="方正黑体_GBK" w:hAnsi="方正黑体_GBK" w:eastAsia="方正黑体_GBK"/>
      </w:rPr>
    </w:lvl>
    <w:lvl w:ilvl="7" w:tentative="0">
      <w:start w:val="1"/>
      <w:numFmt w:val="lowerLetter"/>
      <w:lvlText w:val="%8)"/>
      <w:lvlJc w:val="left"/>
      <w:pPr>
        <w:tabs>
          <w:tab w:val="left" w:pos="0"/>
        </w:tabs>
        <w:ind w:left="3660" w:hanging="420"/>
      </w:pPr>
      <w:rPr>
        <w:rFonts w:hint="default" w:ascii="方正黑体_GBK" w:hAnsi="方正黑体_GBK" w:eastAsia="方正黑体_GBK"/>
      </w:rPr>
    </w:lvl>
    <w:lvl w:ilvl="8" w:tentative="0">
      <w:start w:val="1"/>
      <w:numFmt w:val="decimal"/>
      <w:lvlText w:val="%9."/>
      <w:lvlJc w:val="right"/>
      <w:pPr>
        <w:tabs>
          <w:tab w:val="left" w:pos="0"/>
        </w:tabs>
        <w:ind w:left="4080" w:hanging="420"/>
      </w:pPr>
      <w:rPr>
        <w:rFonts w:hint="default" w:ascii="方正黑体_GBK" w:hAnsi="方正黑体_GBK" w:eastAsia="方正黑体_GBK"/>
      </w:rPr>
    </w:lvl>
  </w:abstractNum>
  <w:abstractNum w:abstractNumId="1">
    <w:nsid w:val="CF092B84"/>
    <w:multiLevelType w:val="multilevel"/>
    <w:tmpl w:val="CF092B84"/>
    <w:lvl w:ilvl="0" w:tentative="0">
      <w:start w:val="1"/>
      <w:numFmt w:val="decimal"/>
      <w:lvlText w:val="（%1）"/>
      <w:legacy w:legacy="1" w:legacySpace="0" w:legacyIndent="420"/>
      <w:lvlJc w:val="left"/>
      <w:pPr>
        <w:ind w:left="709" w:hanging="420"/>
      </w:pPr>
      <w:rPr>
        <w:rFonts w:hint="default" w:ascii="方正黑体_GBK" w:hAnsi="方正黑体_GBK" w:eastAsia="方正黑体_GBK" w:cs="Times New Roman"/>
      </w:rPr>
    </w:lvl>
    <w:lvl w:ilvl="1" w:tentative="0">
      <w:start w:val="1"/>
      <w:numFmt w:val="lowerLetter"/>
      <w:lvlText w:val="%2)"/>
      <w:legacy w:legacy="1" w:legacySpace="0" w:legacyIndent="420"/>
      <w:lvlJc w:val="left"/>
      <w:pPr>
        <w:ind w:left="1129" w:hanging="420"/>
      </w:pPr>
    </w:lvl>
    <w:lvl w:ilvl="2" w:tentative="0">
      <w:start w:val="1"/>
      <w:numFmt w:val="lowerRoman"/>
      <w:lvlText w:val="%3."/>
      <w:legacy w:legacy="1" w:legacySpace="0" w:legacyIndent="420"/>
      <w:lvlJc w:val="right"/>
      <w:pPr>
        <w:ind w:left="1549" w:hanging="420"/>
      </w:pPr>
    </w:lvl>
    <w:lvl w:ilvl="3" w:tentative="0">
      <w:start w:val="1"/>
      <w:numFmt w:val="decimal"/>
      <w:lvlText w:val="%4."/>
      <w:legacy w:legacy="1" w:legacySpace="0" w:legacyIndent="420"/>
      <w:lvlJc w:val="left"/>
      <w:pPr>
        <w:ind w:left="1969" w:hanging="420"/>
      </w:pPr>
    </w:lvl>
    <w:lvl w:ilvl="4" w:tentative="0">
      <w:start w:val="1"/>
      <w:numFmt w:val="lowerLetter"/>
      <w:lvlText w:val="%5)"/>
      <w:legacy w:legacy="1" w:legacySpace="0" w:legacyIndent="420"/>
      <w:lvlJc w:val="left"/>
      <w:pPr>
        <w:ind w:left="2389" w:hanging="420"/>
      </w:pPr>
    </w:lvl>
    <w:lvl w:ilvl="5" w:tentative="0">
      <w:start w:val="1"/>
      <w:numFmt w:val="lowerRoman"/>
      <w:lvlText w:val="%6."/>
      <w:legacy w:legacy="1" w:legacySpace="0" w:legacyIndent="420"/>
      <w:lvlJc w:val="right"/>
      <w:pPr>
        <w:ind w:left="2809" w:hanging="420"/>
      </w:pPr>
    </w:lvl>
    <w:lvl w:ilvl="6" w:tentative="0">
      <w:start w:val="1"/>
      <w:numFmt w:val="decimal"/>
      <w:lvlText w:val="%7."/>
      <w:legacy w:legacy="1" w:legacySpace="0" w:legacyIndent="420"/>
      <w:lvlJc w:val="left"/>
      <w:pPr>
        <w:ind w:left="3229" w:hanging="420"/>
      </w:pPr>
    </w:lvl>
    <w:lvl w:ilvl="7" w:tentative="0">
      <w:start w:val="1"/>
      <w:numFmt w:val="lowerLetter"/>
      <w:lvlText w:val="%8)"/>
      <w:legacy w:legacy="1" w:legacySpace="0" w:legacyIndent="420"/>
      <w:lvlJc w:val="left"/>
      <w:pPr>
        <w:ind w:left="3649" w:hanging="420"/>
      </w:pPr>
    </w:lvl>
    <w:lvl w:ilvl="8" w:tentative="0">
      <w:start w:val="1"/>
      <w:numFmt w:val="lowerRoman"/>
      <w:lvlText w:val="%9."/>
      <w:legacy w:legacy="1" w:legacySpace="0" w:legacyIndent="420"/>
      <w:lvlJc w:val="right"/>
      <w:pPr>
        <w:ind w:left="4069" w:hanging="420"/>
      </w:pPr>
    </w:lvl>
  </w:abstractNum>
  <w:abstractNum w:abstractNumId="2">
    <w:nsid w:val="0053208E"/>
    <w:multiLevelType w:val="multilevel"/>
    <w:tmpl w:val="0053208E"/>
    <w:lvl w:ilvl="0" w:tentative="0">
      <w:start w:val="1"/>
      <w:numFmt w:val="chineseCountingThousand"/>
      <w:lvlText w:val="（%1）"/>
      <w:legacy w:legacy="1" w:legacySpace="0" w:legacyIndent="420"/>
      <w:lvlJc w:val="left"/>
      <w:pPr>
        <w:ind w:left="704" w:hanging="420"/>
      </w:pPr>
      <w:rPr>
        <w:rFonts w:hint="eastAsia" w:ascii="方正黑体_GBK" w:hAnsi="方正黑体_GBK" w:eastAsia="方正黑体_GBK"/>
        <w:b w:val="0"/>
        <w:bCs w:val="0"/>
      </w:rPr>
    </w:lvl>
    <w:lvl w:ilvl="1" w:tentative="0">
      <w:start w:val="1"/>
      <w:numFmt w:val="lowerLetter"/>
      <w:lvlText w:val="%2)"/>
      <w:legacy w:legacy="1" w:legacySpace="0" w:legacyIndent="420"/>
      <w:lvlJc w:val="left"/>
      <w:pPr>
        <w:ind w:left="1124" w:hanging="420"/>
      </w:pPr>
      <w:rPr>
        <w:rFonts w:hint="default" w:ascii="方正黑体_GBK" w:hAnsi="方正黑体_GBK" w:eastAsia="方正黑体_GBK"/>
      </w:rPr>
    </w:lvl>
    <w:lvl w:ilvl="2" w:tentative="0">
      <w:start w:val="1"/>
      <w:numFmt w:val="decimal"/>
      <w:lvlText w:val="%3."/>
      <w:legacy w:legacy="1" w:legacySpace="0" w:legacyIndent="420"/>
      <w:lvlJc w:val="right"/>
      <w:pPr>
        <w:ind w:left="1544" w:hanging="420"/>
      </w:pPr>
      <w:rPr>
        <w:rFonts w:hint="default" w:ascii="方正黑体_GBK" w:hAnsi="方正黑体_GBK" w:eastAsia="方正黑体_GBK"/>
      </w:rPr>
    </w:lvl>
    <w:lvl w:ilvl="3" w:tentative="0">
      <w:start w:val="1"/>
      <w:numFmt w:val="decimal"/>
      <w:lvlText w:val="%4."/>
      <w:legacy w:legacy="1" w:legacySpace="0" w:legacyIndent="420"/>
      <w:lvlJc w:val="left"/>
      <w:pPr>
        <w:ind w:left="1964" w:hanging="420"/>
      </w:pPr>
      <w:rPr>
        <w:rFonts w:hint="default" w:ascii="方正黑体_GBK" w:hAnsi="方正黑体_GBK" w:eastAsia="方正黑体_GBK"/>
      </w:rPr>
    </w:lvl>
    <w:lvl w:ilvl="4" w:tentative="0">
      <w:start w:val="1"/>
      <w:numFmt w:val="lowerLetter"/>
      <w:lvlText w:val="%5)"/>
      <w:legacy w:legacy="1" w:legacySpace="0" w:legacyIndent="420"/>
      <w:lvlJc w:val="left"/>
      <w:pPr>
        <w:ind w:left="2384" w:hanging="420"/>
      </w:pPr>
      <w:rPr>
        <w:rFonts w:hint="default" w:ascii="方正黑体_GBK" w:hAnsi="方正黑体_GBK" w:eastAsia="方正黑体_GBK"/>
      </w:rPr>
    </w:lvl>
    <w:lvl w:ilvl="5" w:tentative="0">
      <w:start w:val="1"/>
      <w:numFmt w:val="decimal"/>
      <w:lvlText w:val="%6."/>
      <w:legacy w:legacy="1" w:legacySpace="0" w:legacyIndent="420"/>
      <w:lvlJc w:val="right"/>
      <w:pPr>
        <w:ind w:left="2804" w:hanging="420"/>
      </w:pPr>
      <w:rPr>
        <w:rFonts w:hint="default" w:ascii="方正黑体_GBK" w:hAnsi="方正黑体_GBK" w:eastAsia="方正黑体_GBK"/>
      </w:rPr>
    </w:lvl>
    <w:lvl w:ilvl="6" w:tentative="0">
      <w:start w:val="1"/>
      <w:numFmt w:val="decimal"/>
      <w:lvlText w:val="%7."/>
      <w:legacy w:legacy="1" w:legacySpace="0" w:legacyIndent="420"/>
      <w:lvlJc w:val="left"/>
      <w:pPr>
        <w:ind w:left="3224" w:hanging="420"/>
      </w:pPr>
      <w:rPr>
        <w:rFonts w:hint="default" w:ascii="方正黑体_GBK" w:hAnsi="方正黑体_GBK" w:eastAsia="方正黑体_GBK"/>
      </w:rPr>
    </w:lvl>
    <w:lvl w:ilvl="7" w:tentative="0">
      <w:start w:val="1"/>
      <w:numFmt w:val="lowerLetter"/>
      <w:lvlText w:val="%8)"/>
      <w:legacy w:legacy="1" w:legacySpace="0" w:legacyIndent="420"/>
      <w:lvlJc w:val="left"/>
      <w:pPr>
        <w:ind w:left="3644" w:hanging="420"/>
      </w:pPr>
      <w:rPr>
        <w:rFonts w:hint="default" w:ascii="方正黑体_GBK" w:hAnsi="方正黑体_GBK" w:eastAsia="方正黑体_GBK"/>
      </w:rPr>
    </w:lvl>
    <w:lvl w:ilvl="8" w:tentative="0">
      <w:start w:val="1"/>
      <w:numFmt w:val="decimal"/>
      <w:lvlText w:val="%9."/>
      <w:legacy w:legacy="1" w:legacySpace="0" w:legacyIndent="420"/>
      <w:lvlJc w:val="right"/>
      <w:pPr>
        <w:ind w:left="4064" w:hanging="420"/>
      </w:pPr>
      <w:rPr>
        <w:rFonts w:hint="default" w:ascii="方正黑体_GBK" w:hAnsi="方正黑体_GBK" w:eastAsia="方正黑体_GBK"/>
      </w:rPr>
    </w:lvl>
  </w:abstractNum>
  <w:abstractNum w:abstractNumId="3">
    <w:nsid w:val="2EA814D3"/>
    <w:multiLevelType w:val="multilevel"/>
    <w:tmpl w:val="2EA814D3"/>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4">
    <w:nsid w:val="38167239"/>
    <w:multiLevelType w:val="multilevel"/>
    <w:tmpl w:val="38167239"/>
    <w:lvl w:ilvl="0" w:tentative="0">
      <w:start w:val="1"/>
      <w:numFmt w:val="lowerRoman"/>
      <w:lvlText w:val="%1."/>
      <w:lvlJc w:val="left"/>
      <w:pPr>
        <w:ind w:left="760" w:hanging="420"/>
      </w:pPr>
      <w:rPr>
        <w:rFonts w:hint="default" w:ascii="Times New Roman" w:hAnsi="Times New Roman" w:cs="Times New Roman"/>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5">
    <w:nsid w:val="3CFA0BAF"/>
    <w:multiLevelType w:val="multilevel"/>
    <w:tmpl w:val="3CFA0BAF"/>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6">
    <w:nsid w:val="3F15C910"/>
    <w:multiLevelType w:val="multilevel"/>
    <w:tmpl w:val="3F15C910"/>
    <w:lvl w:ilvl="0" w:tentative="0">
      <w:start w:val="4"/>
      <w:numFmt w:val="chineseCounting"/>
      <w:suff w:val="space"/>
      <w:lvlText w:val="第%1条"/>
      <w:lvlJc w:val="left"/>
      <w:rPr>
        <w:rFonts w:hint="eastAsia"/>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
    <w:nsid w:val="510A3506"/>
    <w:multiLevelType w:val="singleLevel"/>
    <w:tmpl w:val="510A3506"/>
    <w:lvl w:ilvl="0" w:tentative="0">
      <w:start w:val="1"/>
      <w:numFmt w:val="decimal"/>
      <w:suff w:val="nothing"/>
      <w:lvlText w:val="（%1）"/>
      <w:lvlJc w:val="left"/>
    </w:lvl>
  </w:abstractNum>
  <w:abstractNum w:abstractNumId="8">
    <w:nsid w:val="54B02AA4"/>
    <w:multiLevelType w:val="multilevel"/>
    <w:tmpl w:val="54B02AA4"/>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9">
    <w:nsid w:val="59ADCABA"/>
    <w:multiLevelType w:val="multilevel"/>
    <w:tmpl w:val="59ADCABA"/>
    <w:lvl w:ilvl="0" w:tentative="0">
      <w:start w:val="1"/>
      <w:numFmt w:val="japaneseCounting"/>
      <w:lvlText w:val="（%1）"/>
      <w:lvlJc w:val="left"/>
      <w:pPr>
        <w:tabs>
          <w:tab w:val="left" w:pos="0"/>
        </w:tabs>
        <w:ind w:left="1021" w:hanging="720"/>
      </w:pPr>
      <w:rPr>
        <w:rFonts w:hint="default" w:ascii="方正黑体_GBK" w:hAnsi="方正黑体_GBK" w:eastAsia="方正黑体_GBK"/>
      </w:rPr>
    </w:lvl>
    <w:lvl w:ilvl="1" w:tentative="0">
      <w:start w:val="1"/>
      <w:numFmt w:val="lowerLetter"/>
      <w:lvlText w:val="%2)"/>
      <w:lvlJc w:val="left"/>
      <w:pPr>
        <w:tabs>
          <w:tab w:val="left" w:pos="0"/>
        </w:tabs>
        <w:ind w:left="1141" w:hanging="420"/>
      </w:pPr>
      <w:rPr>
        <w:rFonts w:hint="default" w:ascii="方正黑体_GBK" w:hAnsi="方正黑体_GBK" w:eastAsia="方正黑体_GBK"/>
      </w:rPr>
    </w:lvl>
    <w:lvl w:ilvl="2" w:tentative="0">
      <w:start w:val="1"/>
      <w:numFmt w:val="decimal"/>
      <w:lvlText w:val="%3."/>
      <w:lvlJc w:val="right"/>
      <w:pPr>
        <w:tabs>
          <w:tab w:val="left" w:pos="0"/>
        </w:tabs>
        <w:ind w:left="1561" w:hanging="420"/>
      </w:pPr>
      <w:rPr>
        <w:rFonts w:hint="default" w:ascii="方正黑体_GBK" w:hAnsi="方正黑体_GBK" w:eastAsia="方正黑体_GBK"/>
      </w:rPr>
    </w:lvl>
    <w:lvl w:ilvl="3" w:tentative="0">
      <w:start w:val="1"/>
      <w:numFmt w:val="decimal"/>
      <w:lvlText w:val="%4."/>
      <w:lvlJc w:val="left"/>
      <w:pPr>
        <w:tabs>
          <w:tab w:val="left" w:pos="0"/>
        </w:tabs>
        <w:ind w:left="1981" w:hanging="420"/>
      </w:pPr>
      <w:rPr>
        <w:rFonts w:hint="default" w:ascii="方正黑体_GBK" w:hAnsi="方正黑体_GBK" w:eastAsia="方正黑体_GBK"/>
      </w:rPr>
    </w:lvl>
    <w:lvl w:ilvl="4" w:tentative="0">
      <w:start w:val="1"/>
      <w:numFmt w:val="lowerLetter"/>
      <w:lvlText w:val="%5)"/>
      <w:lvlJc w:val="left"/>
      <w:pPr>
        <w:tabs>
          <w:tab w:val="left" w:pos="0"/>
        </w:tabs>
        <w:ind w:left="2401" w:hanging="420"/>
      </w:pPr>
      <w:rPr>
        <w:rFonts w:hint="default" w:ascii="方正黑体_GBK" w:hAnsi="方正黑体_GBK" w:eastAsia="方正黑体_GBK"/>
      </w:rPr>
    </w:lvl>
    <w:lvl w:ilvl="5" w:tentative="0">
      <w:start w:val="1"/>
      <w:numFmt w:val="decimal"/>
      <w:lvlText w:val="%6."/>
      <w:lvlJc w:val="right"/>
      <w:pPr>
        <w:tabs>
          <w:tab w:val="left" w:pos="0"/>
        </w:tabs>
        <w:ind w:left="2821" w:hanging="420"/>
      </w:pPr>
      <w:rPr>
        <w:rFonts w:hint="default" w:ascii="方正黑体_GBK" w:hAnsi="方正黑体_GBK" w:eastAsia="方正黑体_GBK"/>
      </w:rPr>
    </w:lvl>
    <w:lvl w:ilvl="6" w:tentative="0">
      <w:start w:val="1"/>
      <w:numFmt w:val="decimal"/>
      <w:lvlText w:val="%7."/>
      <w:lvlJc w:val="left"/>
      <w:pPr>
        <w:tabs>
          <w:tab w:val="left" w:pos="0"/>
        </w:tabs>
        <w:ind w:left="3241" w:hanging="420"/>
      </w:pPr>
      <w:rPr>
        <w:rFonts w:hint="default" w:ascii="方正黑体_GBK" w:hAnsi="方正黑体_GBK" w:eastAsia="方正黑体_GBK"/>
      </w:rPr>
    </w:lvl>
    <w:lvl w:ilvl="7" w:tentative="0">
      <w:start w:val="1"/>
      <w:numFmt w:val="lowerLetter"/>
      <w:lvlText w:val="%8)"/>
      <w:lvlJc w:val="left"/>
      <w:pPr>
        <w:tabs>
          <w:tab w:val="left" w:pos="0"/>
        </w:tabs>
        <w:ind w:left="3661" w:hanging="420"/>
      </w:pPr>
      <w:rPr>
        <w:rFonts w:hint="default" w:ascii="方正黑体_GBK" w:hAnsi="方正黑体_GBK" w:eastAsia="方正黑体_GBK"/>
      </w:rPr>
    </w:lvl>
    <w:lvl w:ilvl="8" w:tentative="0">
      <w:start w:val="1"/>
      <w:numFmt w:val="decimal"/>
      <w:lvlText w:val="%9."/>
      <w:lvlJc w:val="right"/>
      <w:pPr>
        <w:tabs>
          <w:tab w:val="left" w:pos="0"/>
        </w:tabs>
        <w:ind w:left="4081" w:hanging="420"/>
      </w:pPr>
      <w:rPr>
        <w:rFonts w:hint="default" w:ascii="方正黑体_GBK" w:hAnsi="方正黑体_GBK" w:eastAsia="方正黑体_GBK"/>
      </w:rPr>
    </w:lvl>
  </w:abstractNum>
  <w:abstractNum w:abstractNumId="10">
    <w:nsid w:val="5DF84C9C"/>
    <w:multiLevelType w:val="singleLevel"/>
    <w:tmpl w:val="5DF84C9C"/>
    <w:lvl w:ilvl="0" w:tentative="0">
      <w:start w:val="1"/>
      <w:numFmt w:val="decimal"/>
      <w:suff w:val="nothing"/>
      <w:lvlText w:val="%1."/>
      <w:lvlJc w:val="left"/>
    </w:lvl>
  </w:abstractNum>
  <w:abstractNum w:abstractNumId="11">
    <w:nsid w:val="5DF84CBD"/>
    <w:multiLevelType w:val="singleLevel"/>
    <w:tmpl w:val="5DF84CBD"/>
    <w:lvl w:ilvl="0" w:tentative="0">
      <w:start w:val="1"/>
      <w:numFmt w:val="decimal"/>
      <w:suff w:val="nothing"/>
      <w:lvlText w:val="（%1）"/>
      <w:lvlJc w:val="left"/>
    </w:lvl>
  </w:abstractNum>
  <w:abstractNum w:abstractNumId="12">
    <w:nsid w:val="5DF84D07"/>
    <w:multiLevelType w:val="singleLevel"/>
    <w:tmpl w:val="5DF84D07"/>
    <w:lvl w:ilvl="0" w:tentative="0">
      <w:start w:val="1"/>
      <w:numFmt w:val="decimal"/>
      <w:suff w:val="nothing"/>
      <w:lvlText w:val="（%1）"/>
      <w:lvlJc w:val="left"/>
    </w:lvl>
  </w:abstractNum>
  <w:abstractNum w:abstractNumId="13">
    <w:nsid w:val="6D2A3EBA"/>
    <w:multiLevelType w:val="singleLevel"/>
    <w:tmpl w:val="6D2A3EBA"/>
    <w:lvl w:ilvl="0" w:tentative="0">
      <w:start w:val="1"/>
      <w:numFmt w:val="decimal"/>
      <w:suff w:val="nothing"/>
      <w:lvlText w:val="（%1）"/>
      <w:lvlJc w:val="left"/>
    </w:lvl>
  </w:abstractNum>
  <w:abstractNum w:abstractNumId="14">
    <w:nsid w:val="7A29506B"/>
    <w:multiLevelType w:val="singleLevel"/>
    <w:tmpl w:val="7A29506B"/>
    <w:lvl w:ilvl="0" w:tentative="0">
      <w:start w:val="1"/>
      <w:numFmt w:val="decimal"/>
      <w:suff w:val="nothing"/>
      <w:lvlText w:val="（%1）"/>
      <w:lvlJc w:val="left"/>
    </w:lvl>
  </w:abstractNum>
  <w:num w:numId="1">
    <w:abstractNumId w:val="2"/>
  </w:num>
  <w:num w:numId="2">
    <w:abstractNumId w:val="1"/>
  </w:num>
  <w:num w:numId="3">
    <w:abstractNumId w:val="9"/>
  </w:num>
  <w:num w:numId="4">
    <w:abstractNumId w:val="0"/>
  </w:num>
  <w:num w:numId="5">
    <w:abstractNumId w:val="6"/>
  </w:num>
  <w:num w:numId="6">
    <w:abstractNumId w:val="10"/>
  </w:num>
  <w:num w:numId="7">
    <w:abstractNumId w:val="11"/>
  </w:num>
  <w:num w:numId="8">
    <w:abstractNumId w:val="12"/>
  </w:num>
  <w:num w:numId="9">
    <w:abstractNumId w:val="7"/>
  </w:num>
  <w:num w:numId="10">
    <w:abstractNumId w:val="8"/>
  </w:num>
  <w:num w:numId="11">
    <w:abstractNumId w:val="5"/>
  </w:num>
  <w:num w:numId="12">
    <w:abstractNumId w:val="14"/>
  </w:num>
  <w:num w:numId="13">
    <w:abstractNumId w:val="4"/>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1"/>
  <w:bordersDoNotSurroundFooter w:val="1"/>
  <w:documentProtection w:edit="readOnly" w:enforcement="0"/>
  <w:defaultTabStop w:val="420"/>
  <w:drawingGridHorizontalSpacing w:val="1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
  <w:rsids>
    <w:rsidRoot w:val="00000000"/>
    <w:rsid w:val="600345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styleId="2">
    <w:name w:val="heading 1"/>
    <w:basedOn w:val="1"/>
    <w:next w:val="1"/>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styleId="3">
    <w:name w:val="heading 2"/>
    <w:basedOn w:val="1"/>
    <w:next w:val="1"/>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styleId="4">
    <w:name w:val="heading 3"/>
    <w:basedOn w:val="1"/>
    <w:next w:val="1"/>
    <w:uiPriority w:val="0"/>
    <w:pPr>
      <w:keepNext/>
      <w:keepLines/>
      <w:pageBreakBefore w:val="0"/>
      <w:widowControl w:val="0"/>
      <w:suppressLineNumbers w:val="0"/>
      <w:suppressAutoHyphens w:val="0"/>
      <w:spacing w:before="260" w:after="260" w:line="415" w:lineRule="auto"/>
      <w:outlineLvl w:val="2"/>
    </w:pPr>
    <w:rPr>
      <w:b/>
      <w:sz w:val="32"/>
    </w:rPr>
  </w:style>
  <w:style w:type="character" w:default="1" w:styleId="16">
    <w:name w:val="Default Paragraph Font"/>
    <w:uiPriority w:val="0"/>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ind w:firstLine="200" w:firstLineChars="200"/>
    </w:pPr>
    <w:rPr>
      <w:rFonts w:ascii="Times New Roman" w:hAnsi="Times New Roman" w:eastAsia="宋体"/>
      <w:sz w:val="18"/>
      <w:szCs w:val="18"/>
    </w:rPr>
  </w:style>
  <w:style w:type="paragraph" w:styleId="6">
    <w:name w:val="annotation text"/>
    <w:basedOn w:val="1"/>
    <w:uiPriority w:val="0"/>
    <w:pPr>
      <w:jc w:val="left"/>
    </w:pPr>
    <w:rPr>
      <w:rFonts w:ascii="Times New Roman" w:hAnsi="Times New Roman" w:eastAsia="宋体"/>
      <w:sz w:val="18"/>
      <w:szCs w:val="18"/>
    </w:rPr>
  </w:style>
  <w:style w:type="paragraph" w:styleId="7">
    <w:name w:val="toc 5"/>
    <w:basedOn w:val="1"/>
    <w:next w:val="1"/>
    <w:autoRedefine/>
    <w:qFormat/>
    <w:uiPriority w:val="0"/>
    <w:pPr>
      <w:ind w:left="1680"/>
    </w:pPr>
  </w:style>
  <w:style w:type="paragraph" w:styleId="8">
    <w:name w:val="toc 3"/>
    <w:basedOn w:val="1"/>
    <w:next w:val="1"/>
    <w:autoRedefine/>
    <w:qFormat/>
    <w:uiPriority w:val="0"/>
    <w:pPr>
      <w:ind w:left="840"/>
    </w:pPr>
  </w:style>
  <w:style w:type="paragraph" w:styleId="9">
    <w:name w:val="footer"/>
    <w:basedOn w:val="1"/>
    <w:qFormat/>
    <w:uiPriority w:val="0"/>
    <w:pPr>
      <w:tabs>
        <w:tab w:val="center" w:pos="4153"/>
        <w:tab w:val="right" w:pos="8307"/>
      </w:tabs>
      <w:adjustRightInd/>
      <w:snapToGrid w:val="0"/>
      <w:contextualSpacing w:val="0"/>
      <w:jc w:val="left"/>
    </w:pPr>
    <w:rPr>
      <w:sz w:val="18"/>
    </w:rPr>
  </w:style>
  <w:style w:type="paragraph" w:styleId="10">
    <w:name w:val="header"/>
    <w:basedOn w:val="1"/>
    <w:qFormat/>
    <w:uiPriority w:val="0"/>
    <w:pPr>
      <w:pBdr>
        <w:bottom w:val="single" w:color="auto" w:sz="6" w:space="1"/>
      </w:pBdr>
      <w:tabs>
        <w:tab w:val="center" w:pos="4153"/>
        <w:tab w:val="right" w:pos="8307"/>
      </w:tabs>
      <w:adjustRightInd/>
      <w:snapToGrid w:val="0"/>
      <w:contextualSpacing w:val="0"/>
      <w:jc w:val="center"/>
    </w:pPr>
    <w:rPr>
      <w:sz w:val="18"/>
    </w:rPr>
  </w:style>
  <w:style w:type="paragraph" w:styleId="11">
    <w:name w:val="toc 1"/>
    <w:basedOn w:val="1"/>
    <w:next w:val="1"/>
    <w:autoRedefine/>
    <w:uiPriority w:val="0"/>
  </w:style>
  <w:style w:type="paragraph" w:styleId="12">
    <w:name w:val="toc 4"/>
    <w:basedOn w:val="1"/>
    <w:next w:val="1"/>
    <w:autoRedefine/>
    <w:qFormat/>
    <w:uiPriority w:val="0"/>
    <w:pPr>
      <w:ind w:left="1260"/>
    </w:pPr>
  </w:style>
  <w:style w:type="paragraph" w:styleId="13">
    <w:name w:val="toc 2"/>
    <w:basedOn w:val="1"/>
    <w:next w:val="1"/>
    <w:autoRedefine/>
    <w:uiPriority w:val="0"/>
    <w:pPr>
      <w:ind w:left="420"/>
    </w:pPr>
  </w:style>
  <w:style w:type="paragraph" w:styleId="14">
    <w:name w:val="Normal (Web)"/>
    <w:next w:val="11"/>
    <w:qFormat/>
    <w:uiPriority w:val="0"/>
    <w:pPr>
      <w:spacing w:before="102" w:after="102" w:line="1099" w:lineRule="atLeast"/>
      <w:ind w:firstLine="419"/>
      <w:textAlignment w:val="baseline"/>
    </w:pPr>
    <w:rPr>
      <w:rFonts w:ascii="Times New Roman" w:hAnsi="Times New Roman" w:eastAsia="宋体" w:cs="Times New Roman"/>
      <w:sz w:val="24"/>
      <w:szCs w:val="24"/>
      <w:lang w:val="en-US" w:eastAsia="zh-CN" w:bidi="ar-SA"/>
    </w:rPr>
  </w:style>
  <w:style w:type="character" w:styleId="17">
    <w:name w:val="Strong"/>
    <w:qFormat/>
    <w:uiPriority w:val="0"/>
    <w:rPr>
      <w:b/>
    </w:rPr>
  </w:style>
  <w:style w:type="paragraph" w:customStyle="1" w:styleId="18">
    <w:name w:val="Normal7e071af0"/>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19">
    <w:name w:val="heading 12faf8fa7"/>
    <w:basedOn w:val="18"/>
    <w:next w:val="1"/>
    <w:qFormat/>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customStyle="1" w:styleId="20">
    <w:name w:val="heading 218aba06e"/>
    <w:basedOn w:val="18"/>
    <w:next w:val="1"/>
    <w:qFormat/>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customStyle="1" w:styleId="21">
    <w:name w:val="heading 38df8b02f"/>
    <w:basedOn w:val="18"/>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customStyle="1" w:styleId="22">
    <w:name w:val="Default Paragraph Font42e39bb0"/>
    <w:qFormat/>
    <w:uiPriority w:val="0"/>
  </w:style>
  <w:style w:type="paragraph" w:customStyle="1" w:styleId="23">
    <w:name w:val="toc 133afa145"/>
    <w:basedOn w:val="18"/>
    <w:next w:val="1"/>
    <w:autoRedefine/>
    <w:qFormat/>
    <w:uiPriority w:val="0"/>
  </w:style>
  <w:style w:type="paragraph" w:customStyle="1" w:styleId="24">
    <w:name w:val="toc 2c461814b"/>
    <w:basedOn w:val="18"/>
    <w:next w:val="1"/>
    <w:autoRedefine/>
    <w:qFormat/>
    <w:uiPriority w:val="0"/>
    <w:pPr>
      <w:ind w:left="420"/>
    </w:pPr>
  </w:style>
  <w:style w:type="paragraph" w:customStyle="1" w:styleId="25">
    <w:name w:val="toc 34bfafff4"/>
    <w:basedOn w:val="18"/>
    <w:next w:val="1"/>
    <w:autoRedefine/>
    <w:qFormat/>
    <w:uiPriority w:val="0"/>
    <w:pPr>
      <w:ind w:left="840"/>
    </w:pPr>
  </w:style>
  <w:style w:type="paragraph" w:customStyle="1" w:styleId="26">
    <w:name w:val="toc 4b201970e"/>
    <w:basedOn w:val="18"/>
    <w:next w:val="1"/>
    <w:autoRedefine/>
    <w:qFormat/>
    <w:uiPriority w:val="0"/>
    <w:pPr>
      <w:ind w:left="1260"/>
    </w:pPr>
  </w:style>
  <w:style w:type="paragraph" w:customStyle="1" w:styleId="27">
    <w:name w:val="toc 5a2bc849d"/>
    <w:basedOn w:val="18"/>
    <w:next w:val="1"/>
    <w:autoRedefine/>
    <w:qFormat/>
    <w:uiPriority w:val="0"/>
    <w:pPr>
      <w:ind w:left="1680"/>
    </w:pPr>
  </w:style>
  <w:style w:type="paragraph" w:customStyle="1" w:styleId="28">
    <w:name w:val="header136d49e7"/>
    <w:basedOn w:val="18"/>
    <w:qFormat/>
    <w:uiPriority w:val="0"/>
    <w:pPr>
      <w:pBdr>
        <w:bottom w:val="single" w:color="auto" w:sz="6" w:space="1"/>
      </w:pBdr>
      <w:tabs>
        <w:tab w:val="center" w:pos="4153"/>
        <w:tab w:val="right" w:pos="8307"/>
      </w:tabs>
      <w:adjustRightInd/>
      <w:snapToGrid w:val="0"/>
      <w:contextualSpacing w:val="0"/>
      <w:jc w:val="center"/>
    </w:pPr>
    <w:rPr>
      <w:sz w:val="18"/>
    </w:rPr>
  </w:style>
  <w:style w:type="paragraph" w:customStyle="1" w:styleId="29">
    <w:name w:val="footer68b59372"/>
    <w:basedOn w:val="18"/>
    <w:qFormat/>
    <w:uiPriority w:val="0"/>
    <w:pPr>
      <w:tabs>
        <w:tab w:val="center" w:pos="4153"/>
        <w:tab w:val="right" w:pos="8307"/>
      </w:tabs>
      <w:adjustRightInd/>
      <w:snapToGrid w:val="0"/>
      <w:contextualSpacing w:val="0"/>
      <w:jc w:val="left"/>
    </w:pPr>
    <w:rPr>
      <w:sz w:val="18"/>
    </w:rPr>
  </w:style>
  <w:style w:type="character" w:customStyle="1" w:styleId="30">
    <w:name w:val="Strong1fe957da"/>
    <w:qFormat/>
    <w:uiPriority w:val="0"/>
    <w:rPr>
      <w:b/>
    </w:rPr>
  </w:style>
  <w:style w:type="paragraph" w:customStyle="1" w:styleId="31">
    <w:name w:val="annotation text23"/>
    <w:next w:val="1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32">
    <w:name w:val="Normalacb05114"/>
    <w:next w:val="1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18"/>
      <w:szCs w:val="18"/>
      <w:u w:val="none" w:color="auto"/>
      <w:shd w:val="clear" w:color="auto" w:fill="auto"/>
      <w:vertAlign w:val="baseline"/>
      <w:lang w:val="en-US" w:eastAsia="zh-CN" w:bidi="ar-SA"/>
    </w:rPr>
  </w:style>
  <w:style w:type="paragraph" w:customStyle="1" w:styleId="33">
    <w:name w:val="heading 1500d4dc7"/>
    <w:basedOn w:val="32"/>
    <w:next w:val="1"/>
    <w:qFormat/>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customStyle="1" w:styleId="34">
    <w:name w:val="heading 2471d0bf5"/>
    <w:basedOn w:val="32"/>
    <w:next w:val="1"/>
    <w:qFormat/>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customStyle="1" w:styleId="35">
    <w:name w:val="heading 3a62e7192"/>
    <w:basedOn w:val="32"/>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customStyle="1" w:styleId="36">
    <w:name w:val="Default Paragraph Font99ff6d85"/>
    <w:qFormat/>
    <w:uiPriority w:val="0"/>
  </w:style>
  <w:style w:type="paragraph" w:customStyle="1" w:styleId="37">
    <w:name w:val="Normal Indent0818a882"/>
    <w:basedOn w:val="32"/>
    <w:qFormat/>
    <w:uiPriority w:val="0"/>
    <w:pPr>
      <w:ind w:firstLine="200" w:firstLineChars="200"/>
    </w:pPr>
  </w:style>
  <w:style w:type="paragraph" w:customStyle="1" w:styleId="38">
    <w:name w:val="toc 531f74f04"/>
    <w:basedOn w:val="32"/>
    <w:next w:val="1"/>
    <w:qFormat/>
    <w:uiPriority w:val="0"/>
    <w:pPr>
      <w:ind w:left="1680"/>
    </w:pPr>
  </w:style>
  <w:style w:type="paragraph" w:customStyle="1" w:styleId="39">
    <w:name w:val="toc 3644b19d3"/>
    <w:basedOn w:val="32"/>
    <w:next w:val="1"/>
    <w:qFormat/>
    <w:uiPriority w:val="0"/>
    <w:pPr>
      <w:ind w:left="840"/>
    </w:pPr>
  </w:style>
  <w:style w:type="paragraph" w:customStyle="1" w:styleId="40">
    <w:name w:val="footerfa15493d"/>
    <w:basedOn w:val="32"/>
    <w:qFormat/>
    <w:uiPriority w:val="0"/>
    <w:pPr>
      <w:tabs>
        <w:tab w:val="center" w:pos="4153"/>
        <w:tab w:val="right" w:pos="8307"/>
      </w:tabs>
      <w:adjustRightInd/>
      <w:snapToGrid w:val="0"/>
      <w:contextualSpacing w:val="0"/>
      <w:jc w:val="left"/>
    </w:pPr>
    <w:rPr>
      <w:sz w:val="18"/>
    </w:rPr>
  </w:style>
  <w:style w:type="paragraph" w:customStyle="1" w:styleId="41">
    <w:name w:val="header565e1216"/>
    <w:basedOn w:val="32"/>
    <w:qFormat/>
    <w:uiPriority w:val="0"/>
    <w:pPr>
      <w:pBdr>
        <w:bottom w:val="single" w:color="auto" w:sz="6" w:space="1"/>
      </w:pBdr>
      <w:tabs>
        <w:tab w:val="center" w:pos="4153"/>
        <w:tab w:val="right" w:pos="8307"/>
      </w:tabs>
      <w:adjustRightInd/>
      <w:snapToGrid w:val="0"/>
      <w:contextualSpacing w:val="0"/>
      <w:jc w:val="center"/>
    </w:pPr>
    <w:rPr>
      <w:sz w:val="18"/>
    </w:rPr>
  </w:style>
  <w:style w:type="paragraph" w:customStyle="1" w:styleId="42">
    <w:name w:val="toc 12f63071c"/>
    <w:basedOn w:val="32"/>
    <w:next w:val="1"/>
    <w:qFormat/>
    <w:uiPriority w:val="0"/>
  </w:style>
  <w:style w:type="paragraph" w:customStyle="1" w:styleId="43">
    <w:name w:val="toc 40fc01a26"/>
    <w:basedOn w:val="32"/>
    <w:next w:val="1"/>
    <w:qFormat/>
    <w:uiPriority w:val="0"/>
    <w:pPr>
      <w:ind w:left="1260"/>
    </w:pPr>
  </w:style>
  <w:style w:type="paragraph" w:customStyle="1" w:styleId="44">
    <w:name w:val="toc 2d35cd698"/>
    <w:basedOn w:val="32"/>
    <w:next w:val="1"/>
    <w:qFormat/>
    <w:uiPriority w:val="0"/>
    <w:pPr>
      <w:ind w:left="420"/>
    </w:pPr>
  </w:style>
  <w:style w:type="paragraph" w:customStyle="1" w:styleId="45">
    <w:name w:val="Normal (Web)bac2181f"/>
    <w:next w:val="10"/>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2" w:beforeAutospacing="0" w:after="102" w:afterAutospacing="0" w:line="1099" w:lineRule="atLeast"/>
      <w:ind w:left="0" w:right="0" w:firstLine="419"/>
      <w:contextualSpacing w:val="0"/>
      <w:jc w:val="left"/>
      <w:textAlignment w:val="baseline"/>
      <w:outlineLvl w:val="9"/>
    </w:pPr>
    <w:rPr>
      <w:rFonts w:ascii="方正黑体_GBK" w:hAnsi="方正黑体_GBK" w:eastAsia="方正黑体_GBK" w:cs="Times New Roman"/>
      <w:snapToGrid/>
      <w:color w:val="auto"/>
      <w:spacing w:val="0"/>
      <w:w w:val="100"/>
      <w:kern w:val="0"/>
      <w:position w:val="0"/>
      <w:sz w:val="24"/>
      <w:szCs w:val="24"/>
      <w:u w:val="none" w:color="auto"/>
      <w:shd w:val="clear" w:color="auto" w:fill="auto"/>
      <w:vertAlign w:val="baseline"/>
      <w:lang w:val="en-US" w:eastAsia="zh-CN" w:bidi="ar-SA"/>
    </w:rPr>
  </w:style>
  <w:style w:type="paragraph" w:customStyle="1" w:styleId="46">
    <w:name w:val="引文目录124"/>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200" w:leftChars="200" w:right="0" w:firstLine="0"/>
      <w:contextualSpacing w:val="0"/>
      <w:jc w:val="both"/>
      <w:textAlignment w:val="baseline"/>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47">
    <w:name w:val="Normal8bb8869c8bb8869c"/>
    <w:next w:val="1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48">
    <w:name w:val="heading 1ae37abf5ae37abf5"/>
    <w:basedOn w:val="47"/>
    <w:next w:val="1"/>
    <w:qFormat/>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customStyle="1" w:styleId="49">
    <w:name w:val="heading 2086616a2086616a2"/>
    <w:basedOn w:val="47"/>
    <w:next w:val="1"/>
    <w:qFormat/>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customStyle="1" w:styleId="50">
    <w:name w:val="heading 396b359b096b359b0"/>
    <w:basedOn w:val="47"/>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customStyle="1" w:styleId="51">
    <w:name w:val="Default Paragraph Font509a97d1509a97d1"/>
    <w:qFormat/>
    <w:uiPriority w:val="0"/>
  </w:style>
  <w:style w:type="paragraph" w:customStyle="1" w:styleId="52">
    <w:name w:val="引文目录12d1343152d134315"/>
    <w:basedOn w:val="47"/>
    <w:next w:val="1"/>
    <w:qFormat/>
    <w:uiPriority w:val="0"/>
    <w:pPr>
      <w:ind w:left="200" w:leftChars="200"/>
    </w:pPr>
  </w:style>
  <w:style w:type="paragraph" w:customStyle="1" w:styleId="53">
    <w:name w:val="toc 5cce6dd3dcce6dd3d"/>
    <w:basedOn w:val="47"/>
    <w:next w:val="1"/>
    <w:qFormat/>
    <w:uiPriority w:val="0"/>
    <w:pPr>
      <w:ind w:left="1680"/>
    </w:pPr>
  </w:style>
  <w:style w:type="paragraph" w:customStyle="1" w:styleId="54">
    <w:name w:val="toc 38633abbf8633abbf"/>
    <w:basedOn w:val="47"/>
    <w:next w:val="1"/>
    <w:qFormat/>
    <w:uiPriority w:val="0"/>
    <w:pPr>
      <w:ind w:left="840"/>
    </w:pPr>
  </w:style>
  <w:style w:type="paragraph" w:customStyle="1" w:styleId="55">
    <w:name w:val="footerac25f974ac25f974"/>
    <w:basedOn w:val="47"/>
    <w:qFormat/>
    <w:uiPriority w:val="0"/>
    <w:pPr>
      <w:tabs>
        <w:tab w:val="center" w:pos="4153"/>
        <w:tab w:val="right" w:pos="8307"/>
      </w:tabs>
      <w:adjustRightInd/>
      <w:snapToGrid w:val="0"/>
      <w:contextualSpacing w:val="0"/>
      <w:jc w:val="left"/>
    </w:pPr>
    <w:rPr>
      <w:sz w:val="18"/>
    </w:rPr>
  </w:style>
  <w:style w:type="paragraph" w:customStyle="1" w:styleId="56">
    <w:name w:val="header81a5a16481a5a164"/>
    <w:basedOn w:val="47"/>
    <w:qFormat/>
    <w:uiPriority w:val="0"/>
    <w:pPr>
      <w:pBdr>
        <w:bottom w:val="single" w:color="auto" w:sz="6" w:space="1"/>
      </w:pBdr>
      <w:tabs>
        <w:tab w:val="center" w:pos="4153"/>
        <w:tab w:val="right" w:pos="8307"/>
      </w:tabs>
      <w:adjustRightInd/>
      <w:snapToGrid w:val="0"/>
      <w:contextualSpacing w:val="0"/>
      <w:jc w:val="center"/>
    </w:pPr>
    <w:rPr>
      <w:sz w:val="18"/>
    </w:rPr>
  </w:style>
  <w:style w:type="paragraph" w:customStyle="1" w:styleId="57">
    <w:name w:val="toc 1659fa7d1659fa7d1"/>
    <w:basedOn w:val="47"/>
    <w:next w:val="1"/>
    <w:qFormat/>
    <w:uiPriority w:val="0"/>
  </w:style>
  <w:style w:type="paragraph" w:customStyle="1" w:styleId="58">
    <w:name w:val="toc 4b5070761b5070761"/>
    <w:basedOn w:val="47"/>
    <w:next w:val="1"/>
    <w:qFormat/>
    <w:uiPriority w:val="0"/>
    <w:pPr>
      <w:ind w:left="1260"/>
    </w:pPr>
  </w:style>
  <w:style w:type="paragraph" w:customStyle="1" w:styleId="59">
    <w:name w:val="toc 21ee179bd1ee179bd"/>
    <w:basedOn w:val="47"/>
    <w:next w:val="1"/>
    <w:qFormat/>
    <w:uiPriority w:val="0"/>
    <w:pPr>
      <w:ind w:left="420"/>
    </w:pPr>
  </w:style>
  <w:style w:type="paragraph" w:customStyle="1" w:styleId="60">
    <w:name w:val="列出段落1a494e6f3a494e6f3"/>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200" w:firstLineChars="20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61">
    <w:name w:val="列出段落1"/>
    <w:basedOn w:val="1"/>
    <w:qFormat/>
    <w:uiPriority w:val="99"/>
    <w:pPr>
      <w:ind w:firstLine="420" w:firstLineChars="200"/>
    </w:pPr>
    <w:rPr>
      <w:rFonts w:ascii="Times New Roman" w:hAnsi="Times New Roman" w:eastAsia="宋体"/>
      <w:sz w:val="18"/>
      <w:szCs w:val="18"/>
    </w:rPr>
  </w:style>
  <w:style w:type="paragraph" w:customStyle="1" w:styleId="62">
    <w:name w:val="列表段落1"/>
    <w:basedOn w:val="1"/>
    <w:qFormat/>
    <w:uiPriority w:val="34"/>
    <w:pPr>
      <w:ind w:firstLine="420" w:firstLineChars="200"/>
    </w:pPr>
    <w:rPr>
      <w:rFonts w:ascii="Times New Roman" w:hAnsi="Times New Roman" w:eastAsia="宋体"/>
      <w:sz w:val="18"/>
      <w:szCs w:val="18"/>
    </w:rPr>
  </w:style>
  <w:style w:type="character" w:customStyle="1" w:styleId="63">
    <w:name w:val="fontstyle01"/>
    <w:qFormat/>
    <w:uiPriority w:val="0"/>
    <w:rPr>
      <w:rFonts w:hint="eastAsia" w:ascii="宋体" w:hAnsi="宋体" w:eastAsia="宋体"/>
      <w:color w:val="000000"/>
      <w:sz w:val="16"/>
      <w:szCs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22</Pages>
  <Words>21788</Words>
  <Characters>22269</Characters>
  <Lines>81</Lines>
  <Paragraphs>27</Paragraphs>
  <TotalTime>0</TotalTime>
  <ScaleCrop>false</ScaleCrop>
  <LinksUpToDate>false</LinksUpToDate>
  <CharactersWithSpaces>22423</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2022-08-09T07:38:00Z</dcterms:created>
  <dc:creator>HP</dc:creator>
  <cp:lastModifiedBy>洋洋</cp:lastModifiedBy>
  <dcterms:modified xsi:type="dcterms:W3CDTF">2025-01-03T02:18:32Z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02AEF6DED8204361AEB85E71A6BDE641</vt:lpwstr>
  </property>
  <property fmtid="{D5CDD505-2E9C-101B-9397-08002B2CF9AE}" pid="4" name="KSOTemplateDocerSaveRecord">
    <vt:lpwstr>eyJoZGlkIjoiOTBkY2U3MjllYWUxNjVjYzQyMmI2ZjJjMjFkOWNlN2QiLCJ1c2VySWQiOiIyMzg3MTc3OTEifQ==</vt:lpwstr>
  </property>
  <property fmtid="{D5CDD505-2E9C-101B-9397-08002B2CF9AE}" pid="5" name="_KSOProductBuildMID">
    <vt:lpwstr>CQWMG6GH79VQ05BG9ZR8RL0S7ZQ0OSGRQO0XTJDWXF88TGLTNRBRVCJVFY9TP8IRBNM69OL9ZH578IJJQXFT0FF689Q0WL5B8SOOPHB3FB44D1864E237CDFB0932C4150DD6D86</vt:lpwstr>
  </property>
  <property fmtid="{D5CDD505-2E9C-101B-9397-08002B2CF9AE}" pid="6" name="_KSOProductBuildSID">
    <vt:lpwstr>0E41D31A64824657B185E49C1AB7CDA8</vt:lpwstr>
  </property>
</Properties>
</file>