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YWM06BA797A059GRPR8ZLJ87ZQMO7VREF06NJDWXFFRTGLTZRBR6CJGFSUTP8IRBSM69OLRZHKD8LNJROFTDF8H8RMMWICBAFODYHB322BE4197CFA04C606BF3624DA0EB0599" Type="http://schemas.microsoft.com/office/2006/relationships/officeDocumentMain" Target="docProps/core.xml"/><Relationship Id="SZWMY6BW79VA0VHG9ZRNILJM7ZC0OSYR9J0XFJDWXFFRTEWTZ6BR6CJVFYSTPD6RBSM65OZMZHK78MJJRNFTYFF689QMWMWB8NODPHB3876C21B1CF5D7CED5E8111C6D8B96665"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关于调整南银理财珠联璧合安稳</w:t>
      </w:r>
      <w:r>
        <w:rPr>
          <w:rFonts w:hint="eastAsia" w:ascii="方正黑体_GBK" w:hAnsi="方正黑体_GBK" w:eastAsia="方正黑体_GBK" w:cs="方正黑体_GBK"/>
          <w:b/>
          <w:bCs/>
          <w:sz w:val="32"/>
          <w:szCs w:val="32"/>
          <w:lang w:val="en-US" w:eastAsia="zh-CN"/>
        </w:rPr>
        <w:t>1911</w:t>
      </w:r>
      <w:r>
        <w:rPr>
          <w:rFonts w:hint="eastAsia" w:ascii="方正黑体_GBK" w:hAnsi="方正黑体_GBK" w:eastAsia="方正黑体_GBK" w:cs="方正黑体_GBK"/>
          <w:b/>
          <w:bCs/>
          <w:sz w:val="32"/>
          <w:szCs w:val="32"/>
        </w:rPr>
        <w:t>一年定开公募人民币理财产品</w:t>
      </w:r>
      <w:r>
        <w:rPr>
          <w:rFonts w:hint="eastAsia" w:ascii="方正黑体_GBK" w:hAnsi="方正黑体_GBK" w:eastAsia="方正黑体_GBK" w:cs="方正黑体_GBK"/>
          <w:b/>
          <w:bCs/>
          <w:sz w:val="32"/>
          <w:szCs w:val="32"/>
          <w:lang w:eastAsia="zh-CN"/>
        </w:rPr>
        <w:t>相关要素</w:t>
      </w:r>
      <w:r>
        <w:rPr>
          <w:rFonts w:hint="eastAsia" w:ascii="方正黑体_GBK" w:hAnsi="方正黑体_GBK" w:eastAsia="方正黑体_GBK" w:cs="方正黑体_GBK"/>
          <w:b/>
          <w:bCs/>
          <w:sz w:val="32"/>
          <w:szCs w:val="32"/>
        </w:rPr>
        <w:t>的公告</w:t>
      </w:r>
    </w:p>
    <w:p>
      <w:pP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尊敬的投资者：</w:t>
      </w:r>
    </w:p>
    <w:p>
      <w:pPr>
        <w:spacing w:after="240"/>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color w:val="auto"/>
          <w:sz w:val="24"/>
          <w:szCs w:val="32"/>
          <w:lang w:eastAsia="zh-CN"/>
        </w:rPr>
        <w:t>根据</w:t>
      </w:r>
      <w:r>
        <w:rPr>
          <w:rFonts w:hint="eastAsia" w:ascii="方正黑体_GBK" w:hAnsi="方正黑体_GBK" w:eastAsia="方正黑体_GBK" w:cs="方正黑体_GBK"/>
          <w:color w:val="auto"/>
          <w:sz w:val="24"/>
          <w:szCs w:val="24"/>
          <w:lang w:eastAsia="zh-CN"/>
        </w:rPr>
        <w:t>理财产品说明书的相关约定，</w:t>
      </w:r>
      <w:r>
        <w:rPr>
          <w:rFonts w:hint="eastAsia" w:ascii="方正黑体_GBK" w:hAnsi="方正黑体_GBK" w:eastAsia="方正黑体_GBK" w:cs="方正黑体_GBK"/>
          <w:sz w:val="24"/>
        </w:rPr>
        <w:t>本公司将对南银理财珠联璧合安稳</w:t>
      </w:r>
      <w:r>
        <w:rPr>
          <w:rFonts w:hint="eastAsia" w:ascii="方正黑体_GBK" w:hAnsi="方正黑体_GBK" w:eastAsia="方正黑体_GBK" w:cs="方正黑体_GBK"/>
          <w:sz w:val="24"/>
          <w:lang w:val="en-US" w:eastAsia="zh-CN"/>
        </w:rPr>
        <w:t>1911</w:t>
      </w:r>
      <w:r>
        <w:rPr>
          <w:rFonts w:hint="eastAsia" w:ascii="方正黑体_GBK" w:hAnsi="方正黑体_GBK" w:eastAsia="方正黑体_GBK" w:cs="方正黑体_GBK"/>
          <w:sz w:val="24"/>
        </w:rPr>
        <w:t>一年定开公募人民币理财产品（产品登记编码：Z7003221000020）的</w:t>
      </w:r>
      <w:r>
        <w:rPr>
          <w:rFonts w:hint="eastAsia" w:ascii="方正黑体_GBK" w:hAnsi="方正黑体_GBK" w:eastAsia="方正黑体_GBK" w:cs="方正黑体_GBK"/>
          <w:sz w:val="24"/>
          <w:lang w:eastAsia="zh-CN"/>
        </w:rPr>
        <w:t>相关要素</w:t>
      </w:r>
      <w:r>
        <w:rPr>
          <w:rFonts w:hint="eastAsia" w:ascii="方正黑体_GBK" w:hAnsi="方正黑体_GBK" w:eastAsia="方正黑体_GBK" w:cs="方正黑体_GBK"/>
          <w:sz w:val="24"/>
        </w:rPr>
        <w:t>进行调整，具体如下：</w:t>
      </w:r>
    </w:p>
    <w:tbl>
      <w:tblPr>
        <w:tblStyle w:val="8"/>
        <w:tblW w:w="10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3817"/>
        <w:gridCol w:w="469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dxa"/>
            <w:vAlign w:val="center"/>
          </w:tcPr>
          <w:p>
            <w:pPr>
              <w:jc w:val="center"/>
              <w:rPr>
                <w:rFonts w:hint="eastAsia" w:ascii="方正黑体_GBK" w:hAnsi="方正黑体_GBK" w:eastAsia="方正黑体_GBK" w:cs="方正黑体_GBK"/>
                <w:b/>
                <w:bCs/>
                <w:sz w:val="21"/>
                <w:szCs w:val="21"/>
              </w:rPr>
            </w:pPr>
            <w:r>
              <w:rPr>
                <w:rFonts w:hint="eastAsia" w:ascii="方正黑体_GBK" w:hAnsi="方正黑体_GBK" w:eastAsia="方正黑体_GBK" w:cs="方正黑体_GBK"/>
                <w:b/>
                <w:bCs/>
                <w:sz w:val="21"/>
                <w:szCs w:val="21"/>
              </w:rPr>
              <w:t>调整</w:t>
            </w:r>
            <w:bookmarkStart w:id="0" w:name="_GoBack"/>
            <w:bookmarkEnd w:id="0"/>
            <w:r>
              <w:rPr>
                <w:rFonts w:hint="eastAsia" w:ascii="方正黑体_GBK" w:hAnsi="方正黑体_GBK" w:eastAsia="方正黑体_GBK" w:cs="方正黑体_GBK"/>
                <w:b/>
                <w:bCs/>
                <w:sz w:val="21"/>
                <w:szCs w:val="21"/>
              </w:rPr>
              <w:t>要素</w:t>
            </w:r>
          </w:p>
        </w:tc>
        <w:tc>
          <w:tcPr>
            <w:tcW w:w="3817" w:type="dxa"/>
            <w:vAlign w:val="center"/>
          </w:tcPr>
          <w:p>
            <w:pPr>
              <w:jc w:val="center"/>
              <w:rPr>
                <w:rFonts w:hint="eastAsia" w:ascii="方正黑体_GBK" w:hAnsi="方正黑体_GBK" w:eastAsia="方正黑体_GBK" w:cs="方正黑体_GBK"/>
                <w:b/>
                <w:bCs/>
                <w:sz w:val="21"/>
                <w:szCs w:val="21"/>
              </w:rPr>
            </w:pPr>
            <w:r>
              <w:rPr>
                <w:rFonts w:hint="eastAsia" w:ascii="方正黑体_GBK" w:hAnsi="方正黑体_GBK" w:eastAsia="方正黑体_GBK" w:cs="方正黑体_GBK"/>
                <w:b/>
                <w:bCs/>
                <w:sz w:val="21"/>
                <w:szCs w:val="21"/>
              </w:rPr>
              <w:t>调整前</w:t>
            </w:r>
          </w:p>
        </w:tc>
        <w:tc>
          <w:tcPr>
            <w:tcW w:w="4690" w:type="dxa"/>
            <w:vAlign w:val="center"/>
          </w:tcPr>
          <w:p>
            <w:pPr>
              <w:jc w:val="center"/>
              <w:rPr>
                <w:rFonts w:hint="eastAsia" w:ascii="方正黑体_GBK" w:hAnsi="方正黑体_GBK" w:eastAsia="方正黑体_GBK" w:cs="方正黑体_GBK"/>
                <w:b/>
                <w:bCs/>
                <w:sz w:val="21"/>
                <w:szCs w:val="21"/>
              </w:rPr>
            </w:pPr>
            <w:r>
              <w:rPr>
                <w:rFonts w:hint="eastAsia" w:ascii="方正黑体_GBK" w:hAnsi="方正黑体_GBK" w:eastAsia="方正黑体_GBK" w:cs="方正黑体_GBK"/>
                <w:b/>
                <w:bCs/>
                <w:sz w:val="21"/>
                <w:szCs w:val="21"/>
              </w:rPr>
              <w:t>调整后</w:t>
            </w:r>
          </w:p>
        </w:tc>
        <w:tc>
          <w:tcPr>
            <w:tcW w:w="1138" w:type="dxa"/>
            <w:vAlign w:val="center"/>
          </w:tcPr>
          <w:p>
            <w:pPr>
              <w:jc w:val="center"/>
              <w:rPr>
                <w:rFonts w:hint="eastAsia" w:ascii="方正黑体_GBK" w:hAnsi="方正黑体_GBK" w:eastAsia="方正黑体_GBK" w:cs="方正黑体_GBK"/>
                <w:b/>
                <w:bCs/>
                <w:sz w:val="21"/>
                <w:szCs w:val="21"/>
                <w:lang w:eastAsia="zh-CN"/>
              </w:rPr>
            </w:pPr>
            <w:r>
              <w:rPr>
                <w:rFonts w:hint="eastAsia" w:ascii="方正黑体_GBK" w:hAnsi="方正黑体_GBK" w:eastAsia="方正黑体_GBK" w:cs="方正黑体_GBK"/>
                <w:b/>
                <w:bCs/>
                <w:sz w:val="21"/>
                <w:szCs w:val="21"/>
                <w:lang w:eastAsia="zh-CN"/>
              </w:rPr>
              <w:t>调整日期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dxa"/>
            <w:vAlign w:val="center"/>
          </w:tcPr>
          <w:p>
            <w:pPr>
              <w:spacing w:line="390" w:lineRule="exact"/>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业绩比较基准</w:t>
            </w:r>
          </w:p>
        </w:tc>
        <w:tc>
          <w:tcPr>
            <w:tcW w:w="3817" w:type="dxa"/>
            <w:vAlign w:val="center"/>
          </w:tcPr>
          <w:p>
            <w:pPr>
              <w:widowControl/>
              <w:spacing w:line="200" w:lineRule="exact"/>
              <w:ind w:firstLine="30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中债新综合财富指数（1-3年）收益率</w:t>
            </w:r>
          </w:p>
        </w:tc>
        <w:tc>
          <w:tcPr>
            <w:tcW w:w="4690" w:type="dxa"/>
            <w:vAlign w:val="center"/>
          </w:tcPr>
          <w:p>
            <w:pPr>
              <w:widowControl/>
              <w:spacing w:line="200" w:lineRule="exact"/>
              <w:ind w:firstLine="0"/>
              <w:jc w:val="center"/>
              <w:rPr>
                <w:rFonts w:hint="eastAsia" w:ascii="方正黑体_GBK" w:hAnsi="方正黑体_GBK" w:eastAsia="方正黑体_GBK" w:cs="宋体"/>
                <w:sz w:val="21"/>
                <w:szCs w:val="21"/>
                <w:lang w:eastAsia="zh-CN"/>
              </w:rPr>
            </w:pPr>
            <w:r>
              <w:rPr>
                <w:rFonts w:ascii="方正黑体_GBK" w:hAnsi="方正黑体_GBK" w:eastAsia="方正黑体_GBK" w:cs="宋体"/>
                <w:sz w:val="21"/>
                <w:szCs w:val="21"/>
              </w:rPr>
              <w:t>2.</w:t>
            </w:r>
            <w:r>
              <w:rPr>
                <w:rFonts w:hint="eastAsia" w:ascii="方正黑体_GBK" w:hAnsi="方正黑体_GBK" w:eastAsia="方正黑体_GBK" w:cs="宋体"/>
                <w:sz w:val="21"/>
                <w:szCs w:val="21"/>
                <w:lang w:val="en-US" w:eastAsia="zh-CN"/>
              </w:rPr>
              <w:t>7</w:t>
            </w:r>
            <w:r>
              <w:rPr>
                <w:rFonts w:ascii="方正黑体_GBK" w:hAnsi="方正黑体_GBK" w:eastAsia="方正黑体_GBK" w:cs="宋体"/>
                <w:sz w:val="21"/>
                <w:szCs w:val="21"/>
              </w:rPr>
              <w:t>%-</w:t>
            </w:r>
            <w:r>
              <w:rPr>
                <w:rFonts w:hint="eastAsia" w:ascii="方正黑体_GBK" w:hAnsi="方正黑体_GBK" w:eastAsia="方正黑体_GBK" w:cs="宋体"/>
                <w:sz w:val="21"/>
                <w:szCs w:val="21"/>
                <w:lang w:eastAsia="zh-CN"/>
              </w:rPr>
              <w:t>3.3%</w:t>
            </w:r>
          </w:p>
        </w:tc>
        <w:tc>
          <w:tcPr>
            <w:tcW w:w="1138" w:type="dxa"/>
            <w:vAlign w:val="center"/>
          </w:tcPr>
          <w:p>
            <w:pPr>
              <w:widowControl/>
              <w:spacing w:line="200" w:lineRule="exact"/>
              <w:ind w:firstLine="0"/>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2024年1</w:t>
            </w:r>
            <w:r>
              <w:rPr>
                <w:rFonts w:hint="eastAsia" w:ascii="方正黑体_GBK" w:hAnsi="方正黑体_GBK" w:eastAsia="方正黑体_GBK" w:cs="方正黑体_GBK"/>
                <w:sz w:val="21"/>
                <w:szCs w:val="21"/>
                <w:lang w:val="en-US" w:eastAsia="zh-CN"/>
              </w:rPr>
              <w:t>2</w:t>
            </w:r>
            <w:r>
              <w:rPr>
                <w:rFonts w:hint="eastAsia" w:ascii="方正黑体_GBK" w:hAnsi="方正黑体_GBK" w:eastAsia="方正黑体_GBK" w:cs="方正黑体_GBK"/>
                <w:sz w:val="21"/>
                <w:szCs w:val="21"/>
                <w:lang w:val="en-US" w:eastAsia="zh-CN"/>
              </w:rPr>
              <w:t>月2</w:t>
            </w:r>
            <w:r>
              <w:rPr>
                <w:rFonts w:hint="eastAsia" w:ascii="方正黑体_GBK" w:hAnsi="方正黑体_GBK" w:eastAsia="方正黑体_GBK" w:cs="方正黑体_GBK"/>
                <w:sz w:val="21"/>
                <w:szCs w:val="21"/>
                <w:lang w:val="en-US" w:eastAsia="zh-CN"/>
              </w:rPr>
              <w:t>6</w:t>
            </w:r>
            <w:r>
              <w:rPr>
                <w:rFonts w:hint="eastAsia" w:ascii="方正黑体_GBK" w:hAnsi="方正黑体_GBK" w:eastAsia="方正黑体_GBK" w:cs="方正黑体_GBK"/>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dxa"/>
            <w:vAlign w:val="center"/>
          </w:tcPr>
          <w:p>
            <w:pPr>
              <w:spacing w:line="390" w:lineRule="exact"/>
              <w:jc w:val="center"/>
              <w:rPr>
                <w:rFonts w:hint="eastAsia"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投资比例</w:t>
            </w:r>
          </w:p>
        </w:tc>
        <w:tc>
          <w:tcPr>
            <w:tcW w:w="3817" w:type="dxa"/>
            <w:vAlign w:val="center"/>
          </w:tcPr>
          <w:p>
            <w:pPr>
              <w:widowControl/>
              <w:spacing w:line="200" w:lineRule="exact"/>
              <w:ind w:firstLine="0"/>
              <w:jc w:val="left"/>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本理财产品投资于固定收益类资产的比例</w:t>
            </w:r>
            <w:r>
              <w:rPr>
                <w:rFonts w:hint="eastAsia" w:ascii="方正黑体_GBK" w:hAnsi="方正黑体_GBK" w:eastAsia="方正黑体_GBK" w:cs="方正黑体_GBK"/>
                <w:sz w:val="21"/>
                <w:szCs w:val="21"/>
                <w:lang w:eastAsia="zh-CN"/>
              </w:rPr>
              <w:t>为</w:t>
            </w:r>
            <w:r>
              <w:rPr>
                <w:rFonts w:hint="eastAsia" w:ascii="方正黑体_GBK" w:hAnsi="方正黑体_GBK" w:eastAsia="方正黑体_GBK" w:cs="方正黑体_GBK"/>
                <w:sz w:val="21"/>
                <w:szCs w:val="21"/>
                <w:lang w:val="en-US" w:eastAsia="zh-CN"/>
              </w:rPr>
              <w:t>10</w:t>
            </w:r>
            <w:r>
              <w:rPr>
                <w:rFonts w:hint="eastAsia" w:ascii="方正黑体_GBK" w:hAnsi="方正黑体_GBK" w:eastAsia="方正黑体_GBK" w:cs="方正黑体_GBK"/>
                <w:sz w:val="21"/>
                <w:szCs w:val="21"/>
              </w:rPr>
              <w:t>0%,投资于非标准化债权类资产的比例不高于50%。</w:t>
            </w:r>
          </w:p>
        </w:tc>
        <w:tc>
          <w:tcPr>
            <w:tcW w:w="4690" w:type="dxa"/>
            <w:vAlign w:val="center"/>
          </w:tcPr>
          <w:p>
            <w:pPr>
              <w:widowControl/>
              <w:spacing w:line="200" w:lineRule="exact"/>
              <w:ind w:firstLine="0"/>
              <w:jc w:val="left"/>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本理财产品投资于固定收益类资产的比例不低于80%,投资于非标准化债权类资产的比例不高于50%。</w:t>
            </w:r>
          </w:p>
        </w:tc>
        <w:tc>
          <w:tcPr>
            <w:tcW w:w="1138" w:type="dxa"/>
            <w:vAlign w:val="center"/>
          </w:tcPr>
          <w:p>
            <w:pPr>
              <w:widowControl/>
              <w:spacing w:line="200" w:lineRule="exact"/>
              <w:ind w:firstLine="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2024年1</w:t>
            </w:r>
            <w:r>
              <w:rPr>
                <w:rFonts w:hint="eastAsia" w:ascii="方正黑体_GBK" w:hAnsi="方正黑体_GBK" w:eastAsia="方正黑体_GBK" w:cs="方正黑体_GBK"/>
                <w:sz w:val="21"/>
                <w:szCs w:val="21"/>
                <w:lang w:val="en-US" w:eastAsia="zh-CN"/>
              </w:rPr>
              <w:t>2</w:t>
            </w:r>
            <w:r>
              <w:rPr>
                <w:rFonts w:hint="eastAsia" w:ascii="方正黑体_GBK" w:hAnsi="方正黑体_GBK" w:eastAsia="方正黑体_GBK" w:cs="方正黑体_GBK"/>
                <w:sz w:val="21"/>
                <w:szCs w:val="21"/>
                <w:lang w:val="en-US" w:eastAsia="zh-CN"/>
              </w:rPr>
              <w:t>月2</w:t>
            </w:r>
            <w:r>
              <w:rPr>
                <w:rFonts w:hint="eastAsia" w:ascii="方正黑体_GBK" w:hAnsi="方正黑体_GBK" w:eastAsia="方正黑体_GBK" w:cs="方正黑体_GBK"/>
                <w:sz w:val="21"/>
                <w:szCs w:val="21"/>
                <w:lang w:val="en-US" w:eastAsia="zh-CN"/>
              </w:rPr>
              <w:t>6</w:t>
            </w:r>
            <w:r>
              <w:rPr>
                <w:rFonts w:hint="eastAsia" w:ascii="方正黑体_GBK" w:hAnsi="方正黑体_GBK" w:eastAsia="方正黑体_GBK" w:cs="方正黑体_GBK"/>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dxa"/>
            <w:vAlign w:val="center"/>
          </w:tcPr>
          <w:p>
            <w:pPr>
              <w:spacing w:line="390" w:lineRule="exact"/>
              <w:jc w:val="center"/>
              <w:rPr>
                <w:rFonts w:hint="default"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申购/赎回规则</w:t>
            </w:r>
          </w:p>
        </w:tc>
        <w:tc>
          <w:tcPr>
            <w:tcW w:w="3817" w:type="dxa"/>
            <w:vAlign w:val="center"/>
          </w:tcPr>
          <w:p>
            <w:pPr>
              <w:widowControl/>
              <w:spacing w:line="200" w:lineRule="exact"/>
              <w:ind w:firstLine="0"/>
              <w:jc w:val="left"/>
              <w:rPr>
                <w:rFonts w:hint="eastAsia" w:ascii="方正黑体_GBK" w:hAnsi="方正黑体_GBK" w:eastAsia="方正黑体_GBK" w:cs="方正黑体_GBK"/>
                <w:sz w:val="21"/>
                <w:szCs w:val="21"/>
                <w:u w:val="none"/>
              </w:rPr>
            </w:pPr>
            <w:r>
              <w:rPr>
                <w:rFonts w:hint="eastAsia" w:ascii="方正黑体_GBK" w:hAnsi="方正黑体_GBK" w:eastAsia="方正黑体_GBK" w:cs="方正黑体_GBK"/>
                <w:sz w:val="21"/>
                <w:szCs w:val="21"/>
                <w:u w:val="none"/>
              </w:rPr>
              <w:t>申购时间：申购开放期首日9：00-申购开放期末日17：00。</w:t>
            </w:r>
          </w:p>
          <w:p>
            <w:pPr>
              <w:widowControl/>
              <w:spacing w:line="200" w:lineRule="exact"/>
              <w:ind w:firstLine="0"/>
              <w:jc w:val="left"/>
              <w:rPr>
                <w:rFonts w:hint="eastAsia" w:ascii="方正黑体_GBK" w:hAnsi="方正黑体_GBK" w:eastAsia="方正黑体_GBK" w:cs="方正黑体_GBK"/>
                <w:sz w:val="21"/>
                <w:szCs w:val="21"/>
                <w:u w:val="none"/>
              </w:rPr>
            </w:pPr>
            <w:r>
              <w:rPr>
                <w:rFonts w:hint="eastAsia" w:ascii="方正黑体_GBK" w:hAnsi="方正黑体_GBK" w:eastAsia="方正黑体_GBK" w:cs="方正黑体_GBK"/>
                <w:sz w:val="21"/>
                <w:szCs w:val="21"/>
                <w:u w:val="none"/>
              </w:rPr>
              <w:t>赎回时间：赎回开放期首日9：00-赎回开放期末日17：00。申购/赎回开放日和确认日另行公告。</w:t>
            </w:r>
          </w:p>
          <w:p>
            <w:pPr>
              <w:widowControl/>
              <w:spacing w:line="200" w:lineRule="exact"/>
              <w:ind w:firstLine="0"/>
              <w:jc w:val="left"/>
              <w:rPr>
                <w:rFonts w:hint="eastAsia" w:ascii="方正黑体_GBK" w:hAnsi="方正黑体_GBK" w:eastAsia="方正黑体_GBK" w:cs="方正黑体_GBK"/>
                <w:sz w:val="21"/>
                <w:szCs w:val="21"/>
                <w:u w:val="none"/>
              </w:rPr>
            </w:pPr>
            <w:r>
              <w:rPr>
                <w:rFonts w:hint="eastAsia" w:ascii="方正黑体_GBK" w:hAnsi="方正黑体_GBK" w:eastAsia="方正黑体_GBK" w:cs="方正黑体_GBK"/>
                <w:sz w:val="21"/>
                <w:szCs w:val="21"/>
                <w:u w:val="none"/>
              </w:rPr>
              <w:t>代销机构可根据其销售需要在管理人设定的申购/赎回时间范围内对申购/赎回时间进行重新设定，投资者通过代销机构购买本理财产品的，以该代销机构最终披露的时间为准。</w:t>
            </w:r>
          </w:p>
        </w:tc>
        <w:tc>
          <w:tcPr>
            <w:tcW w:w="4690" w:type="dxa"/>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00" w:lineRule="exact"/>
              <w:ind w:left="0" w:right="0" w:firstLine="0"/>
              <w:jc w:val="left"/>
              <w:outlineLvl w:val="9"/>
              <w:rPr>
                <w:rFonts w:hint="eastAsia" w:ascii="方正黑体_GBK" w:hAnsi="方正黑体_GBK" w:eastAsia="方正黑体_GBK" w:cs="方正黑体_GBK"/>
                <w:sz w:val="21"/>
                <w:szCs w:val="21"/>
                <w:u w:val="none"/>
              </w:rPr>
            </w:pPr>
            <w:r>
              <w:rPr>
                <w:rFonts w:hint="eastAsia" w:ascii="方正黑体_GBK" w:hAnsi="方正黑体_GBK" w:eastAsia="方正黑体_GBK" w:cs="方正黑体_GBK"/>
                <w:b w:val="0"/>
                <w:bCs w:val="0"/>
                <w:caps w:val="0"/>
                <w:kern w:val="2"/>
                <w:sz w:val="21"/>
                <w:szCs w:val="21"/>
                <w:u w:val="none"/>
                <w:vertAlign w:val="baseline"/>
                <w:lang w:val="en-US" w:eastAsia="zh-CN" w:bidi="ar"/>
              </w:rPr>
              <w:t>各份额申购/赎回规则如下：</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00" w:lineRule="exact"/>
              <w:ind w:left="0" w:right="0" w:firstLine="0"/>
              <w:jc w:val="left"/>
              <w:outlineLvl w:val="9"/>
              <w:rPr>
                <w:rFonts w:hint="eastAsia" w:ascii="方正黑体_GBK" w:hAnsi="方正黑体_GBK" w:eastAsia="方正黑体_GBK" w:cs="方正黑体_GBK"/>
                <w:sz w:val="21"/>
                <w:szCs w:val="21"/>
                <w:u w:val="none"/>
              </w:rPr>
            </w:pPr>
            <w:r>
              <w:rPr>
                <w:rFonts w:hint="eastAsia" w:ascii="方正黑体_GBK" w:hAnsi="方正黑体_GBK" w:eastAsia="方正黑体_GBK" w:cs="方正黑体_GBK"/>
                <w:b w:val="0"/>
                <w:bCs w:val="0"/>
                <w:caps w:val="0"/>
                <w:kern w:val="2"/>
                <w:sz w:val="21"/>
                <w:szCs w:val="21"/>
                <w:u w:val="none"/>
                <w:vertAlign w:val="baseline"/>
                <w:lang w:val="en-US" w:eastAsia="zh-CN" w:bidi="ar"/>
              </w:rPr>
              <w:t>A份额：开放期内投资者可以提交或撤销申购和赎回申请，本次开放期为2024年12月19日9：00至2024年12月25日17：00。</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00" w:lineRule="exact"/>
              <w:ind w:left="0" w:right="0" w:firstLine="0"/>
              <w:jc w:val="left"/>
              <w:outlineLvl w:val="9"/>
              <w:rPr>
                <w:rFonts w:hint="eastAsia" w:ascii="方正黑体_GBK" w:hAnsi="方正黑体_GBK" w:eastAsia="方正黑体_GBK" w:cs="方正黑体_GBK"/>
                <w:sz w:val="21"/>
                <w:szCs w:val="21"/>
                <w:u w:val="none"/>
              </w:rPr>
            </w:pPr>
            <w:r>
              <w:rPr>
                <w:rFonts w:hint="eastAsia" w:ascii="方正黑体_GBK" w:hAnsi="方正黑体_GBK" w:eastAsia="方正黑体_GBK" w:cs="方正黑体_GBK"/>
                <w:b w:val="0"/>
                <w:bCs w:val="0"/>
                <w:caps w:val="0"/>
                <w:kern w:val="2"/>
                <w:sz w:val="21"/>
                <w:szCs w:val="21"/>
                <w:u w:val="none"/>
                <w:vertAlign w:val="baseline"/>
                <w:lang w:val="en-US" w:eastAsia="zh-CN" w:bidi="ar"/>
              </w:rPr>
              <w:t>B份额：开放期内投资者可以提交或撤销申购申请（不可发起赎回申请），本次开放期为2024年12月19日9：00至2024年12月25日17：00。</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00" w:lineRule="exact"/>
              <w:ind w:left="0" w:right="0" w:firstLine="0"/>
              <w:jc w:val="left"/>
              <w:outlineLvl w:val="9"/>
              <w:rPr>
                <w:rFonts w:hint="eastAsia" w:ascii="方正黑体_GBK" w:hAnsi="方正黑体_GBK" w:eastAsia="方正黑体_GBK" w:cs="方正黑体_GBK"/>
                <w:sz w:val="21"/>
                <w:szCs w:val="21"/>
                <w:u w:val="none"/>
              </w:rPr>
            </w:pPr>
            <w:r>
              <w:rPr>
                <w:rFonts w:hint="eastAsia" w:ascii="方正黑体_GBK" w:hAnsi="方正黑体_GBK" w:eastAsia="方正黑体_GBK" w:cs="方正黑体_GBK"/>
                <w:b w:val="0"/>
                <w:bCs w:val="0"/>
                <w:caps w:val="0"/>
                <w:kern w:val="2"/>
                <w:sz w:val="21"/>
                <w:szCs w:val="21"/>
                <w:u w:val="none"/>
                <w:vertAlign w:val="baseline"/>
                <w:lang w:val="en-US" w:eastAsia="zh-CN" w:bidi="ar"/>
              </w:rPr>
              <w:t>C份额/D份额：开放期内投资者可以提交或撤销申购申请（不可发起赎回申请），本次开放期为2024年12月26日9：00至2025年1月2日17：00。</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00" w:lineRule="exact"/>
              <w:ind w:left="0" w:right="0" w:firstLine="0"/>
              <w:jc w:val="left"/>
              <w:outlineLvl w:val="9"/>
              <w:rPr>
                <w:rFonts w:hint="eastAsia" w:ascii="方正黑体_GBK" w:hAnsi="方正黑体_GBK" w:eastAsia="方正黑体_GBK" w:cs="方正黑体_GBK"/>
                <w:sz w:val="21"/>
                <w:szCs w:val="21"/>
                <w:u w:val="none"/>
              </w:rPr>
            </w:pPr>
            <w:r>
              <w:rPr>
                <w:rFonts w:hint="eastAsia" w:ascii="方正黑体_GBK" w:hAnsi="方正黑体_GBK" w:eastAsia="方正黑体_GBK" w:cs="方正黑体_GBK"/>
                <w:b w:val="0"/>
                <w:bCs w:val="0"/>
                <w:caps w:val="0"/>
                <w:kern w:val="2"/>
                <w:sz w:val="21"/>
                <w:szCs w:val="21"/>
                <w:u w:val="none"/>
                <w:vertAlign w:val="baseline"/>
                <w:lang w:val="en-US" w:eastAsia="zh-CN" w:bidi="ar"/>
              </w:rPr>
              <w:t>E份额/F份额：开放期内投资者可以提交或撤销申购申请（不可发起赎回申请），本次开放期为2025年1月3日9：00至2025年1月9日17：00。</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00" w:lineRule="exact"/>
              <w:ind w:left="0" w:right="0" w:firstLine="0"/>
              <w:jc w:val="left"/>
              <w:outlineLvl w:val="9"/>
              <w:rPr>
                <w:rFonts w:hint="eastAsia" w:ascii="方正黑体_GBK" w:hAnsi="方正黑体_GBK" w:eastAsia="方正黑体_GBK" w:cs="方正黑体_GBK"/>
                <w:sz w:val="21"/>
                <w:szCs w:val="21"/>
                <w:u w:val="none"/>
              </w:rPr>
            </w:pPr>
            <w:r>
              <w:rPr>
                <w:rFonts w:hint="eastAsia" w:ascii="方正黑体_GBK" w:hAnsi="方正黑体_GBK" w:eastAsia="方正黑体_GBK" w:cs="方正黑体_GBK"/>
                <w:b w:val="0"/>
                <w:bCs w:val="0"/>
                <w:caps w:val="0"/>
                <w:kern w:val="2"/>
                <w:sz w:val="21"/>
                <w:szCs w:val="21"/>
                <w:u w:val="none"/>
                <w:vertAlign w:val="baseline"/>
                <w:lang w:val="en-US" w:eastAsia="zh-CN" w:bidi="ar"/>
              </w:rPr>
              <w:t>本次开放期B份额/D份额/F份额中申购成功的客户份额，均将于下一个开放期（2026年1月23日至2026年1月29日）自动赎回。</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00" w:lineRule="exact"/>
              <w:ind w:left="0" w:right="0" w:firstLine="0"/>
              <w:jc w:val="left"/>
              <w:outlineLvl w:val="9"/>
              <w:rPr>
                <w:rFonts w:hint="eastAsia" w:ascii="方正黑体_GBK" w:hAnsi="方正黑体_GBK" w:eastAsia="方正黑体_GBK" w:cs="方正黑体_GBK"/>
                <w:b/>
                <w:bCs/>
                <w:sz w:val="21"/>
                <w:szCs w:val="21"/>
                <w:u w:val="none"/>
              </w:rPr>
            </w:pPr>
            <w:r>
              <w:rPr>
                <w:rFonts w:hint="eastAsia" w:ascii="方正黑体_GBK" w:hAnsi="方正黑体_GBK" w:eastAsia="方正黑体_GBK" w:cs="方正黑体_GBK"/>
                <w:b/>
                <w:bCs/>
                <w:caps w:val="0"/>
                <w:kern w:val="2"/>
                <w:sz w:val="21"/>
                <w:szCs w:val="21"/>
                <w:u w:val="none"/>
                <w:vertAlign w:val="baseline"/>
                <w:lang w:val="en-US" w:eastAsia="zh-CN" w:bidi="ar"/>
              </w:rPr>
              <w:t>本次开放期C份额/E份额中申购成功的客户份额，投资者可在下一个开放期（2026年1月23日至2026年1月29日）提交或撤销赎回申请。</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00" w:lineRule="exact"/>
              <w:ind w:left="0" w:right="0" w:firstLine="0"/>
              <w:jc w:val="left"/>
              <w:outlineLvl w:val="9"/>
              <w:rPr>
                <w:rFonts w:hint="eastAsia" w:ascii="方正黑体_GBK" w:hAnsi="方正黑体_GBK" w:eastAsia="方正黑体_GBK" w:cs="方正黑体_GBK"/>
                <w:sz w:val="21"/>
                <w:szCs w:val="21"/>
                <w:u w:val="none"/>
              </w:rPr>
            </w:pPr>
            <w:r>
              <w:rPr>
                <w:rFonts w:hint="eastAsia" w:ascii="方正黑体_GBK" w:hAnsi="方正黑体_GBK" w:eastAsia="方正黑体_GBK" w:cs="方正黑体_GBK"/>
                <w:b w:val="0"/>
                <w:bCs w:val="0"/>
                <w:caps w:val="0"/>
                <w:kern w:val="2"/>
                <w:sz w:val="21"/>
                <w:szCs w:val="21"/>
                <w:u w:val="none"/>
                <w:vertAlign w:val="baseline"/>
                <w:lang w:val="en-US" w:eastAsia="zh-CN" w:bidi="ar"/>
              </w:rPr>
              <w:t>产品开放期如有调整以管理人公告为准。</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00" w:lineRule="exact"/>
              <w:ind w:left="0" w:right="0" w:firstLine="0"/>
              <w:jc w:val="left"/>
              <w:outlineLvl w:val="9"/>
              <w:rPr>
                <w:rFonts w:hint="eastAsia" w:ascii="方正黑体_GBK" w:hAnsi="方正黑体_GBK" w:eastAsia="方正黑体_GBK" w:cs="方正黑体_GBK"/>
                <w:sz w:val="21"/>
                <w:szCs w:val="21"/>
                <w:u w:val="none"/>
              </w:rPr>
            </w:pPr>
            <w:r>
              <w:rPr>
                <w:rFonts w:hint="eastAsia" w:ascii="方正黑体_GBK" w:hAnsi="方正黑体_GBK" w:eastAsia="方正黑体_GBK" w:cs="方正黑体_GBK"/>
                <w:b w:val="0"/>
                <w:bCs w:val="0"/>
                <w:caps w:val="0"/>
                <w:kern w:val="2"/>
                <w:sz w:val="21"/>
                <w:szCs w:val="21"/>
                <w:u w:val="none"/>
                <w:vertAlign w:val="baseline"/>
                <w:lang w:val="en-US" w:eastAsia="zh-CN" w:bidi="ar"/>
              </w:rPr>
              <w:t>代销机构可根据其销售需要在管理人设定的申购/赎回时间范围内对申购/赎回时间进行重新设定，投资者通过代销机构购买本理财产品的，以该代销机构最终披露的时间为准。</w:t>
            </w:r>
          </w:p>
          <w:p>
            <w:pPr>
              <w:widowControl/>
              <w:spacing w:line="200" w:lineRule="exact"/>
              <w:ind w:firstLine="0"/>
              <w:jc w:val="left"/>
              <w:rPr>
                <w:rFonts w:hint="eastAsia" w:ascii="方正黑体_GBK" w:hAnsi="方正黑体_GBK" w:eastAsia="方正黑体_GBK" w:cs="方正黑体_GBK"/>
                <w:sz w:val="21"/>
                <w:szCs w:val="21"/>
              </w:rPr>
            </w:pPr>
          </w:p>
        </w:tc>
        <w:tc>
          <w:tcPr>
            <w:tcW w:w="1138" w:type="dxa"/>
            <w:vAlign w:val="center"/>
          </w:tcPr>
          <w:p>
            <w:pPr>
              <w:widowControl/>
              <w:spacing w:line="200" w:lineRule="exact"/>
              <w:ind w:firstLine="0"/>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2024年1</w:t>
            </w:r>
            <w:r>
              <w:rPr>
                <w:rFonts w:hint="eastAsia" w:ascii="方正黑体_GBK" w:hAnsi="方正黑体_GBK" w:eastAsia="方正黑体_GBK" w:cs="方正黑体_GBK"/>
                <w:sz w:val="21"/>
                <w:szCs w:val="21"/>
                <w:lang w:val="en-US" w:eastAsia="zh-CN"/>
              </w:rPr>
              <w:t>2</w:t>
            </w:r>
            <w:r>
              <w:rPr>
                <w:rFonts w:hint="eastAsia" w:ascii="方正黑体_GBK" w:hAnsi="方正黑体_GBK" w:eastAsia="方正黑体_GBK" w:cs="方正黑体_GBK"/>
                <w:sz w:val="21"/>
                <w:szCs w:val="21"/>
                <w:lang w:val="en-US" w:eastAsia="zh-CN"/>
              </w:rPr>
              <w:t>月2</w:t>
            </w:r>
            <w:r>
              <w:rPr>
                <w:rFonts w:hint="eastAsia" w:ascii="方正黑体_GBK" w:hAnsi="方正黑体_GBK" w:eastAsia="方正黑体_GBK" w:cs="方正黑体_GBK"/>
                <w:sz w:val="21"/>
                <w:szCs w:val="21"/>
                <w:lang w:val="en-US" w:eastAsia="zh-CN"/>
              </w:rPr>
              <w:t>6</w:t>
            </w:r>
            <w:r>
              <w:rPr>
                <w:rFonts w:hint="eastAsia" w:ascii="方正黑体_GBK" w:hAnsi="方正黑体_GBK" w:eastAsia="方正黑体_GBK" w:cs="方正黑体_GBK"/>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dxa"/>
            <w:vAlign w:val="center"/>
          </w:tcPr>
          <w:p>
            <w:pPr>
              <w:spacing w:line="390" w:lineRule="exact"/>
              <w:jc w:val="center"/>
              <w:rPr>
                <w:rFonts w:hint="eastAsia" w:ascii="方正黑体_GBK" w:hAnsi="方正黑体_GBK" w:eastAsia="方正黑体_GBK" w:cs="方正黑体_GBK"/>
                <w:b w:val="0"/>
                <w:bCs w:val="0"/>
                <w:color w:val="000000"/>
                <w:kern w:val="0"/>
                <w:sz w:val="21"/>
                <w:szCs w:val="21"/>
                <w:lang w:eastAsia="zh-CN"/>
              </w:rPr>
            </w:pPr>
            <w:r>
              <w:rPr>
                <w:rFonts w:hint="eastAsia" w:ascii="方正黑体_GBK" w:hAnsi="方正黑体_GBK" w:eastAsia="方正黑体_GBK" w:cs="方正黑体_GBK"/>
                <w:b w:val="0"/>
                <w:bCs w:val="0"/>
                <w:sz w:val="21"/>
                <w:szCs w:val="21"/>
                <w:lang w:val="en-US" w:eastAsia="zh-CN"/>
              </w:rPr>
              <w:t>产品费用</w:t>
            </w:r>
          </w:p>
        </w:tc>
        <w:tc>
          <w:tcPr>
            <w:tcW w:w="3817" w:type="dxa"/>
            <w:vAlign w:val="center"/>
          </w:tcPr>
          <w:p>
            <w:pPr>
              <w:widowControl/>
              <w:spacing w:line="200" w:lineRule="exact"/>
              <w:jc w:val="left"/>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认/申购费：本理财产品暂不收取认/申购费。</w:t>
            </w:r>
          </w:p>
          <w:p>
            <w:pPr>
              <w:widowControl/>
              <w:spacing w:line="200" w:lineRule="exact"/>
              <w:jc w:val="left"/>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赎回费：本理财产品暂不收取赎回费。</w:t>
            </w:r>
          </w:p>
          <w:p>
            <w:pPr>
              <w:widowControl/>
              <w:spacing w:line="200" w:lineRule="exact"/>
              <w:jc w:val="left"/>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销售费：本理财产品按</w:t>
            </w:r>
            <w:r>
              <w:rPr>
                <w:rFonts w:hint="eastAsia" w:ascii="方正黑体_GBK" w:hAnsi="方正黑体_GBK" w:eastAsia="方正黑体_GBK" w:cs="方正黑体_GBK"/>
                <w:b w:val="0"/>
                <w:bCs w:val="0"/>
                <w:sz w:val="21"/>
                <w:szCs w:val="21"/>
                <w:lang w:eastAsia="zh-CN"/>
              </w:rPr>
              <w:t>当日理财产品份额</w:t>
            </w:r>
            <w:r>
              <w:rPr>
                <w:rFonts w:hint="eastAsia" w:ascii="方正黑体_GBK" w:hAnsi="方正黑体_GBK" w:eastAsia="方正黑体_GBK" w:cs="方正黑体_GBK"/>
                <w:b w:val="0"/>
                <w:bCs w:val="0"/>
                <w:sz w:val="21"/>
                <w:szCs w:val="21"/>
              </w:rPr>
              <w:t>收取年化0.2%的销售费，按日计提。</w:t>
            </w:r>
          </w:p>
          <w:p>
            <w:pPr>
              <w:widowControl/>
              <w:spacing w:line="200" w:lineRule="exact"/>
              <w:jc w:val="left"/>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每日计提的销售费=</w:t>
            </w:r>
            <w:r>
              <w:rPr>
                <w:rFonts w:hint="eastAsia" w:ascii="方正黑体_GBK" w:hAnsi="方正黑体_GBK" w:eastAsia="方正黑体_GBK" w:cs="方正黑体_GBK"/>
                <w:b w:val="0"/>
                <w:bCs w:val="0"/>
                <w:sz w:val="21"/>
                <w:szCs w:val="21"/>
                <w:lang w:eastAsia="zh-CN"/>
              </w:rPr>
              <w:t>当日理财产品份额</w:t>
            </w:r>
            <w:r>
              <w:rPr>
                <w:rFonts w:hint="eastAsia" w:ascii="方正黑体_GBK" w:hAnsi="方正黑体_GBK" w:eastAsia="方正黑体_GBK" w:cs="方正黑体_GBK"/>
                <w:b w:val="0"/>
                <w:bCs w:val="0"/>
                <w:sz w:val="21"/>
                <w:szCs w:val="21"/>
              </w:rPr>
              <w:t>×年化销售费率÷365</w:t>
            </w:r>
          </w:p>
          <w:p>
            <w:pPr>
              <w:widowControl/>
              <w:spacing w:line="200" w:lineRule="exact"/>
              <w:jc w:val="left"/>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固定管理费：本理财产品按</w:t>
            </w:r>
            <w:r>
              <w:rPr>
                <w:rFonts w:hint="eastAsia" w:ascii="方正黑体_GBK" w:hAnsi="方正黑体_GBK" w:eastAsia="方正黑体_GBK" w:cs="方正黑体_GBK"/>
                <w:b w:val="0"/>
                <w:bCs w:val="0"/>
                <w:sz w:val="21"/>
                <w:szCs w:val="21"/>
                <w:lang w:eastAsia="zh-CN"/>
              </w:rPr>
              <w:t>当日理财产品份额</w:t>
            </w:r>
            <w:r>
              <w:rPr>
                <w:rFonts w:hint="eastAsia" w:ascii="方正黑体_GBK" w:hAnsi="方正黑体_GBK" w:eastAsia="方正黑体_GBK" w:cs="方正黑体_GBK"/>
                <w:b w:val="0"/>
                <w:bCs w:val="0"/>
                <w:sz w:val="21"/>
                <w:szCs w:val="21"/>
              </w:rPr>
              <w:t>收取年化0.4%的固定管理费，按日计提。</w:t>
            </w:r>
          </w:p>
          <w:p>
            <w:pPr>
              <w:widowControl/>
              <w:spacing w:line="200" w:lineRule="exact"/>
              <w:jc w:val="left"/>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每日计提的固定管理费=</w:t>
            </w:r>
            <w:r>
              <w:rPr>
                <w:rFonts w:hint="eastAsia" w:ascii="方正黑体_GBK" w:hAnsi="方正黑体_GBK" w:eastAsia="方正黑体_GBK" w:cs="方正黑体_GBK"/>
                <w:b w:val="0"/>
                <w:bCs w:val="0"/>
                <w:sz w:val="21"/>
                <w:szCs w:val="21"/>
                <w:lang w:eastAsia="zh-CN"/>
              </w:rPr>
              <w:t>当日理财产品份额</w:t>
            </w:r>
            <w:r>
              <w:rPr>
                <w:rFonts w:hint="eastAsia" w:ascii="方正黑体_GBK" w:hAnsi="方正黑体_GBK" w:eastAsia="方正黑体_GBK" w:cs="方正黑体_GBK"/>
                <w:b w:val="0"/>
                <w:bCs w:val="0"/>
                <w:sz w:val="21"/>
                <w:szCs w:val="21"/>
              </w:rPr>
              <w:t>×年化固定管理费率÷365</w:t>
            </w:r>
          </w:p>
          <w:p>
            <w:pPr>
              <w:widowControl/>
              <w:spacing w:line="200" w:lineRule="exact"/>
              <w:jc w:val="left"/>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托管费：本理财产品按</w:t>
            </w:r>
            <w:r>
              <w:rPr>
                <w:rFonts w:hint="eastAsia" w:ascii="方正黑体_GBK" w:hAnsi="方正黑体_GBK" w:eastAsia="方正黑体_GBK" w:cs="方正黑体_GBK"/>
                <w:b w:val="0"/>
                <w:bCs w:val="0"/>
                <w:sz w:val="21"/>
                <w:szCs w:val="21"/>
                <w:lang w:eastAsia="zh-CN"/>
              </w:rPr>
              <w:t>当日理财产品份额</w:t>
            </w:r>
            <w:r>
              <w:rPr>
                <w:rFonts w:hint="eastAsia" w:ascii="方正黑体_GBK" w:hAnsi="方正黑体_GBK" w:eastAsia="方正黑体_GBK" w:cs="方正黑体_GBK"/>
                <w:b w:val="0"/>
                <w:bCs w:val="0"/>
                <w:sz w:val="21"/>
                <w:szCs w:val="21"/>
              </w:rPr>
              <w:t>收取年化0.02%的托管费，按日计提。</w:t>
            </w:r>
          </w:p>
          <w:p>
            <w:pPr>
              <w:widowControl/>
              <w:spacing w:line="200" w:lineRule="exact"/>
              <w:jc w:val="left"/>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每日计提的托管费=</w:t>
            </w:r>
            <w:r>
              <w:rPr>
                <w:rFonts w:hint="eastAsia" w:ascii="方正黑体_GBK" w:hAnsi="方正黑体_GBK" w:eastAsia="方正黑体_GBK" w:cs="方正黑体_GBK"/>
                <w:b w:val="0"/>
                <w:bCs w:val="0"/>
                <w:sz w:val="21"/>
                <w:szCs w:val="21"/>
                <w:lang w:eastAsia="zh-CN"/>
              </w:rPr>
              <w:t>当日理财产品份额</w:t>
            </w:r>
            <w:r>
              <w:rPr>
                <w:rFonts w:hint="eastAsia" w:ascii="方正黑体_GBK" w:hAnsi="方正黑体_GBK" w:eastAsia="方正黑体_GBK" w:cs="方正黑体_GBK"/>
                <w:b w:val="0"/>
                <w:bCs w:val="0"/>
                <w:sz w:val="21"/>
                <w:szCs w:val="21"/>
              </w:rPr>
              <w:t>×年化托管费率÷365</w:t>
            </w:r>
          </w:p>
          <w:p>
            <w:pPr>
              <w:widowControl/>
              <w:spacing w:line="200" w:lineRule="exact"/>
              <w:jc w:val="left"/>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业绩报酬：本理财产品暂不收取业绩报酬。</w:t>
            </w:r>
          </w:p>
          <w:p>
            <w:pPr>
              <w:widowControl/>
              <w:spacing w:line="200" w:lineRule="exact"/>
              <w:ind w:firstLine="0" w:firstLineChars="0"/>
              <w:jc w:val="left"/>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c>
          <w:tcPr>
            <w:tcW w:w="4690" w:type="dxa"/>
            <w:vAlign w:val="center"/>
          </w:tcPr>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认/申购费：本理财产品暂不收取认/申购费。</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赎回费：本理财产品暂不收取赎回费。</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销售费：本理财产品按前一日理财产品资产净值收取年化0.2%的销售费，按日计提。</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每日计提的销售费=前一日理财产品资产净值×年化销售费率÷365</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固定管理费：本理财产品按前一日理财产品资产净值收取年化0.4%的固定管理费，按日计提。</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每日计提的固定管理费=前一日理财产品资产净值×年化固定管理费率÷365</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托管费：本理财产品按前一日理财产品资产净值收取年化0.02%的托管费，按日计提。</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每日计提的托管费=前一日理财产品资产净值×年化托管费率÷365</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业绩报酬：</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申购/赎回确认日和产品实际到期时，当期产品投资的实际资产组合收益（扣除销售费、固定管理费、托管费等相关费用）超过</w:t>
            </w:r>
            <w:r>
              <w:rPr>
                <w:rFonts w:hint="eastAsia" w:ascii="方正黑体_GBK" w:hAnsi="方正黑体_GBK" w:eastAsia="方正黑体_GBK" w:cs="方正黑体_GBK"/>
                <w:b w:val="0"/>
                <w:bCs w:val="0"/>
                <w:sz w:val="21"/>
                <w:szCs w:val="21"/>
                <w:lang w:eastAsia="zh-CN"/>
              </w:rPr>
              <w:t>3.3%</w:t>
            </w:r>
            <w:r>
              <w:rPr>
                <w:rFonts w:hint="eastAsia" w:ascii="方正黑体_GBK" w:hAnsi="方正黑体_GBK" w:eastAsia="方正黑体_GBK" w:cs="方正黑体_GBK"/>
                <w:b w:val="0"/>
                <w:bCs w:val="0"/>
                <w:sz w:val="21"/>
                <w:szCs w:val="21"/>
              </w:rPr>
              <w:t>（年化，即产品该份额对应的业绩报酬计提基准）时，超过部分管理人将按60%收取业绩报酬。</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注：1.根据财政部《资产管理产品相关会计处理规定》（财会〔2022〕14号）“将当期发生的管理人报酬计入当期损益”的相关规定，本理财产品将每日计提暂估的业绩报酬（如有）。</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计算本区间业绩报酬的公式如下：</w:t>
            </w:r>
          </w:p>
          <w:p>
            <w:pPr>
              <w:spacing w:line="200" w:lineRule="exact"/>
              <w:rPr>
                <w:rFonts w:hint="eastAsia" w:ascii="方正黑体_GBK" w:hAnsi="方正黑体_GBK" w:eastAsia="方正黑体_GBK" w:cs="方正黑体_GBK"/>
                <w:b w:val="0"/>
                <w:bCs w:val="0"/>
                <w:sz w:val="24"/>
                <w:szCs w:val="32"/>
              </w:rPr>
            </w:pPr>
            <w:r>
              <w:rPr>
                <w:rFonts w:hint="eastAsia" w:ascii="方正黑体_GBK" w:hAnsi="方正黑体_GBK" w:eastAsia="方正黑体_GBK" w:cs="方正黑体_GBK"/>
                <w:b w:val="0"/>
                <w:bCs w:val="0"/>
                <w:sz w:val="21"/>
                <w:szCs w:val="21"/>
              </w:rPr>
              <w:t>A={B-C*D*(1+E*F/365)}*G。</w:t>
            </w:r>
          </w:p>
          <w:p>
            <w:pPr>
              <w:widowControl/>
              <w:spacing w:line="200" w:lineRule="exact"/>
              <w:ind w:firstLine="300" w:firstLineChars="0"/>
              <w:jc w:val="left"/>
              <w:rPr>
                <w:rFonts w:hint="eastAsia" w:ascii="方正黑体_GBK" w:hAnsi="方正黑体_GBK" w:eastAsia="方正黑体_GBK" w:cs="方正黑体_GBK"/>
                <w:b w:val="0"/>
                <w:bCs w:val="0"/>
                <w:color w:val="000000"/>
                <w:kern w:val="0"/>
                <w:sz w:val="21"/>
                <w:szCs w:val="21"/>
              </w:rPr>
            </w:pPr>
            <w:r>
              <w:rPr>
                <w:rFonts w:hint="eastAsia" w:ascii="方正黑体_GBK" w:hAnsi="方正黑体_GBK" w:eastAsia="方正黑体_GBK" w:cs="方正黑体_GBK"/>
                <w:b w:val="0"/>
                <w:bCs w:val="0"/>
                <w:sz w:val="21"/>
                <w:szCs w:val="21"/>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c>
          <w:tcPr>
            <w:tcW w:w="1138" w:type="dxa"/>
            <w:vAlign w:val="center"/>
          </w:tcPr>
          <w:p>
            <w:pPr>
              <w:widowControl/>
              <w:spacing w:line="200" w:lineRule="exact"/>
              <w:ind w:firstLine="0" w:firstLineChars="0"/>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2024年1</w:t>
            </w:r>
            <w:r>
              <w:rPr>
                <w:rFonts w:hint="eastAsia" w:ascii="方正黑体_GBK" w:hAnsi="方正黑体_GBK" w:eastAsia="方正黑体_GBK" w:cs="方正黑体_GBK"/>
                <w:sz w:val="21"/>
                <w:szCs w:val="21"/>
                <w:lang w:val="en-US" w:eastAsia="zh-CN"/>
              </w:rPr>
              <w:t>2</w:t>
            </w:r>
            <w:r>
              <w:rPr>
                <w:rFonts w:hint="eastAsia" w:ascii="方正黑体_GBK" w:hAnsi="方正黑体_GBK" w:eastAsia="方正黑体_GBK" w:cs="方正黑体_GBK"/>
                <w:sz w:val="21"/>
                <w:szCs w:val="21"/>
                <w:lang w:val="en-US" w:eastAsia="zh-CN"/>
              </w:rPr>
              <w:t>月2</w:t>
            </w:r>
            <w:r>
              <w:rPr>
                <w:rFonts w:hint="eastAsia" w:ascii="方正黑体_GBK" w:hAnsi="方正黑体_GBK" w:eastAsia="方正黑体_GBK" w:cs="方正黑体_GBK"/>
                <w:sz w:val="21"/>
                <w:szCs w:val="21"/>
                <w:lang w:val="en-US" w:eastAsia="zh-CN"/>
              </w:rPr>
              <w:t>6</w:t>
            </w:r>
            <w:r>
              <w:rPr>
                <w:rFonts w:hint="eastAsia" w:ascii="方正黑体_GBK" w:hAnsi="方正黑体_GBK" w:eastAsia="方正黑体_GBK" w:cs="方正黑体_GBK"/>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dxa"/>
            <w:vAlign w:val="center"/>
          </w:tcPr>
          <w:p>
            <w:pPr>
              <w:spacing w:line="390" w:lineRule="exact"/>
              <w:jc w:val="center"/>
              <w:rPr>
                <w:rFonts w:hint="eastAsia" w:ascii="方正黑体_GBK" w:hAnsi="方正黑体_GBK" w:eastAsia="方正黑体_GBK" w:cs="方正黑体_GBK"/>
                <w:b w:val="0"/>
                <w:bCs w:val="0"/>
                <w:sz w:val="21"/>
                <w:szCs w:val="21"/>
                <w:lang w:val="en-US" w:eastAsia="zh-CN"/>
              </w:rPr>
            </w:pPr>
            <w:r>
              <w:rPr>
                <w:rFonts w:hint="eastAsia" w:ascii="方正黑体_GBK" w:hAnsi="方正黑体_GBK" w:eastAsia="方正黑体_GBK" w:cs="方正黑体_GBK"/>
                <w:sz w:val="21"/>
                <w:szCs w:val="21"/>
                <w:lang w:val="en-US" w:eastAsia="zh-CN"/>
              </w:rPr>
              <w:t>管理费、销售费、托管费计提基准</w:t>
            </w:r>
          </w:p>
        </w:tc>
        <w:tc>
          <w:tcPr>
            <w:tcW w:w="3817" w:type="dxa"/>
            <w:vAlign w:val="center"/>
          </w:tcPr>
          <w:p>
            <w:pPr>
              <w:widowControl/>
              <w:spacing w:line="200" w:lineRule="exact"/>
              <w:ind w:firstLine="0" w:firstLineChars="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sz w:val="21"/>
                <w:szCs w:val="21"/>
                <w:lang w:eastAsia="zh-CN"/>
              </w:rPr>
              <w:t>当日理财产品份额</w:t>
            </w:r>
          </w:p>
        </w:tc>
        <w:tc>
          <w:tcPr>
            <w:tcW w:w="4690" w:type="dxa"/>
            <w:vAlign w:val="center"/>
          </w:tcPr>
          <w:p>
            <w:pPr>
              <w:widowControl/>
              <w:spacing w:line="200" w:lineRule="exact"/>
              <w:ind w:firstLine="300" w:firstLineChars="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color w:val="000000"/>
                <w:kern w:val="0"/>
                <w:sz w:val="21"/>
                <w:szCs w:val="21"/>
              </w:rPr>
              <w:t>前一日理财产品资产净值</w:t>
            </w:r>
          </w:p>
        </w:tc>
        <w:tc>
          <w:tcPr>
            <w:tcW w:w="1138" w:type="dxa"/>
            <w:vAlign w:val="center"/>
          </w:tcPr>
          <w:p>
            <w:pPr>
              <w:widowControl/>
              <w:spacing w:line="200" w:lineRule="exact"/>
              <w:ind w:firstLine="0" w:firstLineChars="0"/>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2024年1</w:t>
            </w:r>
            <w:r>
              <w:rPr>
                <w:rFonts w:hint="eastAsia" w:ascii="方正黑体_GBK" w:hAnsi="方正黑体_GBK" w:eastAsia="方正黑体_GBK" w:cs="方正黑体_GBK"/>
                <w:sz w:val="21"/>
                <w:szCs w:val="21"/>
                <w:lang w:val="en-US" w:eastAsia="zh-CN"/>
              </w:rPr>
              <w:t>2</w:t>
            </w:r>
            <w:r>
              <w:rPr>
                <w:rFonts w:hint="eastAsia" w:ascii="方正黑体_GBK" w:hAnsi="方正黑体_GBK" w:eastAsia="方正黑体_GBK" w:cs="方正黑体_GBK"/>
                <w:sz w:val="21"/>
                <w:szCs w:val="21"/>
                <w:lang w:val="en-US" w:eastAsia="zh-CN"/>
              </w:rPr>
              <w:t>月2</w:t>
            </w:r>
            <w:r>
              <w:rPr>
                <w:rFonts w:hint="eastAsia" w:ascii="方正黑体_GBK" w:hAnsi="方正黑体_GBK" w:eastAsia="方正黑体_GBK" w:cs="方正黑体_GBK"/>
                <w:sz w:val="21"/>
                <w:szCs w:val="21"/>
                <w:lang w:val="en-US" w:eastAsia="zh-CN"/>
              </w:rPr>
              <w:t>7</w:t>
            </w:r>
            <w:r>
              <w:rPr>
                <w:rFonts w:hint="eastAsia" w:ascii="方正黑体_GBK" w:hAnsi="方正黑体_GBK" w:eastAsia="方正黑体_GBK" w:cs="方正黑体_GBK"/>
                <w:sz w:val="21"/>
                <w:szCs w:val="21"/>
                <w:lang w:val="en-US" w:eastAsia="zh-CN"/>
              </w:rPr>
              <w:t>日</w:t>
            </w:r>
          </w:p>
        </w:tc>
      </w:tr>
    </w:tbl>
    <w:p>
      <w:pPr>
        <w:ind w:firstLine="420"/>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sz w:val="24"/>
          <w:szCs w:val="24"/>
        </w:rPr>
        <w:t>同时，本公司对理财产品销售文件进行了更新，更新后的理财产品销售文件详见</w:t>
      </w:r>
      <w:r>
        <w:rPr>
          <w:rFonts w:hint="eastAsia" w:ascii="方正黑体_GBK" w:hAnsi="方正黑体_GBK" w:eastAsia="方正黑体_GBK" w:cs="方正黑体_GBK"/>
          <w:sz w:val="24"/>
          <w:szCs w:val="24"/>
          <w:lang w:val="en-US" w:eastAsia="zh-CN"/>
        </w:rPr>
        <w:t>信息披露</w:t>
      </w:r>
      <w:r>
        <w:rPr>
          <w:rFonts w:hint="eastAsia" w:ascii="方正黑体_GBK" w:hAnsi="方正黑体_GBK" w:eastAsia="方正黑体_GBK" w:cs="方正黑体_GBK"/>
          <w:sz w:val="24"/>
          <w:szCs w:val="24"/>
        </w:rPr>
        <w:t>。</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b/>
          <w:bCs/>
          <w:sz w:val="24"/>
        </w:rPr>
        <w:t>如您不同意上述调整，可于202</w:t>
      </w:r>
      <w:r>
        <w:rPr>
          <w:rFonts w:hint="eastAsia" w:ascii="方正黑体_GBK" w:hAnsi="方正黑体_GBK" w:eastAsia="方正黑体_GBK" w:cs="方正黑体_GBK"/>
          <w:b/>
          <w:bCs/>
          <w:sz w:val="24"/>
          <w:lang w:val="en-US" w:eastAsia="zh-CN"/>
        </w:rPr>
        <w:t>4</w:t>
      </w:r>
      <w:r>
        <w:rPr>
          <w:rFonts w:hint="eastAsia" w:ascii="方正黑体_GBK" w:hAnsi="方正黑体_GBK" w:eastAsia="方正黑体_GBK" w:cs="方正黑体_GBK"/>
          <w:b/>
          <w:bCs/>
          <w:sz w:val="24"/>
        </w:rPr>
        <w:t>年</w:t>
      </w:r>
      <w:r>
        <w:rPr>
          <w:rFonts w:hint="eastAsia" w:ascii="方正黑体_GBK" w:hAnsi="方正黑体_GBK" w:eastAsia="方正黑体_GBK" w:cs="方正黑体_GBK"/>
          <w:b/>
          <w:bCs/>
          <w:sz w:val="24"/>
          <w:lang w:val="en-US" w:eastAsia="zh-CN"/>
        </w:rPr>
        <w:t>12</w:t>
      </w:r>
      <w:r>
        <w:rPr>
          <w:rFonts w:hint="eastAsia" w:ascii="方正黑体_GBK" w:hAnsi="方正黑体_GBK" w:eastAsia="方正黑体_GBK" w:cs="方正黑体_GBK"/>
          <w:b/>
          <w:bCs/>
          <w:sz w:val="24"/>
        </w:rPr>
        <w:t>月</w:t>
      </w:r>
      <w:r>
        <w:rPr>
          <w:rFonts w:hint="eastAsia" w:ascii="方正黑体_GBK" w:hAnsi="方正黑体_GBK" w:eastAsia="方正黑体_GBK" w:cs="方正黑体_GBK"/>
          <w:b/>
          <w:bCs/>
          <w:sz w:val="24"/>
          <w:lang w:val="en-US" w:eastAsia="zh-CN"/>
        </w:rPr>
        <w:t>19</w:t>
      </w:r>
      <w:r>
        <w:rPr>
          <w:rFonts w:hint="eastAsia" w:ascii="方正黑体_GBK" w:hAnsi="方正黑体_GBK" w:eastAsia="方正黑体_GBK" w:cs="方正黑体_GBK"/>
          <w:b/>
          <w:bCs/>
          <w:sz w:val="24"/>
        </w:rPr>
        <w:t>日至202</w:t>
      </w:r>
      <w:r>
        <w:rPr>
          <w:rFonts w:hint="eastAsia" w:ascii="方正黑体_GBK" w:hAnsi="方正黑体_GBK" w:eastAsia="方正黑体_GBK" w:cs="方正黑体_GBK"/>
          <w:b/>
          <w:bCs/>
          <w:sz w:val="24"/>
          <w:lang w:val="en-US" w:eastAsia="zh-CN"/>
        </w:rPr>
        <w:t>4</w:t>
      </w:r>
      <w:r>
        <w:rPr>
          <w:rFonts w:hint="eastAsia" w:ascii="方正黑体_GBK" w:hAnsi="方正黑体_GBK" w:eastAsia="方正黑体_GBK" w:cs="方正黑体_GBK"/>
          <w:b/>
          <w:bCs/>
          <w:sz w:val="24"/>
        </w:rPr>
        <w:t>年</w:t>
      </w:r>
      <w:r>
        <w:rPr>
          <w:rFonts w:hint="eastAsia" w:ascii="方正黑体_GBK" w:hAnsi="方正黑体_GBK" w:eastAsia="方正黑体_GBK" w:cs="方正黑体_GBK"/>
          <w:b/>
          <w:bCs/>
          <w:sz w:val="24"/>
          <w:lang w:val="en-US" w:eastAsia="zh-CN"/>
        </w:rPr>
        <w:t>12</w:t>
      </w:r>
      <w:r>
        <w:rPr>
          <w:rFonts w:hint="eastAsia" w:ascii="方正黑体_GBK" w:hAnsi="方正黑体_GBK" w:eastAsia="方正黑体_GBK" w:cs="方正黑体_GBK"/>
          <w:b/>
          <w:bCs/>
          <w:sz w:val="24"/>
        </w:rPr>
        <w:t>月</w:t>
      </w:r>
      <w:r>
        <w:rPr>
          <w:rFonts w:hint="eastAsia" w:ascii="方正黑体_GBK" w:hAnsi="方正黑体_GBK" w:eastAsia="方正黑体_GBK" w:cs="方正黑体_GBK"/>
          <w:b/>
          <w:bCs/>
          <w:sz w:val="24"/>
          <w:lang w:val="en-US" w:eastAsia="zh-CN"/>
        </w:rPr>
        <w:t>25</w:t>
      </w:r>
      <w:r>
        <w:rPr>
          <w:rFonts w:hint="eastAsia" w:ascii="方正黑体_GBK" w:hAnsi="方正黑体_GBK" w:eastAsia="方正黑体_GBK" w:cs="方正黑体_GBK"/>
          <w:b/>
          <w:bCs/>
          <w:sz w:val="24"/>
        </w:rPr>
        <w:t>日（产品申购/赎回开放期期间）通过</w:t>
      </w:r>
      <w:r>
        <w:rPr>
          <w:rFonts w:hint="eastAsia" w:ascii="方正黑体_GBK" w:hAnsi="方正黑体_GBK" w:eastAsia="方正黑体_GBK" w:cs="方正黑体_GBK"/>
          <w:b/>
          <w:bCs/>
          <w:sz w:val="24"/>
          <w:lang w:eastAsia="zh-CN"/>
        </w:rPr>
        <w:t>销售</w:t>
      </w:r>
      <w:r>
        <w:rPr>
          <w:rFonts w:hint="eastAsia" w:ascii="方正黑体_GBK" w:hAnsi="方正黑体_GBK" w:eastAsia="方正黑体_GBK" w:cs="方正黑体_GBK"/>
          <w:b/>
          <w:bCs/>
          <w:sz w:val="24"/>
        </w:rPr>
        <w:t>机构向管理人申请赎回。</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如您对本公告有任何疑问，可联系本理财产品</w:t>
      </w:r>
      <w:r>
        <w:rPr>
          <w:rFonts w:hint="eastAsia" w:ascii="方正黑体_GBK" w:hAnsi="方正黑体_GBK" w:eastAsia="方正黑体_GBK" w:cs="方正黑体_GBK"/>
          <w:sz w:val="24"/>
          <w:lang w:eastAsia="zh-CN"/>
        </w:rPr>
        <w:t>销售</w:t>
      </w:r>
      <w:r>
        <w:rPr>
          <w:rFonts w:hint="eastAsia" w:ascii="方正黑体_GBK" w:hAnsi="方正黑体_GBK" w:eastAsia="方正黑体_GBK" w:cs="方正黑体_GBK"/>
          <w:sz w:val="24"/>
        </w:rPr>
        <w:t>机构或本公司，</w:t>
      </w:r>
      <w:r>
        <w:rPr>
          <w:rFonts w:hint="eastAsia" w:ascii="方正黑体_GBK" w:hAnsi="方正黑体_GBK" w:eastAsia="方正黑体_GBK" w:cs="方正黑体_GBK"/>
          <w:sz w:val="24"/>
          <w:lang w:eastAsia="zh-CN"/>
        </w:rPr>
        <w:t>我们</w:t>
      </w:r>
      <w:r>
        <w:rPr>
          <w:rFonts w:hint="eastAsia" w:ascii="方正黑体_GBK" w:hAnsi="方正黑体_GBK" w:eastAsia="方正黑体_GBK" w:cs="方正黑体_GBK"/>
          <w:sz w:val="24"/>
        </w:rPr>
        <w:t>将竭诚为您服务。</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感谢您一直以来的支持与信赖！</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特此公告。</w:t>
      </w:r>
    </w:p>
    <w:p>
      <w:pPr>
        <w:ind w:firstLine="420"/>
        <w:jc w:val="righ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南银理财有限责任公司</w:t>
      </w:r>
    </w:p>
    <w:p>
      <w:pPr>
        <w:ind w:firstLine="420"/>
        <w:jc w:val="righ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w:t>
      </w:r>
      <w:r>
        <w:rPr>
          <w:rFonts w:hint="eastAsia" w:ascii="方正黑体_GBK" w:hAnsi="方正黑体_GBK" w:eastAsia="方正黑体_GBK" w:cs="方正黑体_GBK"/>
          <w:sz w:val="24"/>
          <w:lang w:val="en-US" w:eastAsia="zh-CN"/>
        </w:rPr>
        <w:t>4</w:t>
      </w:r>
      <w:r>
        <w:rPr>
          <w:rFonts w:hint="eastAsia" w:ascii="方正黑体_GBK" w:hAnsi="方正黑体_GBK" w:eastAsia="方正黑体_GBK" w:cs="方正黑体_GBK"/>
          <w:sz w:val="24"/>
        </w:rPr>
        <w:t>年</w:t>
      </w:r>
      <w:r>
        <w:rPr>
          <w:rFonts w:hint="eastAsia" w:ascii="方正黑体_GBK" w:hAnsi="方正黑体_GBK" w:eastAsia="方正黑体_GBK" w:cs="方正黑体_GBK"/>
          <w:sz w:val="24"/>
          <w:lang w:val="en-US" w:eastAsia="zh-CN"/>
        </w:rPr>
        <w:t>12</w:t>
      </w:r>
      <w:r>
        <w:rPr>
          <w:rFonts w:hint="eastAsia" w:ascii="方正黑体_GBK" w:hAnsi="方正黑体_GBK" w:eastAsia="方正黑体_GBK" w:cs="方正黑体_GBK"/>
          <w:sz w:val="24"/>
        </w:rPr>
        <w:t>月</w:t>
      </w:r>
      <w:r>
        <w:rPr>
          <w:rFonts w:hint="eastAsia" w:ascii="方正黑体_GBK" w:hAnsi="方正黑体_GBK" w:eastAsia="方正黑体_GBK" w:cs="方正黑体_GBK"/>
          <w:sz w:val="24"/>
          <w:lang w:val="en-US" w:eastAsia="zh-CN"/>
        </w:rPr>
        <w:t>13</w:t>
      </w:r>
      <w:r>
        <w:rPr>
          <w:rFonts w:hint="eastAsia" w:ascii="方正黑体_GBK" w:hAnsi="方正黑体_GBK" w:eastAsia="方正黑体_GBK" w:cs="方正黑体_GBK"/>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ZGZjZGI0NDAxNWRlYTU1MDQzODcxYWQzMWNkMWYifQ=="/>
  </w:docVars>
  <w:rsids>
    <w:rsidRoot w:val="00172A27"/>
    <w:rsid w:val="000B116D"/>
    <w:rsid w:val="000D47C0"/>
    <w:rsid w:val="0010350A"/>
    <w:rsid w:val="00141B77"/>
    <w:rsid w:val="00143E93"/>
    <w:rsid w:val="002E06B8"/>
    <w:rsid w:val="00345495"/>
    <w:rsid w:val="004E61C2"/>
    <w:rsid w:val="00520B4F"/>
    <w:rsid w:val="00540312"/>
    <w:rsid w:val="005B2E63"/>
    <w:rsid w:val="00614091"/>
    <w:rsid w:val="00693870"/>
    <w:rsid w:val="006956DE"/>
    <w:rsid w:val="00716EE2"/>
    <w:rsid w:val="007A3BC2"/>
    <w:rsid w:val="007C15E8"/>
    <w:rsid w:val="00815684"/>
    <w:rsid w:val="00817A74"/>
    <w:rsid w:val="008255F5"/>
    <w:rsid w:val="0084156F"/>
    <w:rsid w:val="00914515"/>
    <w:rsid w:val="00991242"/>
    <w:rsid w:val="009C5DC2"/>
    <w:rsid w:val="009E1FBB"/>
    <w:rsid w:val="00AE5399"/>
    <w:rsid w:val="00B25C46"/>
    <w:rsid w:val="00B45E07"/>
    <w:rsid w:val="00C032B8"/>
    <w:rsid w:val="00C63875"/>
    <w:rsid w:val="00CE22FD"/>
    <w:rsid w:val="00CE5832"/>
    <w:rsid w:val="00CF6344"/>
    <w:rsid w:val="00D46835"/>
    <w:rsid w:val="00D920FD"/>
    <w:rsid w:val="00DA7481"/>
    <w:rsid w:val="00E22FB5"/>
    <w:rsid w:val="00E25963"/>
    <w:rsid w:val="00E305D5"/>
    <w:rsid w:val="00E63108"/>
    <w:rsid w:val="00EB61C7"/>
    <w:rsid w:val="00F5371B"/>
    <w:rsid w:val="035B6E9D"/>
    <w:rsid w:val="03CC00C8"/>
    <w:rsid w:val="0494370D"/>
    <w:rsid w:val="05482502"/>
    <w:rsid w:val="06424EFE"/>
    <w:rsid w:val="065344DE"/>
    <w:rsid w:val="08495703"/>
    <w:rsid w:val="09511669"/>
    <w:rsid w:val="0A1151B4"/>
    <w:rsid w:val="0B4F505C"/>
    <w:rsid w:val="0D8B2109"/>
    <w:rsid w:val="0E8D7052"/>
    <w:rsid w:val="0F7365E1"/>
    <w:rsid w:val="11185866"/>
    <w:rsid w:val="11195352"/>
    <w:rsid w:val="12C644CE"/>
    <w:rsid w:val="12ED368B"/>
    <w:rsid w:val="12FA4589"/>
    <w:rsid w:val="14400082"/>
    <w:rsid w:val="14B956E3"/>
    <w:rsid w:val="14DF3057"/>
    <w:rsid w:val="151D2EB9"/>
    <w:rsid w:val="185B0B3B"/>
    <w:rsid w:val="1B2672F4"/>
    <w:rsid w:val="1C9E0F0F"/>
    <w:rsid w:val="1CE329C9"/>
    <w:rsid w:val="1FA55D69"/>
    <w:rsid w:val="2077191A"/>
    <w:rsid w:val="217660FF"/>
    <w:rsid w:val="22155872"/>
    <w:rsid w:val="233B1B71"/>
    <w:rsid w:val="237C6A67"/>
    <w:rsid w:val="239E214F"/>
    <w:rsid w:val="244D5031"/>
    <w:rsid w:val="24BB40A7"/>
    <w:rsid w:val="26404A45"/>
    <w:rsid w:val="269D79D3"/>
    <w:rsid w:val="288A56D2"/>
    <w:rsid w:val="2AF819D9"/>
    <w:rsid w:val="2B0943F8"/>
    <w:rsid w:val="2B2C5E79"/>
    <w:rsid w:val="2BAE284C"/>
    <w:rsid w:val="2BC35330"/>
    <w:rsid w:val="2CE37ABA"/>
    <w:rsid w:val="2E7472D1"/>
    <w:rsid w:val="2F394997"/>
    <w:rsid w:val="307B1078"/>
    <w:rsid w:val="3213175B"/>
    <w:rsid w:val="360F7DFC"/>
    <w:rsid w:val="363E586D"/>
    <w:rsid w:val="37726E1F"/>
    <w:rsid w:val="395A49DF"/>
    <w:rsid w:val="39B1266A"/>
    <w:rsid w:val="3AFF6A34"/>
    <w:rsid w:val="3B276116"/>
    <w:rsid w:val="3C220113"/>
    <w:rsid w:val="3C281CA8"/>
    <w:rsid w:val="3C5D1AF8"/>
    <w:rsid w:val="3D7967DF"/>
    <w:rsid w:val="3F0E0C7B"/>
    <w:rsid w:val="3F1D378B"/>
    <w:rsid w:val="3FC03D34"/>
    <w:rsid w:val="405A1CAC"/>
    <w:rsid w:val="4069216E"/>
    <w:rsid w:val="40B97058"/>
    <w:rsid w:val="410C0110"/>
    <w:rsid w:val="438E2EF2"/>
    <w:rsid w:val="44511A9E"/>
    <w:rsid w:val="445913F0"/>
    <w:rsid w:val="452D6470"/>
    <w:rsid w:val="4552760B"/>
    <w:rsid w:val="465855EA"/>
    <w:rsid w:val="466900D1"/>
    <w:rsid w:val="46BD5FFF"/>
    <w:rsid w:val="46F53F15"/>
    <w:rsid w:val="491164B3"/>
    <w:rsid w:val="4A077ABF"/>
    <w:rsid w:val="4A1A0AFD"/>
    <w:rsid w:val="4A424182"/>
    <w:rsid w:val="4ACD4267"/>
    <w:rsid w:val="4AE6615C"/>
    <w:rsid w:val="4B226EFD"/>
    <w:rsid w:val="4B385C6F"/>
    <w:rsid w:val="4C11776F"/>
    <w:rsid w:val="4D4D5B4E"/>
    <w:rsid w:val="4E15569D"/>
    <w:rsid w:val="4F0673A2"/>
    <w:rsid w:val="514800FA"/>
    <w:rsid w:val="527033B8"/>
    <w:rsid w:val="531D1627"/>
    <w:rsid w:val="561C52E6"/>
    <w:rsid w:val="58FF407B"/>
    <w:rsid w:val="5A0B433F"/>
    <w:rsid w:val="5A9A1225"/>
    <w:rsid w:val="5B063EB2"/>
    <w:rsid w:val="5B1E7D3C"/>
    <w:rsid w:val="5BB35481"/>
    <w:rsid w:val="5CA644DC"/>
    <w:rsid w:val="5D107103"/>
    <w:rsid w:val="5D2D762B"/>
    <w:rsid w:val="5D7A33E9"/>
    <w:rsid w:val="5DFB460D"/>
    <w:rsid w:val="5E575A76"/>
    <w:rsid w:val="5E791A8D"/>
    <w:rsid w:val="5E892620"/>
    <w:rsid w:val="611F7D37"/>
    <w:rsid w:val="61655731"/>
    <w:rsid w:val="62213976"/>
    <w:rsid w:val="63A05FEA"/>
    <w:rsid w:val="64C913FB"/>
    <w:rsid w:val="66B95B6F"/>
    <w:rsid w:val="66F86621"/>
    <w:rsid w:val="69B93A27"/>
    <w:rsid w:val="69E06836"/>
    <w:rsid w:val="6B4060BF"/>
    <w:rsid w:val="6B7658B3"/>
    <w:rsid w:val="6BCB670E"/>
    <w:rsid w:val="6C055395"/>
    <w:rsid w:val="6CB121FC"/>
    <w:rsid w:val="6DF224AA"/>
    <w:rsid w:val="6F4D4C8B"/>
    <w:rsid w:val="6FE11AF9"/>
    <w:rsid w:val="712D3F3C"/>
    <w:rsid w:val="718C1A9B"/>
    <w:rsid w:val="727E02EB"/>
    <w:rsid w:val="73D74382"/>
    <w:rsid w:val="73FD3121"/>
    <w:rsid w:val="746E50FE"/>
    <w:rsid w:val="75231B84"/>
    <w:rsid w:val="759538FB"/>
    <w:rsid w:val="771542E1"/>
    <w:rsid w:val="774150D6"/>
    <w:rsid w:val="776E7761"/>
    <w:rsid w:val="786100F9"/>
    <w:rsid w:val="79147CC5"/>
    <w:rsid w:val="79E731AE"/>
    <w:rsid w:val="7AAB2866"/>
    <w:rsid w:val="7B1B79EC"/>
    <w:rsid w:val="7B664A27"/>
    <w:rsid w:val="7C58393C"/>
    <w:rsid w:val="7D1F2D8B"/>
    <w:rsid w:val="7E7323DB"/>
    <w:rsid w:val="7ECE1F2B"/>
    <w:rsid w:val="7F8411E4"/>
    <w:rsid w:val="7F8A3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2" w:beforeLines="0" w:after="102" w:afterLines="0" w:line="1099" w:lineRule="atLeast"/>
      <w:ind w:firstLine="419"/>
      <w:jc w:val="left"/>
      <w:textAlignment w:val="baseline"/>
    </w:pPr>
    <w:rPr>
      <w:color w:val="000000"/>
      <w:kern w:val="0"/>
      <w:sz w:val="24"/>
      <w:u w:val="none" w:color="00000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批注框文本 Char"/>
    <w:basedOn w:val="9"/>
    <w:link w:val="3"/>
    <w:qFormat/>
    <w:uiPriority w:val="0"/>
    <w:rPr>
      <w:kern w:val="2"/>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Default Paragraph Fontc9ada1cfc9ada1cf"/>
    <w:basedOn w:val="9"/>
    <w:qFormat/>
    <w:uiPriority w:val="0"/>
  </w:style>
  <w:style w:type="character" w:customStyle="1" w:styleId="15">
    <w:name w:val="Default Paragraph Font7a581fdf7a581fdf"/>
    <w:basedOn w:val="9"/>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2590</Words>
  <Characters>2830</Characters>
  <Lines>16</Lines>
  <Paragraphs>4</Paragraphs>
  <TotalTime>2733</TotalTime>
  <ScaleCrop>false</ScaleCrop>
  <LinksUpToDate>false</LinksUpToDate>
  <CharactersWithSpaces>2830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2022-06-13T10:07:00Z</dcterms:created>
  <dc:creator>钱哲贤</dc:creator>
  <cp:lastModifiedBy>高冬星</cp:lastModifiedBy>
  <cp:lastPrinted>2022-07-06T07:45:00Z</cp:lastPrinted>
  <dcterms:modified xsi:type="dcterms:W3CDTF">2024-12-11T08:40:45Z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74706A12816C4CEC834E0B9010105107_13</vt:lpwstr>
  </property>
  <property fmtid="{D5CDD505-2E9C-101B-9397-08002B2CF9AE}" pid="4" name="_KSOProductBuildMID">
    <vt:lpwstr>SYWM06BA797A059GRPR8ZLJ87ZQMO7VREF06NJDWXFFRTGLTZRBR6CJGFSUTP8IRBSM69OLRZHKD8LNJROFTDF8H8RMMWICBAFODYHB322BE4197CFA04C606BF3624DA0EB0599</vt:lpwstr>
  </property>
  <property fmtid="{D5CDD505-2E9C-101B-9397-08002B2CF9AE}" pid="5" name="_KSOProductBuildSID">
    <vt:lpwstr>F1B499FACFC44646915FFAEEBA57CD4F</vt:lpwstr>
  </property>
</Properties>
</file>