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MQ6BT7RYQ00BGRPR8IL0Y7NZ0OYPREN06FJDWXFBRTFCTZDBJQCJFFYSTPFIRBFM6COZ8ZI678IJJQXFTKF8H8RNMWH5B8OOD0HB3F8FBAF17905E4851135B773E656C8D5B" Type="http://schemas.microsoft.com/office/2006/relationships/officeDocumentMain" Target="docProps/core.xml"/><Relationship Id="CPWM86GI7RSA05BGRYR8PL0K7NMMOSGREE06BJDWXFM8TFLT66BJIC0IFYSHP8IRXFM69OLJZI7D8MEJQSFAYF8C8RFMWI5B8OOOZHB332B84A33CEEFF477024F9066B0D9D7F1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南银理财珠联璧合鑫逸稳增强两年25期封闭式公募人民币理财产品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南银理财珠联璧合鑫逸稳增强两年25期封闭式公募人民币理财产品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ZZ700322202205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Z7003222000080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2022年11月23日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2024年12月11日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Y40025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1.0711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7,084,496.52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Y41025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1.0755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21,544,023.06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Y42025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1.0755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4,326,543.12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Y44025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1.0788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31,551.57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187,373.92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1,811,808.30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481,880.69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177,256.22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2024年12月11日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SZWMQ6BT7RYQ00BGRPR8IL0Y7NZ0OYPREN06FJDWXFBRTFCTZDBJQCJFFYSTPFIRBFM6COZ8ZI678IJJQXFTKF8H8RNMWH5B8OOD0HB3F8FBAF17905E4851135B773E656C8D5B</vt:lpwstr>
  </property>
  <property fmtid="{D5CDD505-2E9C-101B-9397-08002B2CF9AE}" pid="5" name="_KSOProductBuildSID">
    <vt:lpwstr>187FF4730D1E49EFAC442C60C4EB9738</vt:lpwstr>
  </property>
</Properties>
</file>