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7A0B7">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14:paraId="59A18D5D">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14:paraId="5C36086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封闭式、固定收益类、公募、净值型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14:paraId="6BED980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14:paraId="18BCAB6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14:paraId="0C6F10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14:paraId="5A0E33D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14:paraId="1C79909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14:paraId="047302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14:paraId="6A073B1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14:paraId="3BC2F9B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14:paraId="76C29DA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14:paraId="5688A68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14:paraId="66D065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14:paraId="2AE7D07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14:paraId="39E953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14:paraId="4866606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14:paraId="3A52CFB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14:paraId="1E74D4C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14:paraId="3EB8EC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14:paraId="0AE647D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14:paraId="69BDF8B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14:paraId="4BB8283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14:paraId="480F9A3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14:paraId="1653304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14:paraId="5D89810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14:paraId="00A7FA07">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14:paraId="528BB3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14:paraId="6E0476C3">
      <w:pPr>
        <w:spacing w:line="200" w:lineRule="exact"/>
      </w:pPr>
      <w:r>
        <w:rPr>
          <w:rFonts w:ascii="方正黑体_GBK" w:hAnsi="方正黑体_GBK" w:eastAsia="方正黑体_GBK" w:cs="宋体"/>
          <w:b/>
          <w:sz w:val="13"/>
          <w:szCs w:val="20"/>
        </w:rPr>
        <w:t xml:space="preserve">    1.债券类资产投资风险</w:t>
      </w:r>
    </w:p>
    <w:p w14:paraId="79DF8094">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14:paraId="434D3E37">
      <w:pPr>
        <w:spacing w:line="200" w:lineRule="exact"/>
      </w:pPr>
      <w:r>
        <w:rPr>
          <w:rFonts w:ascii="方正黑体_GBK" w:hAnsi="方正黑体_GBK" w:eastAsia="方正黑体_GBK" w:cs="宋体"/>
          <w:b/>
          <w:sz w:val="13"/>
          <w:szCs w:val="20"/>
        </w:rPr>
        <w:t xml:space="preserve">    2.非标准化债权类资产投资风险</w:t>
      </w:r>
    </w:p>
    <w:p w14:paraId="4762022E">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69BF555F">
      <w:pPr>
        <w:spacing w:line="200" w:lineRule="exact"/>
      </w:pPr>
      <w:r>
        <w:rPr>
          <w:rFonts w:ascii="方正黑体_GBK" w:hAnsi="方正黑体_GBK" w:eastAsia="方正黑体_GBK" w:cs="宋体"/>
          <w:b/>
          <w:sz w:val="13"/>
          <w:szCs w:val="20"/>
        </w:rPr>
        <w:t xml:space="preserve">    3.资产管理产品投资风险</w:t>
      </w:r>
    </w:p>
    <w:p w14:paraId="6DA873AA">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14:paraId="31C2671F">
      <w:pPr>
        <w:spacing w:line="200" w:lineRule="exact"/>
      </w:pPr>
      <w:r>
        <w:rPr>
          <w:rFonts w:ascii="方正黑体_GBK" w:hAnsi="方正黑体_GBK" w:eastAsia="方正黑体_GBK" w:cs="宋体"/>
          <w:b/>
          <w:sz w:val="13"/>
          <w:szCs w:val="20"/>
        </w:rPr>
        <w:t xml:space="preserve">    4.非标准化债权类资产无法投资的风险</w:t>
      </w:r>
    </w:p>
    <w:p w14:paraId="265827A0">
      <w:pPr>
        <w:spacing w:line="200" w:lineRule="exact"/>
      </w:pPr>
      <w:r>
        <w:rPr>
          <w:rFonts w:ascii="方正黑体_GBK" w:hAnsi="方正黑体_GBK" w:eastAsia="方正黑体_GBK" w:cs="宋体"/>
          <w:b/>
          <w:sz w:val="13"/>
          <w:szCs w:val="20"/>
        </w:rPr>
        <w:t xml:space="preserve">    若受到市场影响出现融资人临时变更融资要素（如取消该笔资产发行或改变资产的发行时间、资产收益等要素）导致本理财产品无法投资对应资产时，为最大程度保障投资者权益，管理人有权采取如下措施：</w:t>
      </w:r>
      <w:r>
        <w:rPr>
          <w:rFonts w:ascii="方正黑体_GBK" w:hAnsi="方正黑体_GBK" w:eastAsia="方正黑体_GBK"/>
        </w:rPr>
        <w:br w:type="textWrapping"/>
      </w:r>
      <w:r>
        <w:rPr>
          <w:rFonts w:ascii="方正黑体_GBK" w:hAnsi="方正黑体_GBK" w:eastAsia="方正黑体_GBK"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ascii="方正黑体_GBK" w:hAnsi="方正黑体_GBK" w:eastAsia="方正黑体_GBK"/>
        </w:rPr>
        <w:br w:type="textWrapping"/>
      </w:r>
      <w:r>
        <w:rPr>
          <w:rFonts w:ascii="方正黑体_GBK" w:hAnsi="方正黑体_GBK" w:eastAsia="方正黑体_GBK" w:cs="宋体"/>
          <w:b/>
          <w:sz w:val="13"/>
          <w:szCs w:val="20"/>
        </w:rPr>
        <w:t xml:space="preserve">    （2）若本理财产品已成立，则管理人有权提前终止本理财产品，自产品成立至提前终止日期间不计任何收益。</w:t>
      </w:r>
    </w:p>
    <w:p w14:paraId="604B4FE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类型：封闭式、固定收益类、公募、净值型。</w:t>
      </w:r>
    </w:p>
    <w:p w14:paraId="4F023B0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196天</w:t>
      </w:r>
      <w:r>
        <w:rPr>
          <w:rFonts w:hint="eastAsia" w:ascii="方正黑体_GBK" w:hAnsi="方正黑体_GBK" w:eastAsia="方正黑体_GBK"/>
          <w:b/>
          <w:bCs w:val="0"/>
          <w:vanish w:val="0"/>
          <w:color w:val="3D3D3D"/>
          <w:kern w:val="0"/>
          <w:sz w:val="13"/>
          <w:szCs w:val="13"/>
        </w:rPr>
        <w:t>。</w:t>
      </w:r>
    </w:p>
    <w:p w14:paraId="472C7C8D">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14:paraId="0DB68305">
      <w:pPr>
        <w:pStyle w:val="31"/>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14:paraId="3672734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14:paraId="334830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14:paraId="6A56E7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14:paraId="1C925BF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14:paraId="5C1BD55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14:paraId="117823B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14:paraId="28988B2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14:paraId="4BB33CE6">
      <w:pPr>
        <w:pStyle w:val="18"/>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14:paraId="31E66D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14:paraId="07DA179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14:paraId="12A0AF4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14:paraId="1ABE97C9">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14:paraId="7A838627">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14:paraId="45300C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14:paraId="64C7639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14:paraId="047996DF">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14:paraId="236D77CB">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14:paraId="274CCE6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14:paraId="3094214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14:paraId="061658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14:paraId="19B1D2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14:paraId="7D5425C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14:paraId="7E7B11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5"/>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14:paraId="05D2D3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B0F26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14:paraId="2034AE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57AB4A7E">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14:paraId="566CABD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688FCD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7EB99E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14:paraId="530BD4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4F6EF1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4846B9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14:paraId="36F1F1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14:paraId="739B931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14:paraId="0E12DC7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14:paraId="2EA6EED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14:paraId="296FAF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14:paraId="5FEEE2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14:paraId="3D50C15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14:paraId="63C8F87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14:paraId="7B05A582">
      <w:r>
        <w:rPr>
          <w:rFonts w:ascii="方正黑体_GBK" w:hAnsi="方正黑体_GBK" w:eastAsia="方正黑体_GBK"/>
        </w:rPr>
        <w:br w:type="page"/>
      </w:r>
    </w:p>
    <w:p w14:paraId="55746495">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14:paraId="5022EF2A">
      <w:pPr>
        <w:pStyle w:val="3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14:paraId="7D52AB19">
      <w:pPr>
        <w:pStyle w:val="45"/>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5"/>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14:paraId="30F35F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14:paraId="30BDF3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14:paraId="302AD2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南银理财珠联璧合鑫逸稳半年104期封闭式公募人民币理财产品</w:t>
            </w:r>
          </w:p>
        </w:tc>
      </w:tr>
      <w:tr w14:paraId="268178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2D63AA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14:paraId="5C164F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封闭式、固定收益类、公募、净值型</w:t>
            </w:r>
          </w:p>
        </w:tc>
      </w:tr>
      <w:tr w14:paraId="48FAA2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14:paraId="1FA4E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14:paraId="1F7158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14:paraId="7AEE54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14:paraId="58B348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14:paraId="21DBA1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ZZ700322400564</w:t>
            </w:r>
          </w:p>
        </w:tc>
      </w:tr>
      <w:tr w14:paraId="0B9089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7052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14:paraId="04924A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Z7003224000271(投资者可依据该编码在中国理财网www.chinawealth.com.cn查询理财产品相关信息）</w:t>
            </w:r>
          </w:p>
        </w:tc>
      </w:tr>
      <w:tr w14:paraId="7A1ED44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907D7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14:paraId="3842A8CF">
            <w:pPr>
              <w:spacing w:line="200" w:lineRule="exact"/>
            </w:pPr>
            <w:r>
              <w:rPr>
                <w:rFonts w:ascii="方正黑体_GBK" w:hAnsi="方正黑体_GBK" w:eastAsia="方正黑体_GBK" w:cs="宋体"/>
                <w:sz w:val="18"/>
                <w:szCs w:val="18"/>
              </w:rPr>
              <w:t>A份额：Y70104</w:t>
            </w:r>
          </w:p>
          <w:p w14:paraId="75A3F106">
            <w:pPr>
              <w:spacing w:line="200" w:lineRule="exact"/>
            </w:pPr>
            <w:r>
              <w:rPr>
                <w:rFonts w:ascii="方正黑体_GBK" w:hAnsi="方正黑体_GBK" w:eastAsia="方正黑体_GBK" w:cs="宋体"/>
                <w:sz w:val="18"/>
                <w:szCs w:val="18"/>
              </w:rPr>
              <w:t>B份额：Y71104</w:t>
            </w:r>
          </w:p>
          <w:p w14:paraId="47193D14">
            <w:pPr>
              <w:spacing w:line="200" w:lineRule="exact"/>
            </w:pPr>
            <w:r>
              <w:rPr>
                <w:rFonts w:ascii="方正黑体_GBK" w:hAnsi="方正黑体_GBK" w:eastAsia="方正黑体_GBK" w:cs="宋体"/>
                <w:sz w:val="18"/>
                <w:szCs w:val="18"/>
              </w:rPr>
              <w:t>C份额：Y72104</w:t>
            </w:r>
          </w:p>
          <w:p w14:paraId="0BB042A9">
            <w:pPr>
              <w:spacing w:line="200" w:lineRule="exact"/>
            </w:pPr>
            <w:r>
              <w:rPr>
                <w:rFonts w:ascii="方正黑体_GBK" w:hAnsi="方正黑体_GBK" w:eastAsia="方正黑体_GBK" w:cs="宋体"/>
                <w:sz w:val="18"/>
                <w:szCs w:val="18"/>
              </w:rPr>
              <w:t>D份额：Y73104</w:t>
            </w:r>
          </w:p>
          <w:p w14:paraId="20FFD93A">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tc>
      </w:tr>
      <w:tr w14:paraId="66326B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901A1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14:paraId="6B2463FF">
            <w:pPr>
              <w:spacing w:line="200" w:lineRule="exact"/>
            </w:pPr>
            <w:r>
              <w:rPr>
                <w:rFonts w:ascii="方正黑体_GBK" w:hAnsi="方正黑体_GBK" w:eastAsia="方正黑体_GBK" w:cs="宋体"/>
                <w:sz w:val="18"/>
                <w:szCs w:val="18"/>
              </w:rPr>
              <w:t>全国</w:t>
            </w:r>
          </w:p>
        </w:tc>
      </w:tr>
      <w:tr w14:paraId="4E9833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2643C5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14:paraId="1877086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14:paraId="6502D1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E9EF1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14:paraId="501491E7">
            <w:pPr>
              <w:spacing w:line="200" w:lineRule="exact"/>
            </w:pPr>
            <w:r>
              <w:rPr>
                <w:rFonts w:ascii="方正黑体_GBK" w:hAnsi="方正黑体_GBK" w:eastAsia="方正黑体_GBK" w:cs="宋体"/>
                <w:sz w:val="18"/>
                <w:szCs w:val="18"/>
              </w:rPr>
              <w:t>本理财产品规模上限为100亿元。理财产品管理人有权对上述规模上限根据实际业务需求进行调整。</w:t>
            </w:r>
          </w:p>
        </w:tc>
      </w:tr>
      <w:tr w14:paraId="055040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626C1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14:paraId="001CA8B7">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14:paraId="78905FDE">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14:paraId="57B43E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06692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14:paraId="43355913">
            <w:pPr>
              <w:spacing w:line="200" w:lineRule="exact"/>
              <w:jc w:val="lef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p w14:paraId="65534DBB">
            <w:pPr>
              <w:spacing w:line="200" w:lineRule="exact"/>
            </w:pPr>
            <w:r>
              <w:rPr>
                <w:rFonts w:ascii="方正黑体_GBK" w:hAnsi="方正黑体_GBK" w:eastAsia="方正黑体_GBK" w:cs="宋体"/>
                <w:sz w:val="18"/>
                <w:szCs w:val="18"/>
              </w:rPr>
              <w:t>A份额：除B、C、D份额以外的所有客户（详见“销售机构”条款）。</w:t>
            </w:r>
          </w:p>
          <w:p w14:paraId="33ECBD20">
            <w:pPr>
              <w:spacing w:line="200" w:lineRule="exact"/>
            </w:pPr>
            <w:r>
              <w:rPr>
                <w:rFonts w:ascii="方正黑体_GBK" w:hAnsi="方正黑体_GBK" w:eastAsia="方正黑体_GBK" w:cs="宋体"/>
                <w:sz w:val="18"/>
                <w:szCs w:val="18"/>
              </w:rPr>
              <w:t>B份额：南京银行股份有限公司（新客或新资金或代发客户）、徽商银行股份有限公司、杭州银行股份有限公司（大众客群）、温州银行股份有限公司、江苏苏州农村商业银行股份有限公司（社保对公专项客户）、齐鲁银行股份有限公司（政务服务中心支行开业专享）、天津农村商业银行股份有限公司（滨海分行专属）、甘肃银行股份有限公司、乌鲁木齐银行股份有限公司、宁波通商银行股份有限公司（零售客群）、兴业银行股份有限公司、江苏镇江农村商业银行股份有限公司（20万元起购）、江苏如皋农村商业银行股份有限公司（代发客户）、徐州农村商业银行股份有限公司（代发客户或高净值客户）、江苏金湖农村商业银行股份有限公司（收单商户专享）。</w:t>
            </w:r>
          </w:p>
          <w:p w14:paraId="13BC63F9">
            <w:pPr>
              <w:spacing w:line="200" w:lineRule="exact"/>
            </w:pPr>
            <w:r>
              <w:rPr>
                <w:rFonts w:ascii="方正黑体_GBK" w:hAnsi="方正黑体_GBK" w:eastAsia="方正黑体_GBK" w:cs="宋体"/>
                <w:sz w:val="18"/>
                <w:szCs w:val="18"/>
              </w:rPr>
              <w:t>C份额：杭州银行股份有限公司（私行客群）、天津农村商业银行股份有限公司（军人客户）、兰州银行股份有限公司、宁波通商银行股份有限公司（专项客群）、江苏泰兴农村商业银行股份有限公司、江苏兴化农村商业银行股份有限公司、江苏镇江农村商业银行股份有限公司（100万元起购）、江苏紫金农村商业银行股份有限公司（起点金额30万元以上）、江苏金湖农村商业银行股份有限公司（社保卡客户专享）、江苏如东农村商业银行股份有限公司。</w:t>
            </w:r>
          </w:p>
          <w:p w14:paraId="4C5A366F">
            <w:pPr>
              <w:spacing w:line="200" w:lineRule="exact"/>
            </w:pPr>
            <w:r>
              <w:rPr>
                <w:rFonts w:ascii="方正黑体_GBK" w:hAnsi="方正黑体_GBK" w:eastAsia="方正黑体_GBK" w:cs="宋体"/>
                <w:sz w:val="18"/>
                <w:szCs w:val="18"/>
              </w:rPr>
              <w:t>D份额：宁波通商银行股份有限公司（对公客群）。</w:t>
            </w:r>
          </w:p>
          <w:p w14:paraId="367FF70F">
            <w:pPr>
              <w:spacing w:line="200" w:lineRule="exact"/>
            </w:pPr>
            <w:r>
              <w:rPr>
                <w:rFonts w:ascii="方正黑体_GBK" w:hAnsi="方正黑体_GBK" w:eastAsia="方正黑体_GBK" w:cs="宋体"/>
                <w:b/>
                <w:sz w:val="18"/>
                <w:szCs w:val="18"/>
              </w:rPr>
              <w:t>注：本产品不同份额针对不同的销售机构及客群进行销售，设置有不同的销售费和管理费。</w:t>
            </w:r>
          </w:p>
          <w:p w14:paraId="7ED23C23">
            <w:pPr>
              <w:spacing w:line="200" w:lineRule="exact"/>
            </w:pPr>
            <w:r>
              <w:rPr>
                <w:rFonts w:ascii="方正黑体_GBK" w:hAnsi="方正黑体_GBK" w:eastAsia="方正黑体_GBK" w:cs="宋体"/>
                <w:b/>
                <w:sz w:val="18"/>
                <w:szCs w:val="18"/>
              </w:rPr>
              <w:t>南京银行新客或新资金或代发客户：</w:t>
            </w:r>
            <w:r>
              <w:rPr>
                <w:rFonts w:ascii="方正黑体_GBK" w:hAnsi="方正黑体_GBK" w:eastAsia="方正黑体_GBK" w:cs="宋体"/>
                <w:sz w:val="18"/>
                <w:szCs w:val="18"/>
              </w:rPr>
              <w:t>新客是指2024年理财年日均余额为0的客户。新资金（5万）是指金融资产余额较上月月日均增长5万元及以上的客户。代发是指近90天内有过代发记录的客户（不含跨行代发、批量兑付、批量付息）。</w:t>
            </w:r>
          </w:p>
        </w:tc>
      </w:tr>
      <w:tr w14:paraId="62170F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CE513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14:paraId="07FE616E">
            <w:pPr>
              <w:spacing w:line="200" w:lineRule="exact"/>
            </w:pPr>
            <w:r>
              <w:rPr>
                <w:rFonts w:ascii="方正黑体_GBK" w:hAnsi="方正黑体_GBK" w:eastAsia="方正黑体_GBK" w:cs="宋体"/>
                <w:sz w:val="18"/>
                <w:szCs w:val="18"/>
              </w:rPr>
              <w:t>A份额/B份额/C份额/D份额：</w:t>
            </w:r>
          </w:p>
          <w:p w14:paraId="5DF9AC55">
            <w:pPr>
              <w:spacing w:line="200" w:lineRule="exact"/>
            </w:pPr>
            <w:r>
              <w:rPr>
                <w:rFonts w:ascii="方正黑体_GBK" w:hAnsi="方正黑体_GBK" w:eastAsia="方正黑体_GBK" w:cs="宋体"/>
                <w:sz w:val="18"/>
                <w:szCs w:val="18"/>
              </w:rPr>
              <w:t>个人投资者投资起点金额1元人民币，以1元的整数倍递增；</w:t>
            </w:r>
          </w:p>
          <w:p w14:paraId="1D5142A7">
            <w:pPr>
              <w:spacing w:line="200" w:lineRule="exact"/>
            </w:pPr>
            <w:r>
              <w:rPr>
                <w:rFonts w:ascii="方正黑体_GBK" w:hAnsi="方正黑体_GBK" w:eastAsia="方正黑体_GBK" w:cs="宋体"/>
                <w:sz w:val="18"/>
                <w:szCs w:val="18"/>
              </w:rPr>
              <w:t>机构投资者投资起点金额1元人民币，以1元的整数倍递增；</w:t>
            </w:r>
          </w:p>
          <w:p w14:paraId="3E56336C">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14:paraId="438B5992">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14:paraId="5AE825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58FF107">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单个投资者持有金额上限</w:t>
            </w:r>
          </w:p>
        </w:tc>
        <w:tc>
          <w:tcPr>
            <w:tcW w:w="5543" w:type="dxa"/>
            <w:tcBorders>
              <w:top w:val="single" w:color="auto" w:sz="4" w:space="0"/>
              <w:left w:val="nil"/>
              <w:bottom w:val="single" w:color="auto" w:sz="4" w:space="0"/>
              <w:right w:val="single" w:color="auto" w:sz="4" w:space="0"/>
              <w:tl2br w:val="nil"/>
              <w:tr2bl w:val="nil"/>
            </w:tcBorders>
            <w:vAlign w:val="center"/>
          </w:tcPr>
          <w:p w14:paraId="711B9540">
            <w:pPr>
              <w:spacing w:line="200" w:lineRule="exact"/>
            </w:pPr>
            <w:r>
              <w:rPr>
                <w:rFonts w:ascii="方正黑体_GBK" w:hAnsi="方正黑体_GBK" w:eastAsia="方正黑体_GBK" w:cs="宋体"/>
                <w:sz w:val="18"/>
                <w:szCs w:val="18"/>
              </w:rPr>
              <w:t>A份额/B份额/C份额/D份额：</w:t>
            </w:r>
          </w:p>
          <w:p w14:paraId="07191C76">
            <w:pPr>
              <w:spacing w:line="200" w:lineRule="exact"/>
            </w:pPr>
            <w:r>
              <w:rPr>
                <w:rFonts w:ascii="方正黑体_GBK" w:hAnsi="方正黑体_GBK" w:eastAsia="方正黑体_GBK" w:cs="宋体"/>
                <w:sz w:val="18"/>
                <w:szCs w:val="18"/>
              </w:rPr>
              <w:t>暂不设置单个投资者持有金额上限；</w:t>
            </w:r>
          </w:p>
          <w:p w14:paraId="30A2FD2B">
            <w:pPr>
              <w:spacing w:line="200" w:lineRule="exact"/>
              <w:jc w:val="left"/>
            </w:pPr>
            <w:r>
              <w:rPr>
                <w:rFonts w:ascii="方正黑体_GBK" w:hAnsi="方正黑体_GBK" w:eastAsia="方正黑体_GBK" w:cs="宋体"/>
                <w:sz w:val="18"/>
                <w:szCs w:val="18"/>
              </w:rPr>
              <w:t>注：1.管理人有权对上述单个投资者持有金额上限进行调整或取消，并在调整或取消前至少3个工作日公告。</w:t>
            </w:r>
          </w:p>
          <w:p w14:paraId="77041BDD">
            <w:pPr>
              <w:spacing w:line="200" w:lineRule="exact"/>
              <w:jc w:val="left"/>
            </w:pPr>
            <w:r>
              <w:rPr>
                <w:rFonts w:ascii="方正黑体_GBK" w:hAnsi="方正黑体_GBK" w:eastAsia="方正黑体_GBK"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14:paraId="5DBEE5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F49E0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14:paraId="758AA77D">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14:paraId="100D2632">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14:paraId="6117D53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14F834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14:paraId="25F32322">
            <w:pPr>
              <w:spacing w:line="200" w:lineRule="exact"/>
            </w:pPr>
            <w:r>
              <w:rPr>
                <w:rFonts w:ascii="方正黑体_GBK" w:hAnsi="方正黑体_GBK" w:eastAsia="方正黑体_GBK" w:cs="宋体"/>
                <w:color w:val="000000"/>
                <w:sz w:val="18"/>
                <w:szCs w:val="18"/>
              </w:rPr>
              <w:t>2024年12月11日 09:00—2024年12月17日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14:paraId="4D183C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77C0124">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24F4F5DE">
            <w:pPr>
              <w:spacing w:line="200" w:lineRule="exact"/>
            </w:pPr>
            <w:r>
              <w:rPr>
                <w:rFonts w:ascii="方正黑体_GBK" w:hAnsi="方正黑体_GBK" w:eastAsia="方正黑体_GBK" w:cs="宋体"/>
                <w:sz w:val="18"/>
                <w:szCs w:val="18"/>
              </w:rPr>
              <w:t>认购份额=确认认购金额/1。（认购份额以去尾法保留两位小数）</w:t>
            </w:r>
          </w:p>
        </w:tc>
      </w:tr>
      <w:tr w14:paraId="15364C3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CD71468">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14:paraId="77B4B547">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14:paraId="5E97C7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528F4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14:paraId="57EA2DE4">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2024年12月18日</w:t>
            </w:r>
          </w:p>
        </w:tc>
      </w:tr>
      <w:tr w14:paraId="35EB7D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FA340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14:paraId="2857C811">
            <w:pPr>
              <w:spacing w:line="200" w:lineRule="exact"/>
            </w:pPr>
            <w:r>
              <w:rPr>
                <w:rFonts w:ascii="方正黑体_GBK" w:hAnsi="方正黑体_GBK" w:eastAsia="方正黑体_GBK" w:cs="宋体"/>
                <w:sz w:val="18"/>
                <w:szCs w:val="18"/>
              </w:rPr>
              <w:t>2024年12月18日—实际到期日（</w:t>
            </w:r>
            <w:r>
              <w:rPr>
                <w:rFonts w:ascii="方正黑体_GBK" w:hAnsi="方正黑体_GBK" w:eastAsia="方正黑体_GBK" w:cs="宋体"/>
                <w:b/>
                <w:sz w:val="18"/>
                <w:szCs w:val="18"/>
              </w:rPr>
              <w:t>如名义到期日遇国家法定节假日，管理人可结合国家法定节假日安排进行调整。</w:t>
            </w:r>
            <w:r>
              <w:rPr>
                <w:rFonts w:ascii="方正黑体_GBK" w:hAnsi="方正黑体_GBK" w:eastAsia="方正黑体_GBK" w:cs="宋体"/>
                <w:sz w:val="18"/>
                <w:szCs w:val="18"/>
              </w:rPr>
              <w:t>若未出现以上情形，则实际到期日即为名义到期日，存续期限</w:t>
            </w:r>
            <w:r>
              <w:rPr>
                <w:rFonts w:ascii="方正黑体_GBK" w:hAnsi="方正黑体_GBK" w:eastAsia="方正黑体_GBK" w:cs="宋体"/>
                <w:b/>
                <w:sz w:val="18"/>
                <w:szCs w:val="18"/>
              </w:rPr>
              <w:t>196天</w:t>
            </w:r>
            <w:r>
              <w:rPr>
                <w:rFonts w:ascii="方正黑体_GBK" w:hAnsi="方正黑体_GBK" w:eastAsia="方正黑体_GBK" w:cs="宋体"/>
                <w:sz w:val="18"/>
                <w:szCs w:val="18"/>
              </w:rPr>
              <w:t>；若出现以上情形，则理财存续期限和实际到期日将相应调整，管理人将至少提前3个工作日进行信息披露。）</w:t>
            </w:r>
          </w:p>
        </w:tc>
      </w:tr>
      <w:tr w14:paraId="22F91CF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BD643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14:paraId="4260C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2025年07月02日</w:t>
            </w:r>
          </w:p>
        </w:tc>
      </w:tr>
      <w:tr w14:paraId="113187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003A50B">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14:paraId="4183EDF8">
            <w:pPr>
              <w:spacing w:line="200" w:lineRule="exact"/>
            </w:pPr>
            <w:r>
              <w:rPr>
                <w:rFonts w:ascii="方正黑体_GBK" w:hAnsi="方正黑体_GBK" w:eastAsia="方正黑体_GBK" w:cs="宋体"/>
                <w:color w:val="000000"/>
                <w:sz w:val="18"/>
                <w:szCs w:val="18"/>
              </w:rPr>
              <w:t>到期兑付金额=到期时持有份额×R。 R为期末理财产品单位净值。（已扣除相关费用，到期兑付金额以去尾法保留两位小数）</w:t>
            </w:r>
          </w:p>
        </w:tc>
      </w:tr>
      <w:tr w14:paraId="6C3E99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73DC9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14:paraId="07664951">
            <w:pPr>
              <w:spacing w:line="200" w:lineRule="exact"/>
            </w:pPr>
            <w:r>
              <w:rPr>
                <w:rFonts w:ascii="方正黑体_GBK" w:hAnsi="方正黑体_GBK" w:eastAsia="方正黑体_GBK" w:cs="宋体"/>
                <w:sz w:val="18"/>
                <w:szCs w:val="18"/>
              </w:rPr>
              <w:t>本理财产品存续期间不进行分红。</w:t>
            </w:r>
          </w:p>
          <w:p w14:paraId="15F01318">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14:paraId="596009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83308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14:paraId="047EAE8B">
            <w:pPr>
              <w:spacing w:line="200" w:lineRule="exact"/>
            </w:pPr>
            <w:r>
              <w:rPr>
                <w:rFonts w:ascii="方正黑体_GBK" w:hAnsi="方正黑体_GBK" w:eastAsia="方正黑体_GBK" w:cs="宋体"/>
                <w:sz w:val="18"/>
                <w:szCs w:val="18"/>
              </w:rPr>
              <w:t>到期资金将于实际到期日后5个工作日内划入投资者授权指定账户，实际到期日后至投资者收益划到投资者授权指定账户之前不计任何收益。</w:t>
            </w:r>
          </w:p>
        </w:tc>
      </w:tr>
      <w:tr w14:paraId="49EC09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5ABD8C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14:paraId="08E31222">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14:paraId="5220D874">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14:paraId="4CC318C4">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14:paraId="6C482747">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14:paraId="0473ADDA">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14:paraId="0C417A83">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14:paraId="4411E693">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14:paraId="098EE7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9D95E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14:paraId="729EFC18">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14:paraId="4967FCDD">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14:paraId="7DEA56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1C103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14:paraId="6714C079">
            <w:pPr>
              <w:spacing w:line="200" w:lineRule="exact"/>
            </w:pPr>
            <w:r>
              <w:rPr>
                <w:rFonts w:ascii="方正黑体_GBK" w:hAnsi="方正黑体_GBK" w:eastAsia="方正黑体_GBK" w:cs="宋体"/>
                <w:sz w:val="18"/>
                <w:szCs w:val="18"/>
              </w:rPr>
              <w:t>本产品在严格控制风险（包括流动性风险、市场风险、信用风险）的前提下，以自上而下的经济基本面分析为基础，合理筛选资产，力争实现资产的稳健增长。</w:t>
            </w:r>
          </w:p>
        </w:tc>
      </w:tr>
      <w:tr w14:paraId="4D08F16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F778762">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14:paraId="33B74637">
            <w:pPr>
              <w:spacing w:line="200" w:lineRule="exact"/>
            </w:pPr>
            <w:r>
              <w:rPr>
                <w:rFonts w:ascii="方正黑体_GBK" w:hAnsi="方正黑体_GBK" w:eastAsia="方正黑体_GBK" w:cs="宋体"/>
                <w:b/>
                <w:sz w:val="18"/>
                <w:szCs w:val="18"/>
              </w:rPr>
              <w:t>本理财产品拟投资以下备选非标准化债权类资产：</w:t>
            </w:r>
          </w:p>
          <w:p w14:paraId="69D069B8">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14:paraId="49DD88BC">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14:paraId="131DF868">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14:paraId="3CDEC32A">
            <w:pPr>
              <w:spacing w:line="200" w:lineRule="exact"/>
            </w:pPr>
            <w:r>
              <w:rPr>
                <w:rFonts w:ascii="方正黑体_GBK" w:hAnsi="方正黑体_GBK" w:eastAsia="方正黑体_GBK" w:cs="宋体"/>
                <w:b/>
                <w:sz w:val="18"/>
                <w:szCs w:val="18"/>
              </w:rPr>
              <w:t>以上资产剩余期限均不超过产品期限。</w:t>
            </w:r>
          </w:p>
          <w:p w14:paraId="1843D700">
            <w:pPr>
              <w:spacing w:line="200" w:lineRule="exact"/>
            </w:pPr>
            <w:r>
              <w:rPr>
                <w:rFonts w:ascii="方正黑体_GBK" w:hAnsi="方正黑体_GBK" w:eastAsia="方正黑体_GBK" w:cs="宋体"/>
                <w:b/>
                <w:sz w:val="18"/>
                <w:szCs w:val="18"/>
              </w:rPr>
              <w:t>产品管理人将优先选择上述备选非标准化债权类资产中的一笔或者多笔作为本理财产品投资的非标准化债权类资产，并在本理财产品的定期报告中进行信息披露。</w:t>
            </w:r>
          </w:p>
          <w:p w14:paraId="38F154B5">
            <w:pPr>
              <w:spacing w:line="200" w:lineRule="exact"/>
            </w:pPr>
            <w:r>
              <w:rPr>
                <w:rFonts w:ascii="方正黑体_GBK" w:hAnsi="方正黑体_GBK" w:eastAsia="方正黑体_GBK" w:cs="宋体"/>
                <w:b/>
                <w:sz w:val="18"/>
                <w:szCs w:val="18"/>
              </w:rPr>
              <w:t>若受到市场影响出现融资人临时变更融资要素（如取消该笔资产发行或改变资产的发行时间、资产收益等要素）导致本理财产品无法投资对应资产时，为最大程度保障投资者权益，管理人有权采取如下措施：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2.若本理财产品已成立，则管理人有权提前终止本理财产品，自产品成立至提前终止日期间不计任何收益。</w:t>
            </w:r>
          </w:p>
        </w:tc>
      </w:tr>
      <w:tr w14:paraId="331EA1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7006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14:paraId="21B41E80">
            <w:pPr>
              <w:spacing w:line="200" w:lineRule="exact"/>
            </w:pPr>
            <w:r>
              <w:rPr>
                <w:rFonts w:ascii="方正黑体_GBK" w:hAnsi="方正黑体_GBK" w:eastAsia="方正黑体_GBK" w:cs="宋体"/>
                <w:sz w:val="18"/>
                <w:szCs w:val="18"/>
              </w:rPr>
              <w:t>A份额：业绩比较基准为2.5%(年化)。</w:t>
            </w:r>
          </w:p>
          <w:p w14:paraId="652EBA7B">
            <w:pPr>
              <w:spacing w:line="200" w:lineRule="exact"/>
            </w:pPr>
            <w:r>
              <w:rPr>
                <w:rFonts w:ascii="方正黑体_GBK" w:hAnsi="方正黑体_GBK" w:eastAsia="方正黑体_GBK" w:cs="宋体"/>
                <w:sz w:val="18"/>
                <w:szCs w:val="18"/>
              </w:rPr>
              <w:t>B份额：业绩比较基准为2.6%(年化)。</w:t>
            </w:r>
          </w:p>
          <w:p w14:paraId="1724D4CF">
            <w:pPr>
              <w:spacing w:line="200" w:lineRule="exact"/>
            </w:pPr>
            <w:r>
              <w:rPr>
                <w:rFonts w:ascii="方正黑体_GBK" w:hAnsi="方正黑体_GBK" w:eastAsia="方正黑体_GBK" w:cs="宋体"/>
                <w:sz w:val="18"/>
                <w:szCs w:val="18"/>
              </w:rPr>
              <w:t>C份额：业绩比较基准为2.7%(年化)。</w:t>
            </w:r>
          </w:p>
          <w:p w14:paraId="4B0C75E9">
            <w:pPr>
              <w:spacing w:line="200" w:lineRule="exact"/>
            </w:pPr>
            <w:r>
              <w:rPr>
                <w:rFonts w:ascii="方正黑体_GBK" w:hAnsi="方正黑体_GBK" w:eastAsia="方正黑体_GBK" w:cs="宋体"/>
                <w:sz w:val="18"/>
                <w:szCs w:val="18"/>
              </w:rPr>
              <w:t>D份额：业绩比较基准为2.8%(年化)。</w:t>
            </w:r>
          </w:p>
          <w:p w14:paraId="36569721">
            <w:pPr>
              <w:spacing w:line="200" w:lineRule="exact"/>
            </w:pPr>
            <w:r>
              <w:rPr>
                <w:rFonts w:ascii="方正黑体_GBK" w:hAnsi="方正黑体_GBK" w:eastAsia="方正黑体_GBK" w:cs="宋体"/>
                <w:sz w:val="18"/>
                <w:szCs w:val="18"/>
              </w:rPr>
              <w:t>本产品不同份额针对不同的销售机构及客群进行销售，设置有不同的销售费和管理费，导致业绩基准测算结果不同。</w:t>
            </w:r>
          </w:p>
          <w:p w14:paraId="6B9A3436">
            <w:pPr>
              <w:spacing w:line="200" w:lineRule="exac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14:paraId="7269735C">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14:paraId="65A705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280CE8A">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14:paraId="79C7F333">
            <w:pPr>
              <w:spacing w:line="200" w:lineRule="exact"/>
            </w:pPr>
            <w:r>
              <w:rPr>
                <w:rFonts w:ascii="方正黑体_GBK" w:hAnsi="方正黑体_GBK" w:eastAsia="方正黑体_GBK" w:cs="宋体"/>
                <w:b/>
                <w:sz w:val="18"/>
                <w:szCs w:val="18"/>
              </w:rPr>
              <w:t>认/申购费：本理财产品暂不收取认/申购费。</w:t>
            </w:r>
          </w:p>
          <w:p w14:paraId="4CF75CEE">
            <w:pPr>
              <w:spacing w:line="200" w:lineRule="exact"/>
            </w:pPr>
            <w:r>
              <w:rPr>
                <w:rFonts w:ascii="方正黑体_GBK" w:hAnsi="方正黑体_GBK" w:eastAsia="方正黑体_GBK" w:cs="宋体"/>
                <w:b/>
                <w:sz w:val="18"/>
                <w:szCs w:val="18"/>
              </w:rPr>
              <w:t>赎回费：本理财产品暂不收取赎回费。</w:t>
            </w:r>
          </w:p>
          <w:p w14:paraId="406027A1">
            <w:pPr>
              <w:spacing w:line="200" w:lineRule="exact"/>
            </w:pPr>
            <w:r>
              <w:rPr>
                <w:rFonts w:ascii="方正黑体_GBK" w:hAnsi="方正黑体_GBK" w:eastAsia="方正黑体_GBK" w:cs="宋体"/>
                <w:b/>
                <w:sz w:val="18"/>
                <w:szCs w:val="18"/>
              </w:rPr>
              <w:t>销售费：本理财产品按前一日理财产品资产净值收取销售费，按日计提。</w:t>
            </w:r>
          </w:p>
          <w:p w14:paraId="08436666">
            <w:pPr>
              <w:spacing w:line="200" w:lineRule="exact"/>
            </w:pPr>
            <w:r>
              <w:rPr>
                <w:rFonts w:ascii="方正黑体_GBK" w:hAnsi="方正黑体_GBK" w:eastAsia="方正黑体_GBK" w:cs="宋体"/>
                <w:b/>
                <w:sz w:val="18"/>
                <w:szCs w:val="18"/>
              </w:rPr>
              <w:t>A份额：销售费年化0.2%</w:t>
            </w:r>
          </w:p>
          <w:p w14:paraId="35E3D313">
            <w:pPr>
              <w:spacing w:line="200" w:lineRule="exact"/>
            </w:pPr>
            <w:r>
              <w:rPr>
                <w:rFonts w:ascii="方正黑体_GBK" w:hAnsi="方正黑体_GBK" w:eastAsia="方正黑体_GBK" w:cs="宋体"/>
                <w:b/>
                <w:sz w:val="18"/>
                <w:szCs w:val="18"/>
              </w:rPr>
              <w:t>B份额：销售费年化0.15%</w:t>
            </w:r>
          </w:p>
          <w:p w14:paraId="4537F53E">
            <w:pPr>
              <w:spacing w:line="200" w:lineRule="exact"/>
            </w:pPr>
            <w:r>
              <w:rPr>
                <w:rFonts w:ascii="方正黑体_GBK" w:hAnsi="方正黑体_GBK" w:eastAsia="方正黑体_GBK" w:cs="宋体"/>
                <w:b/>
                <w:sz w:val="18"/>
                <w:szCs w:val="18"/>
              </w:rPr>
              <w:t>C份额：销售费年化0.05%</w:t>
            </w:r>
          </w:p>
          <w:p w14:paraId="2371EF3D">
            <w:pPr>
              <w:spacing w:line="200" w:lineRule="exact"/>
            </w:pPr>
            <w:r>
              <w:rPr>
                <w:rFonts w:ascii="方正黑体_GBK" w:hAnsi="方正黑体_GBK" w:eastAsia="方正黑体_GBK" w:cs="宋体"/>
                <w:b/>
                <w:sz w:val="18"/>
                <w:szCs w:val="18"/>
              </w:rPr>
              <w:t>D份额：销售费年化0%</w:t>
            </w:r>
          </w:p>
          <w:p w14:paraId="74FF8225">
            <w:pPr>
              <w:spacing w:line="200" w:lineRule="exact"/>
            </w:pPr>
            <w:r>
              <w:rPr>
                <w:rFonts w:ascii="方正黑体_GBK" w:hAnsi="方正黑体_GBK" w:eastAsia="方正黑体_GBK" w:cs="宋体"/>
                <w:b/>
                <w:sz w:val="18"/>
                <w:szCs w:val="18"/>
              </w:rPr>
              <w:t>每日计提的销售费=前一日理财产品资产净值×年化销售费率÷365</w:t>
            </w:r>
          </w:p>
          <w:p w14:paraId="637EA57A">
            <w:pPr>
              <w:spacing w:line="200" w:lineRule="exact"/>
            </w:pPr>
            <w:r>
              <w:rPr>
                <w:rFonts w:ascii="方正黑体_GBK" w:hAnsi="方正黑体_GBK" w:eastAsia="方正黑体_GBK" w:cs="宋体"/>
                <w:b/>
                <w:sz w:val="18"/>
                <w:szCs w:val="18"/>
              </w:rPr>
              <w:t>固定管理费：本理财产品按前一日理财产品资产净值收取固定管理费，按日计提。</w:t>
            </w:r>
          </w:p>
          <w:p w14:paraId="493286CF">
            <w:pPr>
              <w:spacing w:line="200" w:lineRule="exact"/>
            </w:pPr>
            <w:r>
              <w:rPr>
                <w:rFonts w:ascii="方正黑体_GBK" w:hAnsi="方正黑体_GBK" w:eastAsia="方正黑体_GBK" w:cs="宋体"/>
                <w:b/>
                <w:sz w:val="18"/>
                <w:szCs w:val="18"/>
              </w:rPr>
              <w:t>A份额：固定管理费年化0.2%</w:t>
            </w:r>
          </w:p>
          <w:p w14:paraId="4E6A5D59">
            <w:pPr>
              <w:spacing w:line="200" w:lineRule="exact"/>
            </w:pPr>
            <w:r>
              <w:rPr>
                <w:rFonts w:ascii="方正黑体_GBK" w:hAnsi="方正黑体_GBK" w:eastAsia="方正黑体_GBK" w:cs="宋体"/>
                <w:b/>
                <w:sz w:val="18"/>
                <w:szCs w:val="18"/>
              </w:rPr>
              <w:t>B份额：固定管理费年化0.15%</w:t>
            </w:r>
          </w:p>
          <w:p w14:paraId="0955EBAE">
            <w:pPr>
              <w:spacing w:line="200" w:lineRule="exact"/>
            </w:pPr>
            <w:r>
              <w:rPr>
                <w:rFonts w:ascii="方正黑体_GBK" w:hAnsi="方正黑体_GBK" w:eastAsia="方正黑体_GBK" w:cs="宋体"/>
                <w:b/>
                <w:sz w:val="18"/>
                <w:szCs w:val="18"/>
              </w:rPr>
              <w:t>C份额：固定管理费年化0.15%</w:t>
            </w:r>
          </w:p>
          <w:p w14:paraId="5BA99FF2">
            <w:pPr>
              <w:spacing w:line="200" w:lineRule="exact"/>
            </w:pPr>
            <w:r>
              <w:rPr>
                <w:rFonts w:ascii="方正黑体_GBK" w:hAnsi="方正黑体_GBK" w:eastAsia="方正黑体_GBK" w:cs="宋体"/>
                <w:b/>
                <w:sz w:val="18"/>
                <w:szCs w:val="18"/>
              </w:rPr>
              <w:t>D份额：固定管理费年化0.1%</w:t>
            </w:r>
          </w:p>
          <w:p w14:paraId="62DBDEC5">
            <w:pPr>
              <w:spacing w:line="200" w:lineRule="exact"/>
            </w:pPr>
            <w:r>
              <w:rPr>
                <w:rFonts w:ascii="方正黑体_GBK" w:hAnsi="方正黑体_GBK" w:eastAsia="方正黑体_GBK" w:cs="宋体"/>
                <w:b/>
                <w:sz w:val="18"/>
                <w:szCs w:val="18"/>
              </w:rPr>
              <w:t>每日计提的固定管理费=前一日理财产品资产净值×年化固定管理费率÷365</w:t>
            </w:r>
          </w:p>
          <w:p w14:paraId="4F9E7344">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14:paraId="0EE0BCB0">
            <w:pPr>
              <w:spacing w:line="200" w:lineRule="exact"/>
            </w:pPr>
            <w:r>
              <w:rPr>
                <w:rFonts w:ascii="方正黑体_GBK" w:hAnsi="方正黑体_GBK" w:eastAsia="方正黑体_GBK" w:cs="宋体"/>
                <w:b/>
                <w:sz w:val="18"/>
                <w:szCs w:val="18"/>
              </w:rPr>
              <w:t>每日计提的托管费=前一日理财产品资产净值×年化托管费率÷365</w:t>
            </w:r>
          </w:p>
          <w:p w14:paraId="4E389138">
            <w:pPr>
              <w:spacing w:line="200" w:lineRule="exact"/>
            </w:pPr>
            <w:r>
              <w:rPr>
                <w:rFonts w:ascii="方正黑体_GBK" w:hAnsi="方正黑体_GBK" w:eastAsia="方正黑体_GBK" w:cs="宋体"/>
                <w:b/>
                <w:sz w:val="18"/>
                <w:szCs w:val="18"/>
              </w:rPr>
              <w:t>业绩报酬：</w:t>
            </w:r>
          </w:p>
          <w:p w14:paraId="6071A6B9">
            <w:pPr>
              <w:spacing w:line="200" w:lineRule="exact"/>
            </w:pPr>
            <w:r>
              <w:rPr>
                <w:rFonts w:ascii="方正黑体_GBK" w:hAnsi="方正黑体_GBK" w:eastAsia="方正黑体_GBK" w:cs="宋体"/>
                <w:b/>
                <w:sz w:val="18"/>
                <w:szCs w:val="18"/>
              </w:rPr>
              <w:t>A份额：到期兑付时，当期产品投资的实际资产组合收益（扣除销售费、固定管理费、托管费等相关费用）超过2.5%（年化，即产品该份额对应的业绩报酬计提基准）时，超过部分管理人将按60%收取业绩报酬。</w:t>
            </w:r>
          </w:p>
          <w:p w14:paraId="216A0269">
            <w:pPr>
              <w:spacing w:line="200" w:lineRule="exact"/>
            </w:pPr>
            <w:r>
              <w:rPr>
                <w:rFonts w:ascii="方正黑体_GBK" w:hAnsi="方正黑体_GBK" w:eastAsia="方正黑体_GBK" w:cs="宋体"/>
                <w:b/>
                <w:sz w:val="18"/>
                <w:szCs w:val="18"/>
              </w:rPr>
              <w:t>B份额：到期兑付时，当期产品投资的实际资产组合收益（扣除销售费、固定管理费、托管费等相关费用）超过2.6%（年化，即产品该份额对应的业绩报酬计提基准）时，超过部分管理人将按60%收取业绩报酬。</w:t>
            </w:r>
          </w:p>
          <w:p w14:paraId="06C51907">
            <w:pPr>
              <w:spacing w:line="200" w:lineRule="exact"/>
            </w:pPr>
            <w:r>
              <w:rPr>
                <w:rFonts w:ascii="方正黑体_GBK" w:hAnsi="方正黑体_GBK" w:eastAsia="方正黑体_GBK" w:cs="宋体"/>
                <w:b/>
                <w:sz w:val="18"/>
                <w:szCs w:val="18"/>
              </w:rPr>
              <w:t>C份额：到期兑付时，当期产品投资的实际资产组合收益（扣除销售费、固定管理费、托管费等相关费用）超过2.7%（年化，即产品该份额对应的业绩报酬计提基准）时，超过部分管理人将按60%收取业绩报酬。</w:t>
            </w:r>
          </w:p>
          <w:p w14:paraId="1F0A7331">
            <w:pPr>
              <w:spacing w:line="200" w:lineRule="exact"/>
            </w:pPr>
            <w:r>
              <w:rPr>
                <w:rFonts w:ascii="方正黑体_GBK" w:hAnsi="方正黑体_GBK" w:eastAsia="方正黑体_GBK" w:cs="宋体"/>
                <w:b/>
                <w:sz w:val="18"/>
                <w:szCs w:val="18"/>
              </w:rPr>
              <w:t>D份额：到期兑付时，当期产品投资的实际资产组合收益（扣除销售费、固定管理费、托管费等相关费用）超过2.8%（年化，即产品该份额对应的业绩报酬计提基准）时，超过部分管理人将按60%收取业绩报酬。</w:t>
            </w:r>
          </w:p>
          <w:p w14:paraId="2FC00CEF">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14:paraId="197112F0">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14:paraId="189B409A">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14:paraId="7521E20C">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14:paraId="6A7516FE">
            <w:pPr>
              <w:spacing w:line="200" w:lineRule="exact"/>
            </w:pPr>
            <w:r>
              <w:rPr>
                <w:rFonts w:ascii="方正黑体_GBK" w:hAnsi="方正黑体_GBK" w:eastAsia="方正黑体_GBK" w:cs="宋体"/>
                <w:b/>
                <w:sz w:val="18"/>
                <w:szCs w:val="18"/>
              </w:rPr>
              <w:t>计算本区间业绩报酬的公式如下：</w:t>
            </w:r>
          </w:p>
          <w:p w14:paraId="27552B1E">
            <w:pPr>
              <w:spacing w:line="200" w:lineRule="exact"/>
            </w:pPr>
            <w:r>
              <w:rPr>
                <w:rFonts w:ascii="方正黑体_GBK" w:hAnsi="方正黑体_GBK" w:eastAsia="方正黑体_GBK" w:cs="宋体"/>
                <w:b/>
                <w:sz w:val="18"/>
                <w:szCs w:val="18"/>
              </w:rPr>
              <w:t>A={B-C*D*(1+E*F/365)}*G。</w:t>
            </w:r>
          </w:p>
          <w:p w14:paraId="6ADB298B">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14:paraId="02AF93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7ADFFC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14:paraId="401C9311">
            <w:pPr>
              <w:spacing w:line="200" w:lineRule="exact"/>
            </w:pPr>
            <w:r>
              <w:rPr>
                <w:rFonts w:ascii="方正黑体_GBK" w:hAnsi="方正黑体_GBK" w:eastAsia="方正黑体_GBK" w:cs="宋体"/>
                <w:sz w:val="18"/>
                <w:szCs w:val="18"/>
              </w:rPr>
              <w:t>具体详见本理财产品风险揭示书。</w:t>
            </w:r>
          </w:p>
        </w:tc>
      </w:tr>
      <w:tr w14:paraId="7A6299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0FCC7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7E5A77C8">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14:paraId="0FF33C84">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14:paraId="22CCD261">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14:paraId="15B8570A">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14:paraId="30F984A9">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14:paraId="38C2A7FC">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14:paraId="2CA2836F">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14:paraId="26E57902">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14:paraId="0891E7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397A5D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14:paraId="27ACB037">
            <w:pPr>
              <w:spacing w:line="200" w:lineRule="exact"/>
              <w:jc w:val="left"/>
            </w:pPr>
            <w:r>
              <w:rPr>
                <w:rFonts w:ascii="方正黑体_GBK" w:hAnsi="方正黑体_GBK" w:eastAsia="方正黑体_GBK" w:cs="宋体"/>
                <w:sz w:val="18"/>
                <w:szCs w:val="18"/>
              </w:rPr>
              <w:t>本理财产品销售机构为南京银行股份有限公司、兴业银行股份有限公司、青岛银行股份有限公司、杭州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宁波通商银行股份有限公司、广州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甘肃银行股份有限公司、浙江民泰商业银行股份有限公司、江苏仪征农村商业银行股份有限公司。管理人有权调整本理财产品的销售机构并进行信息披露。</w:t>
            </w:r>
          </w:p>
          <w:p w14:paraId="63602A55">
            <w:pPr>
              <w:spacing w:line="200" w:lineRule="exact"/>
              <w:jc w:val="left"/>
            </w:pPr>
            <w:r>
              <w:rPr>
                <w:rFonts w:ascii="方正黑体_GBK" w:hAnsi="方正黑体_GBK" w:eastAsia="方正黑体_GBK" w:cs="宋体"/>
                <w:sz w:val="18"/>
                <w:szCs w:val="18"/>
              </w:rPr>
              <w:t>销售机构主要职责如下：</w:t>
            </w:r>
          </w:p>
          <w:p w14:paraId="5FD09154">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14:paraId="53D48AA8">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14:paraId="6AF294C9">
            <w:pPr>
              <w:spacing w:line="200" w:lineRule="exact"/>
              <w:jc w:val="left"/>
            </w:pPr>
            <w:r>
              <w:rPr>
                <w:rFonts w:ascii="方正黑体_GBK" w:hAnsi="方正黑体_GBK" w:eastAsia="方正黑体_GBK" w:cs="宋体"/>
                <w:sz w:val="18"/>
                <w:szCs w:val="18"/>
              </w:rPr>
              <w:t>3.妥善保管投资者理财产品销售相关资料，保管年限不低于20年；</w:t>
            </w:r>
          </w:p>
          <w:p w14:paraId="33C854D2">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14:paraId="62B760CF">
            <w:pPr>
              <w:spacing w:line="200" w:lineRule="exact"/>
              <w:jc w:val="left"/>
            </w:pPr>
            <w:r>
              <w:rPr>
                <w:rFonts w:ascii="方正黑体_GBK" w:hAnsi="方正黑体_GBK" w:eastAsia="方正黑体_GBK" w:cs="宋体"/>
                <w:sz w:val="18"/>
                <w:szCs w:val="18"/>
              </w:rPr>
              <w:t>5.建立健全投资者权益保护管理体系，加强投资者适当性管理；</w:t>
            </w:r>
          </w:p>
          <w:p w14:paraId="6EC5626B">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14:paraId="4957C3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6B418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14:paraId="486A2C66">
            <w:pPr>
              <w:spacing w:line="200" w:lineRule="exact"/>
            </w:pPr>
            <w:r>
              <w:rPr>
                <w:rFonts w:ascii="方正黑体_GBK" w:hAnsi="方正黑体_GBK" w:eastAsia="方正黑体_GBK" w:cs="宋体"/>
                <w:sz w:val="18"/>
                <w:szCs w:val="18"/>
              </w:rPr>
              <w:t>本理财产品托管人为南京银行股份有限公司，主要职责如下：</w:t>
            </w:r>
          </w:p>
          <w:p w14:paraId="3424A33F">
            <w:pPr>
              <w:spacing w:line="200" w:lineRule="exact"/>
            </w:pPr>
            <w:r>
              <w:rPr>
                <w:rFonts w:ascii="方正黑体_GBK" w:hAnsi="方正黑体_GBK" w:eastAsia="方正黑体_GBK" w:cs="宋体"/>
                <w:sz w:val="18"/>
                <w:szCs w:val="18"/>
              </w:rPr>
              <w:t>1.安全保管理财产品财产；</w:t>
            </w:r>
          </w:p>
          <w:p w14:paraId="53769A23">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14:paraId="330295CD">
            <w:pPr>
              <w:spacing w:line="200" w:lineRule="exact"/>
            </w:pPr>
            <w:r>
              <w:rPr>
                <w:rFonts w:ascii="方正黑体_GBK" w:hAnsi="方正黑体_GBK" w:eastAsia="方正黑体_GBK" w:cs="宋体"/>
                <w:sz w:val="18"/>
                <w:szCs w:val="18"/>
              </w:rPr>
              <w:t>3.按照托管协议约定和管理人的投资指令，及时办理清算、交割事宜；</w:t>
            </w:r>
          </w:p>
          <w:p w14:paraId="218A5B62">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14:paraId="39EAEADF">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14:paraId="44BDFE17">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14:paraId="16F7916E">
            <w:pPr>
              <w:spacing w:line="200" w:lineRule="exact"/>
            </w:pPr>
            <w:r>
              <w:rPr>
                <w:rFonts w:ascii="方正黑体_GBK" w:hAnsi="方正黑体_GBK" w:eastAsia="方正黑体_GBK" w:cs="宋体"/>
                <w:sz w:val="18"/>
                <w:szCs w:val="18"/>
              </w:rPr>
              <w:t>7.理财托管业务活动的记录、账册、报表和其他相关资料保存20年以上；</w:t>
            </w:r>
          </w:p>
          <w:p w14:paraId="421ACD4E">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14:paraId="6C1D0262">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14:paraId="50BB938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2E45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14:paraId="7D89F4C7">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保资产管理有限公司、中粮信托有限责任公司、鑫元基金管理有限公司，上述投资合作机构主要职责对应如下，具体职责以管理人与投资合作机构签署的合同为准。</w:t>
            </w:r>
          </w:p>
          <w:p w14:paraId="2E6D9259">
            <w:pPr>
              <w:spacing w:line="200" w:lineRule="exact"/>
            </w:pPr>
            <w:r>
              <w:rPr>
                <w:rFonts w:ascii="方正黑体_GBK" w:hAnsi="方正黑体_GBK" w:eastAsia="方正黑体_GBK" w:cs="宋体"/>
                <w:sz w:val="18"/>
                <w:szCs w:val="18"/>
              </w:rPr>
              <w:t>1.合作机构为理财产品所投资资产管理产品的发行机构，主要承担资产管理产品的管理人职责：平安资产管理有限责任公司、太平洋资产管理有限责任公司、太平资产管理有限公司、中国人保资产管理有限公司。</w:t>
            </w:r>
          </w:p>
          <w:p w14:paraId="256C8635">
            <w:pPr>
              <w:spacing w:line="200" w:lineRule="exact"/>
            </w:pPr>
            <w:r>
              <w:rPr>
                <w:rFonts w:ascii="方正黑体_GBK" w:hAnsi="方正黑体_GBK" w:eastAsia="方正黑体_GBK"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粮信托有限责任公司、鑫元基金管理有限公司。</w:t>
            </w:r>
          </w:p>
          <w:p w14:paraId="05D035CD">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14:paraId="07A94819">
            <w:pPr>
              <w:spacing w:line="200" w:lineRule="exact"/>
            </w:pPr>
            <w:r>
              <w:rPr>
                <w:rFonts w:ascii="方正黑体_GBK" w:hAnsi="方正黑体_GBK" w:eastAsia="方正黑体_GBK" w:cs="宋体"/>
                <w:sz w:val="18"/>
                <w:szCs w:val="18"/>
              </w:rPr>
              <w:t>上述投资合作机构简介：</w:t>
            </w:r>
          </w:p>
          <w:p w14:paraId="43E2BD65">
            <w:pPr>
              <w:spacing w:line="200" w:lineRule="exact"/>
            </w:pPr>
            <w:r>
              <w:rPr>
                <w:rFonts w:ascii="方正黑体_GBK" w:hAnsi="方正黑体_GBK" w:eastAsia="方正黑体_GBK" w:cs="宋体"/>
                <w:sz w:val="18"/>
                <w:szCs w:val="18"/>
              </w:rPr>
              <w:t>百瑞信托有限责任公司成立于2002年10月16日，注册资本金400000万元人民币。</w:t>
            </w:r>
          </w:p>
          <w:p w14:paraId="3DAB934C">
            <w:pPr>
              <w:spacing w:line="200" w:lineRule="exact"/>
            </w:pPr>
            <w:r>
              <w:rPr>
                <w:rFonts w:ascii="方正黑体_GBK" w:hAnsi="方正黑体_GBK" w:eastAsia="方正黑体_GBK" w:cs="宋体"/>
                <w:sz w:val="18"/>
                <w:szCs w:val="18"/>
              </w:rPr>
              <w:t>大家资产管理有限责任公司成立于2011年05月20日，注册资本金6亿元人民币。</w:t>
            </w:r>
          </w:p>
          <w:p w14:paraId="70F16288">
            <w:pPr>
              <w:spacing w:line="200" w:lineRule="exact"/>
            </w:pPr>
            <w:r>
              <w:rPr>
                <w:rFonts w:ascii="方正黑体_GBK" w:hAnsi="方正黑体_GBK" w:eastAsia="方正黑体_GBK" w:cs="宋体"/>
                <w:sz w:val="18"/>
                <w:szCs w:val="18"/>
              </w:rPr>
              <w:t>光大永明资产管理股份有限公司成立于2012年03月02日，注册资本金5亿元。</w:t>
            </w:r>
          </w:p>
          <w:p w14:paraId="0F7B5197">
            <w:pPr>
              <w:spacing w:line="200" w:lineRule="exact"/>
            </w:pPr>
            <w:r>
              <w:rPr>
                <w:rFonts w:ascii="方正黑体_GBK" w:hAnsi="方正黑体_GBK" w:eastAsia="方正黑体_GBK" w:cs="宋体"/>
                <w:sz w:val="18"/>
                <w:szCs w:val="18"/>
              </w:rPr>
              <w:t>国联基金管理有限公司成立于2013年05月31日，注册资本金11.5亿元。</w:t>
            </w:r>
          </w:p>
          <w:p w14:paraId="2231684A">
            <w:pPr>
              <w:spacing w:line="200" w:lineRule="exact"/>
            </w:pPr>
            <w:r>
              <w:rPr>
                <w:rFonts w:ascii="方正黑体_GBK" w:hAnsi="方正黑体_GBK" w:eastAsia="方正黑体_GBK" w:cs="宋体"/>
                <w:sz w:val="18"/>
                <w:szCs w:val="18"/>
              </w:rPr>
              <w:t>国投泰康信托有限公司成立于1986年06月26日，注册资本金267,054.5454万人民币。</w:t>
            </w:r>
          </w:p>
          <w:p w14:paraId="316D2078">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14:paraId="625F7B89">
            <w:pPr>
              <w:spacing w:line="200" w:lineRule="exact"/>
            </w:pPr>
            <w:r>
              <w:rPr>
                <w:rFonts w:ascii="方正黑体_GBK" w:hAnsi="方正黑体_GBK" w:eastAsia="方正黑体_GBK" w:cs="宋体"/>
                <w:sz w:val="18"/>
                <w:szCs w:val="18"/>
              </w:rPr>
              <w:t>华鑫国际信托有限公司成立于1984年06月01日，注册资本金73.95亿元。</w:t>
            </w:r>
          </w:p>
          <w:p w14:paraId="786C9795">
            <w:pPr>
              <w:spacing w:line="200" w:lineRule="exact"/>
            </w:pPr>
            <w:r>
              <w:rPr>
                <w:rFonts w:ascii="方正黑体_GBK" w:hAnsi="方正黑体_GBK" w:eastAsia="方正黑体_GBK" w:cs="宋体"/>
                <w:sz w:val="18"/>
                <w:szCs w:val="18"/>
              </w:rPr>
              <w:t>建信保险资产管理有限公司成立于2016年04月27日，注册资本金3亿元。</w:t>
            </w:r>
          </w:p>
          <w:p w14:paraId="472BD290">
            <w:pPr>
              <w:spacing w:line="200" w:lineRule="exact"/>
            </w:pPr>
            <w:r>
              <w:rPr>
                <w:rFonts w:ascii="方正黑体_GBK" w:hAnsi="方正黑体_GBK" w:eastAsia="方正黑体_GBK" w:cs="宋体"/>
                <w:sz w:val="18"/>
                <w:szCs w:val="18"/>
              </w:rPr>
              <w:t>江苏省国际信托有限责任公司成立于1992年06月01日，注册资本金87.60亿元。</w:t>
            </w:r>
          </w:p>
          <w:p w14:paraId="47720A67">
            <w:pPr>
              <w:spacing w:line="200" w:lineRule="exact"/>
            </w:pPr>
            <w:r>
              <w:rPr>
                <w:rFonts w:ascii="方正黑体_GBK" w:hAnsi="方正黑体_GBK" w:eastAsia="方正黑体_GBK" w:cs="宋体"/>
                <w:sz w:val="18"/>
                <w:szCs w:val="18"/>
              </w:rPr>
              <w:t>交银国际信托有限公司成立于1983年11月23日，注册资本金57.65亿元。</w:t>
            </w:r>
          </w:p>
          <w:p w14:paraId="4D0A6093">
            <w:pPr>
              <w:spacing w:line="200" w:lineRule="exact"/>
            </w:pPr>
            <w:r>
              <w:rPr>
                <w:rFonts w:ascii="方正黑体_GBK" w:hAnsi="方正黑体_GBK" w:eastAsia="方正黑体_GBK" w:cs="宋体"/>
                <w:sz w:val="18"/>
                <w:szCs w:val="18"/>
              </w:rPr>
              <w:t>平安资产管理有限责任公司成立于2005年05月27日，注册资本金15亿元。</w:t>
            </w:r>
          </w:p>
          <w:p w14:paraId="1385E6F1">
            <w:pPr>
              <w:spacing w:line="200" w:lineRule="exact"/>
            </w:pPr>
            <w:r>
              <w:rPr>
                <w:rFonts w:ascii="方正黑体_GBK" w:hAnsi="方正黑体_GBK" w:eastAsia="方正黑体_GBK" w:cs="宋体"/>
                <w:sz w:val="18"/>
                <w:szCs w:val="18"/>
              </w:rPr>
              <w:t>太平洋资产管理有限责任公司成立于2006年06月09日，注册资本金21亿元。</w:t>
            </w:r>
          </w:p>
          <w:p w14:paraId="6EAD8FD8">
            <w:pPr>
              <w:spacing w:line="200" w:lineRule="exact"/>
            </w:pPr>
            <w:r>
              <w:rPr>
                <w:rFonts w:ascii="方正黑体_GBK" w:hAnsi="方正黑体_GBK" w:eastAsia="方正黑体_GBK" w:cs="宋体"/>
                <w:sz w:val="18"/>
                <w:szCs w:val="18"/>
              </w:rPr>
              <w:t>太平资产管理有限公司成立于2006年09月01日，注册资本金10亿元。</w:t>
            </w:r>
          </w:p>
          <w:p w14:paraId="76244FDE">
            <w:pPr>
              <w:spacing w:line="200" w:lineRule="exact"/>
            </w:pPr>
            <w:r>
              <w:rPr>
                <w:rFonts w:ascii="方正黑体_GBK" w:hAnsi="方正黑体_GBK" w:eastAsia="方正黑体_GBK" w:cs="宋体"/>
                <w:sz w:val="18"/>
                <w:szCs w:val="18"/>
              </w:rPr>
              <w:t>中国人保资产管理有限公司成立于2003年07月16日，注册资本金12.98亿元。</w:t>
            </w:r>
          </w:p>
          <w:p w14:paraId="7C6790AC">
            <w:pPr>
              <w:spacing w:line="200" w:lineRule="exact"/>
            </w:pPr>
            <w:r>
              <w:rPr>
                <w:rFonts w:ascii="方正黑体_GBK" w:hAnsi="方正黑体_GBK" w:eastAsia="方正黑体_GBK" w:cs="宋体"/>
                <w:sz w:val="18"/>
                <w:szCs w:val="18"/>
              </w:rPr>
              <w:t>中粮信托有限责任公司成立于2009年07月27日，注册资本金28.3亿元。</w:t>
            </w:r>
          </w:p>
          <w:p w14:paraId="415D3DD4">
            <w:pPr>
              <w:spacing w:line="200" w:lineRule="exact"/>
            </w:pPr>
            <w:r>
              <w:rPr>
                <w:rFonts w:ascii="方正黑体_GBK" w:hAnsi="方正黑体_GBK" w:eastAsia="方正黑体_GBK" w:cs="宋体"/>
                <w:sz w:val="18"/>
                <w:szCs w:val="18"/>
              </w:rPr>
              <w:t>鑫元基金管理有限公司成立于2013年08月29日，注册资本金17亿元。</w:t>
            </w:r>
          </w:p>
        </w:tc>
      </w:tr>
      <w:tr w14:paraId="2741FD8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0AF8CC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14:paraId="46A64E96">
            <w:pPr>
              <w:spacing w:line="200" w:lineRule="exact"/>
              <w:jc w:val="left"/>
            </w:pPr>
            <w:r>
              <w:rPr>
                <w:rFonts w:ascii="方正黑体_GBK" w:hAnsi="方正黑体_GBK" w:eastAsia="方正黑体_GBK" w:cs="宋体"/>
                <w:color w:val="000000"/>
                <w:sz w:val="18"/>
                <w:szCs w:val="18"/>
              </w:rPr>
              <w:t>1.本理财产品为封闭式产品，在封闭期内不开放申购/赎回，投资者应考虑产品期限并合理安排自身投资计划。</w:t>
            </w:r>
          </w:p>
          <w:p w14:paraId="0E90FC63">
            <w:pPr>
              <w:spacing w:line="200" w:lineRule="exact"/>
              <w:jc w:val="left"/>
            </w:pPr>
            <w:r>
              <w:rPr>
                <w:rFonts w:ascii="方正黑体_GBK" w:hAnsi="方正黑体_GBK" w:eastAsia="方正黑体_GBK" w:cs="宋体"/>
                <w:color w:val="000000"/>
                <w:sz w:val="18"/>
                <w:szCs w:val="18"/>
              </w:rPr>
              <w:t>2.管理人在本理财产品存续期间按照监管规定进行信息披露，详见本理财产品说明书第五条信息披露。</w:t>
            </w:r>
          </w:p>
          <w:p w14:paraId="56517E42">
            <w:pPr>
              <w:spacing w:line="200" w:lineRule="exact"/>
              <w:jc w:val="left"/>
            </w:pPr>
            <w:r>
              <w:rPr>
                <w:rFonts w:ascii="方正黑体_GBK" w:hAnsi="方正黑体_GBK" w:eastAsia="方正黑体_GBK" w:cs="宋体"/>
                <w:color w:val="000000"/>
                <w:sz w:val="18"/>
                <w:szCs w:val="18"/>
              </w:rPr>
              <w:t>3.本理财产品投资的资产管理产品的业绩报酬、赎回费等的提取（如有）可能造成本理财产品净值的下降。</w:t>
            </w:r>
          </w:p>
          <w:p w14:paraId="1A89BE73">
            <w:pPr>
              <w:spacing w:line="200" w:lineRule="exact"/>
              <w:jc w:val="left"/>
            </w:pPr>
            <w:r>
              <w:rPr>
                <w:rFonts w:ascii="方正黑体_GBK" w:hAnsi="方正黑体_GBK" w:eastAsia="方正黑体_GBK" w:cs="宋体"/>
                <w:b/>
                <w:color w:val="000000"/>
                <w:sz w:val="18"/>
                <w:szCs w:val="18"/>
              </w:rPr>
              <w:t>4.本理财产品可能投资不存在活跃交易市场且需要采用估值技术确定公允价值的资产，且计划投资前述资产的比例达到本理财产品净资产50%以上（“以上”含本数）。</w:t>
            </w:r>
          </w:p>
        </w:tc>
      </w:tr>
      <w:tr w14:paraId="65FFCA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57" w:type="dxa"/>
            <w:left w:w="108" w:type="dxa"/>
            <w:bottom w:w="57" w:type="dxa"/>
            <w:right w:w="108" w:type="dxa"/>
          </w:tblCellMar>
        </w:tblPrEx>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14:paraId="42332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14:paraId="6CDAC724">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14:paraId="18C81E71">
      <w:pPr>
        <w:pStyle w:val="32"/>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14:paraId="50CF8085">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14:paraId="605FA483">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14:paraId="485030FD">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14:paraId="1D4A41B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14:paraId="4EBE34A8">
      <w:pPr>
        <w:pStyle w:val="47"/>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14:paraId="6D98591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14:paraId="2F9CF13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14:paraId="02DA34C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14:paraId="215377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14:paraId="44D183FB">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14:paraId="21185B7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14:paraId="3A9CC48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14:paraId="060FCB4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14:paraId="01ED6EB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14:paraId="4976BD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14:paraId="10ACE7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14:paraId="508DEB55">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14:paraId="14D93CA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14:paraId="5EB29D29">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14:paraId="5CFC82F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14:paraId="6160DD70">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14:paraId="5B0CF92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14:paraId="54C86CE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14:paraId="5D31365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14:paraId="4E85590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14:paraId="2A5B3B7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14:paraId="4295BB0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14:paraId="1BE6D5F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14:paraId="59BFB67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14:paraId="468720DF">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14:paraId="1B396FFC">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14:paraId="3EE69E3C">
      <w:pPr>
        <w:pStyle w:val="47"/>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南银理财珠联璧合鑫逸稳半年104期封闭式公募人民币理财产品</w:t>
      </w:r>
      <w:r>
        <w:rPr>
          <w:rFonts w:hint="eastAsia" w:ascii="方正黑体_GBK" w:hAnsi="方正黑体_GBK" w:eastAsia="方正黑体_GBK"/>
          <w:vanish w:val="0"/>
          <w:color w:val="3D3D3D"/>
          <w:kern w:val="0"/>
          <w:sz w:val="15"/>
          <w:szCs w:val="15"/>
        </w:rPr>
        <w:t>。</w:t>
      </w:r>
    </w:p>
    <w:p w14:paraId="6EDB793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14:paraId="0A7806F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14:paraId="7F4EA766">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14:paraId="608920F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14:paraId="43470960">
      <w:pPr>
        <w:pStyle w:val="47"/>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14:paraId="5B06D03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14:paraId="2D9AF498">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14:paraId="043F6BA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14:paraId="3864625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14:paraId="53D934B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14:paraId="7D04F8BB">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14:paraId="6E3C35D1">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14:paraId="5AA1162A">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14:paraId="706ED36E">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14:paraId="622BEA47">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14:paraId="73B0F324">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14:paraId="27410245">
      <w:pPr>
        <w:pStyle w:val="47"/>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14:paraId="01425FF0">
      <w:pPr>
        <w:pStyle w:val="4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14:paraId="18EE90E3">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14:paraId="58647F8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14:paraId="55E9D5CC">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14:paraId="5ACEA2E7">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14:paraId="7E06E4E1">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14:paraId="09797115">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14:paraId="58329E98">
      <w:pPr>
        <w:pStyle w:val="60"/>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14:paraId="793B551C">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14:paraId="7B9E32EB">
      <w:pPr>
        <w:pStyle w:val="47"/>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14:paraId="0538753F">
      <w:pPr>
        <w:pStyle w:val="47"/>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14:paraId="4E04EC95">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14:paraId="1FDD52B1">
      <w:pPr>
        <w:spacing w:line="200" w:lineRule="exact"/>
        <w:ind w:firstLine="280"/>
        <w:jc w:val="left"/>
      </w:pPr>
      <w:r>
        <w:rPr>
          <w:rFonts w:ascii="方正黑体_GBK" w:hAnsi="方正黑体_GBK" w:eastAsia="方正黑体_GBK" w:cs="宋体"/>
          <w:sz w:val="15"/>
          <w:szCs w:val="20"/>
        </w:rPr>
        <w:t>假设：投资者投资本理财产品</w:t>
      </w:r>
      <w:r>
        <w:rPr>
          <w:rFonts w:ascii="方正黑体_GBK" w:hAnsi="方正黑体_GBK" w:eastAsia="方正黑体_GBK"/>
          <w:sz w:val="15"/>
          <w:szCs w:val="20"/>
        </w:rPr>
        <w:t>10</w:t>
      </w:r>
      <w:r>
        <w:rPr>
          <w:rFonts w:ascii="方正黑体_GBK" w:hAnsi="方正黑体_GBK" w:eastAsia="方正黑体_GBK" w:cs="宋体"/>
          <w:sz w:val="15"/>
          <w:szCs w:val="20"/>
        </w:rPr>
        <w:t>万元，成立日当日产品净值为</w:t>
      </w:r>
      <w:r>
        <w:rPr>
          <w:rFonts w:ascii="方正黑体_GBK" w:hAnsi="方正黑体_GBK" w:eastAsia="方正黑体_GBK"/>
          <w:sz w:val="15"/>
          <w:szCs w:val="20"/>
        </w:rPr>
        <w:t>1.0000</w:t>
      </w:r>
      <w:r>
        <w:rPr>
          <w:rFonts w:ascii="方正黑体_GBK" w:hAnsi="方正黑体_GBK" w:eastAsia="方正黑体_GBK" w:cs="宋体"/>
          <w:sz w:val="15"/>
          <w:szCs w:val="20"/>
        </w:rPr>
        <w:t>元，折算份额</w:t>
      </w:r>
      <w:r>
        <w:rPr>
          <w:rFonts w:ascii="方正黑体_GBK" w:hAnsi="方正黑体_GBK" w:eastAsia="方正黑体_GBK"/>
          <w:sz w:val="15"/>
          <w:szCs w:val="20"/>
        </w:rPr>
        <w:t>100,000</w:t>
      </w:r>
      <w:r>
        <w:rPr>
          <w:rFonts w:ascii="方正黑体_GBK" w:hAnsi="方正黑体_GBK" w:eastAsia="方正黑体_GBK" w:cs="宋体"/>
          <w:sz w:val="15"/>
          <w:szCs w:val="20"/>
        </w:rPr>
        <w:t>份。</w:t>
      </w:r>
    </w:p>
    <w:p w14:paraId="1D75620B">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情景示例一：产品实际到期日，扣除所有税费后（如有业绩报酬，已扣除）的期末产品每份额净值为</w:t>
      </w:r>
      <w:r>
        <w:rPr>
          <w:rFonts w:ascii="方正黑体_GBK" w:hAnsi="方正黑体_GBK" w:eastAsia="方正黑体_GBK"/>
          <w:sz w:val="15"/>
          <w:szCs w:val="20"/>
        </w:rPr>
        <w:t>1.0300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103,000</w:t>
      </w:r>
      <w:r>
        <w:rPr>
          <w:rFonts w:ascii="方正黑体_GBK" w:hAnsi="方正黑体_GBK" w:eastAsia="方正黑体_GBK" w:cs="宋体"/>
          <w:sz w:val="15"/>
          <w:szCs w:val="20"/>
        </w:rPr>
        <w:t>元。</w:t>
      </w:r>
    </w:p>
    <w:p w14:paraId="023F06E5">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情景示例二：产品实际到期日，扣除所有税费后（如有业绩报酬，已扣除）的期末产品每份额净值为</w:t>
      </w:r>
      <w:r>
        <w:rPr>
          <w:rFonts w:ascii="方正黑体_GBK" w:hAnsi="方正黑体_GBK" w:eastAsia="方正黑体_GBK"/>
          <w:sz w:val="15"/>
          <w:szCs w:val="20"/>
        </w:rPr>
        <w:t>0.9700</w:t>
      </w:r>
      <w:r>
        <w:rPr>
          <w:rFonts w:ascii="方正黑体_GBK" w:hAnsi="方正黑体_GBK" w:eastAsia="方正黑体_GBK" w:cs="宋体"/>
          <w:sz w:val="15"/>
          <w:szCs w:val="20"/>
        </w:rPr>
        <w:t>，则客户在资金到帐日收到到期款项为</w:t>
      </w:r>
      <w:r>
        <w:rPr>
          <w:rFonts w:ascii="方正黑体_GBK" w:hAnsi="方正黑体_GBK" w:eastAsia="方正黑体_GBK"/>
          <w:sz w:val="15"/>
          <w:szCs w:val="20"/>
        </w:rPr>
        <w:t>97,000</w:t>
      </w:r>
      <w:r>
        <w:rPr>
          <w:rFonts w:ascii="方正黑体_GBK" w:hAnsi="方正黑体_GBK" w:eastAsia="方正黑体_GBK" w:cs="宋体"/>
          <w:sz w:val="15"/>
          <w:szCs w:val="20"/>
        </w:rPr>
        <w:t>元。</w:t>
      </w:r>
      <w:r>
        <w:rPr>
          <w:rFonts w:ascii="方正黑体_GBK" w:hAnsi="方正黑体_GBK" w:eastAsia="方正黑体_GBK" w:cs="宋体"/>
          <w:color w:val="000000"/>
          <w:sz w:val="15"/>
          <w:szCs w:val="20"/>
        </w:rPr>
        <w:t>以上数据为假设情形中的模拟数据，不代表实际收益，投资须谨慎。</w:t>
      </w:r>
    </w:p>
    <w:p w14:paraId="2E0A720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14:paraId="0E96D6C3">
      <w:pPr>
        <w:pStyle w:val="32"/>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14:paraId="5161D59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14:paraId="3D6875F6">
      <w:pPr>
        <w:spacing w:line="200" w:lineRule="exact"/>
        <w:ind w:firstLine="300"/>
        <w:jc w:val="both"/>
      </w:pPr>
      <w:r>
        <w:rPr>
          <w:rFonts w:ascii="方正黑体_GBK" w:hAnsi="方正黑体_GBK" w:eastAsia="方正黑体_GBK" w:cs="宋体"/>
          <w:sz w:val="15"/>
          <w:szCs w:val="20"/>
        </w:rPr>
        <w:t>（一）估值日</w:t>
      </w:r>
    </w:p>
    <w:p w14:paraId="3521CBF0">
      <w:pPr>
        <w:spacing w:line="200" w:lineRule="exact"/>
        <w:ind w:firstLine="300"/>
        <w:jc w:val="both"/>
      </w:pPr>
      <w:r>
        <w:rPr>
          <w:rFonts w:ascii="方正黑体_GBK" w:hAnsi="方正黑体_GBK" w:eastAsia="方正黑体_GBK" w:cs="宋体"/>
          <w:sz w:val="15"/>
          <w:szCs w:val="20"/>
        </w:rPr>
        <w:t>本理财产品每个工作日进行估值。</w:t>
      </w:r>
    </w:p>
    <w:p w14:paraId="3FBB2FD5">
      <w:pPr>
        <w:spacing w:line="200" w:lineRule="exact"/>
        <w:ind w:firstLine="300"/>
        <w:jc w:val="both"/>
      </w:pPr>
      <w:r>
        <w:rPr>
          <w:rFonts w:ascii="方正黑体_GBK" w:hAnsi="方正黑体_GBK" w:eastAsia="方正黑体_GBK" w:cs="宋体"/>
          <w:sz w:val="15"/>
          <w:szCs w:val="20"/>
        </w:rPr>
        <w:t>（二）估值对象</w:t>
      </w:r>
    </w:p>
    <w:p w14:paraId="458930F3">
      <w:pPr>
        <w:spacing w:line="200" w:lineRule="exact"/>
        <w:ind w:firstLine="300"/>
        <w:jc w:val="both"/>
      </w:pPr>
      <w:r>
        <w:rPr>
          <w:rFonts w:ascii="方正黑体_GBK" w:hAnsi="方正黑体_GBK" w:eastAsia="方正黑体_GBK" w:cs="宋体"/>
          <w:sz w:val="15"/>
          <w:szCs w:val="20"/>
        </w:rPr>
        <w:t>本理财产品所拥有的所有资产及负债。</w:t>
      </w:r>
    </w:p>
    <w:p w14:paraId="71674B11">
      <w:pPr>
        <w:spacing w:line="200" w:lineRule="exact"/>
        <w:ind w:firstLine="300"/>
        <w:jc w:val="both"/>
      </w:pPr>
      <w:r>
        <w:rPr>
          <w:rFonts w:ascii="方正黑体_GBK" w:hAnsi="方正黑体_GBK" w:eastAsia="方正黑体_GBK" w:cs="宋体"/>
          <w:sz w:val="15"/>
          <w:szCs w:val="20"/>
        </w:rPr>
        <w:t>（三）估值目的</w:t>
      </w:r>
    </w:p>
    <w:p w14:paraId="607F9CA2">
      <w:pPr>
        <w:spacing w:line="200" w:lineRule="exact"/>
        <w:ind w:firstLine="300"/>
        <w:jc w:val="both"/>
      </w:pPr>
      <w:r>
        <w:rPr>
          <w:rFonts w:ascii="方正黑体_GBK" w:hAnsi="方正黑体_GBK" w:eastAsia="方正黑体_GBK" w:cs="宋体"/>
          <w:sz w:val="15"/>
          <w:szCs w:val="20"/>
        </w:rPr>
        <w:t>客观、准确反映理财产品的价值。</w:t>
      </w:r>
    </w:p>
    <w:p w14:paraId="503DBA47">
      <w:pPr>
        <w:spacing w:line="200" w:lineRule="exact"/>
        <w:ind w:firstLine="300"/>
        <w:jc w:val="both"/>
      </w:pPr>
      <w:r>
        <w:rPr>
          <w:rFonts w:ascii="方正黑体_GBK" w:hAnsi="方正黑体_GBK" w:eastAsia="方正黑体_GBK" w:cs="宋体"/>
          <w:sz w:val="15"/>
          <w:szCs w:val="20"/>
        </w:rPr>
        <w:t>（四）估值原则</w:t>
      </w:r>
    </w:p>
    <w:p w14:paraId="692FD645">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14:paraId="1F075F4B">
      <w:pPr>
        <w:spacing w:line="200" w:lineRule="exact"/>
        <w:ind w:firstLine="300"/>
        <w:jc w:val="both"/>
      </w:pPr>
      <w:r>
        <w:rPr>
          <w:rFonts w:ascii="方正黑体_GBK" w:hAnsi="方正黑体_GBK" w:eastAsia="方正黑体_GBK" w:cs="宋体"/>
          <w:sz w:val="15"/>
          <w:szCs w:val="20"/>
        </w:rPr>
        <w:t>（五）估值方法</w:t>
      </w:r>
    </w:p>
    <w:p w14:paraId="602F8F73">
      <w:pPr>
        <w:spacing w:line="200" w:lineRule="exact"/>
        <w:ind w:firstLine="300"/>
      </w:pPr>
      <w:r>
        <w:rPr>
          <w:rFonts w:ascii="方正黑体_GBK" w:hAnsi="方正黑体_GBK" w:eastAsia="方正黑体_GBK" w:cs="宋体"/>
          <w:color w:val="000000"/>
          <w:sz w:val="15"/>
          <w:szCs w:val="20"/>
        </w:rPr>
        <w:t>估值方法中列示的资产品种不代表管理人的实际投向，本理财产品拟投资范围以“投资范围”章节描述为准。</w:t>
      </w:r>
    </w:p>
    <w:p w14:paraId="15DE01D9">
      <w:pPr>
        <w:spacing w:line="200" w:lineRule="exact"/>
        <w:ind w:firstLine="300"/>
      </w:pPr>
      <w:r>
        <w:rPr>
          <w:rFonts w:ascii="方正黑体_GBK" w:hAnsi="方正黑体_GBK" w:eastAsia="方正黑体_GBK" w:cs="宋体"/>
          <w:color w:val="000000"/>
          <w:sz w:val="15"/>
          <w:szCs w:val="20"/>
        </w:rPr>
        <w:t>1.银行存款、回购等货币市场工具</w:t>
      </w:r>
    </w:p>
    <w:p w14:paraId="0D33164A">
      <w:pPr>
        <w:spacing w:line="200" w:lineRule="exact"/>
        <w:ind w:firstLine="300"/>
      </w:pPr>
      <w:r>
        <w:rPr>
          <w:rFonts w:ascii="方正黑体_GBK" w:hAnsi="方正黑体_GBK" w:eastAsia="方正黑体_GBK" w:cs="宋体"/>
          <w:color w:val="000000"/>
          <w:sz w:val="15"/>
          <w:szCs w:val="20"/>
        </w:rPr>
        <w:t>以本金列示，按商定的利率在实际持有期间内逐日计提。</w:t>
      </w:r>
    </w:p>
    <w:p w14:paraId="3DA1170E">
      <w:pPr>
        <w:spacing w:line="200" w:lineRule="exact"/>
        <w:ind w:firstLine="300"/>
      </w:pPr>
      <w:r>
        <w:rPr>
          <w:rFonts w:ascii="方正黑体_GBK" w:hAnsi="方正黑体_GBK" w:eastAsia="方正黑体_GBK" w:cs="宋体"/>
          <w:color w:val="000000"/>
          <w:sz w:val="15"/>
          <w:szCs w:val="20"/>
        </w:rPr>
        <w:t>2.债券类资产</w:t>
      </w:r>
    </w:p>
    <w:p w14:paraId="6829CA65">
      <w:pPr>
        <w:spacing w:line="200" w:lineRule="exact"/>
        <w:ind w:firstLine="300"/>
      </w:pPr>
      <w:r>
        <w:rPr>
          <w:rFonts w:ascii="方正黑体_GBK" w:hAnsi="方正黑体_GBK" w:eastAsia="方正黑体_GBK"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14:paraId="20EE2A8B">
      <w:pPr>
        <w:spacing w:line="200" w:lineRule="exact"/>
        <w:ind w:firstLine="300"/>
      </w:pPr>
      <w:r>
        <w:rPr>
          <w:rFonts w:ascii="方正黑体_GBK" w:hAnsi="方正黑体_GBK" w:eastAsia="方正黑体_GBK" w:cs="宋体"/>
          <w:color w:val="000000"/>
          <w:sz w:val="15"/>
          <w:szCs w:val="20"/>
        </w:rPr>
        <w:t>3.非标准化债权类资产</w:t>
      </w:r>
    </w:p>
    <w:p w14:paraId="63EB6300">
      <w:pPr>
        <w:spacing w:line="200" w:lineRule="exact"/>
        <w:ind w:firstLine="300"/>
      </w:pPr>
      <w:r>
        <w:rPr>
          <w:rFonts w:ascii="方正黑体_GBK" w:hAnsi="方正黑体_GBK" w:eastAsia="方正黑体_GBK"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14:paraId="31FCFF8F">
      <w:pPr>
        <w:spacing w:line="200" w:lineRule="exact"/>
        <w:ind w:firstLine="300"/>
      </w:pPr>
      <w:r>
        <w:rPr>
          <w:rFonts w:ascii="方正黑体_GBK" w:hAnsi="方正黑体_GBK" w:eastAsia="方正黑体_GBK" w:cs="宋体"/>
          <w:color w:val="000000"/>
          <w:sz w:val="15"/>
          <w:szCs w:val="20"/>
        </w:rPr>
        <w:t>4.证券投资基金</w:t>
      </w:r>
    </w:p>
    <w:p w14:paraId="60A28922">
      <w:pPr>
        <w:spacing w:line="200" w:lineRule="exact"/>
        <w:ind w:firstLine="300"/>
      </w:pPr>
      <w:r>
        <w:rPr>
          <w:rFonts w:ascii="方正黑体_GBK" w:hAnsi="方正黑体_GBK" w:eastAsia="方正黑体_GBK"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14:paraId="4310B9B1">
      <w:pPr>
        <w:spacing w:line="200" w:lineRule="exact"/>
        <w:ind w:firstLine="300"/>
      </w:pPr>
      <w:r>
        <w:rPr>
          <w:rFonts w:ascii="方正黑体_GBK" w:hAnsi="方正黑体_GBK" w:eastAsia="方正黑体_GBK" w:cs="宋体"/>
          <w:color w:val="000000"/>
          <w:sz w:val="15"/>
          <w:szCs w:val="20"/>
        </w:rPr>
        <w:t>5.股权类资产</w:t>
      </w:r>
    </w:p>
    <w:p w14:paraId="1FF3AEEC">
      <w:pPr>
        <w:spacing w:line="200" w:lineRule="exact"/>
        <w:ind w:firstLine="300"/>
      </w:pPr>
      <w:r>
        <w:rPr>
          <w:rFonts w:ascii="方正黑体_GBK" w:hAnsi="方正黑体_GBK" w:eastAsia="方正黑体_GBK"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14:paraId="666CAF4F">
      <w:pPr>
        <w:spacing w:line="200" w:lineRule="exact"/>
        <w:ind w:firstLine="300"/>
      </w:pPr>
      <w:r>
        <w:rPr>
          <w:rFonts w:ascii="方正黑体_GBK" w:hAnsi="方正黑体_GBK" w:eastAsia="方正黑体_GBK" w:cs="宋体"/>
          <w:color w:val="000000"/>
          <w:sz w:val="15"/>
          <w:szCs w:val="20"/>
        </w:rPr>
        <w:t>6.资管计划、信托计划等资产</w:t>
      </w:r>
    </w:p>
    <w:p w14:paraId="53DB2761">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w:t>
      </w:r>
    </w:p>
    <w:p w14:paraId="794C1DDE">
      <w:pPr>
        <w:spacing w:line="200" w:lineRule="exact"/>
        <w:ind w:firstLine="300"/>
      </w:pPr>
      <w:r>
        <w:rPr>
          <w:rFonts w:ascii="方正黑体_GBK" w:hAnsi="方正黑体_GBK" w:eastAsia="方正黑体_GBK" w:cs="宋体"/>
          <w:color w:val="000000"/>
          <w:sz w:val="15"/>
          <w:szCs w:val="20"/>
        </w:rPr>
        <w:t>7.其他资产</w:t>
      </w:r>
    </w:p>
    <w:p w14:paraId="62D9400B">
      <w:pPr>
        <w:spacing w:line="200" w:lineRule="exact"/>
        <w:ind w:firstLine="300"/>
      </w:pPr>
      <w:r>
        <w:rPr>
          <w:rFonts w:ascii="方正黑体_GBK" w:hAnsi="方正黑体_GBK" w:eastAsia="方正黑体_GBK" w:cs="宋体"/>
          <w:color w:val="000000"/>
          <w:sz w:val="15"/>
          <w:szCs w:val="20"/>
        </w:rPr>
        <w:t>存在公允价值的，按照公允价值估值，或采用估值技术确定估值，也可采用被委托机构提供的估值或计量报告。具体可参考《企业会计准则》以及相关监管政策的规定。</w:t>
      </w:r>
    </w:p>
    <w:p w14:paraId="1D27F14A">
      <w:pPr>
        <w:spacing w:line="200" w:lineRule="exact"/>
        <w:ind w:firstLine="300"/>
      </w:pPr>
      <w:r>
        <w:rPr>
          <w:rFonts w:ascii="方正黑体_GBK" w:hAnsi="方正黑体_GBK" w:eastAsia="方正黑体_GBK" w:cs="宋体"/>
          <w:color w:val="000000"/>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14:paraId="64F7D917">
      <w:pPr>
        <w:spacing w:line="200" w:lineRule="exact"/>
        <w:ind w:firstLine="300"/>
      </w:pPr>
      <w:r>
        <w:rPr>
          <w:rFonts w:ascii="方正黑体_GBK" w:hAnsi="方正黑体_GBK" w:eastAsia="方正黑体_GBK" w:cs="宋体"/>
          <w:color w:val="000000"/>
          <w:sz w:val="15"/>
          <w:szCs w:val="20"/>
        </w:rPr>
        <w:t>9.如有新增事项或变更事项，按国家最新规定或管理人最新的约定估值。</w:t>
      </w:r>
    </w:p>
    <w:p w14:paraId="73064B0E">
      <w:pPr>
        <w:spacing w:line="200" w:lineRule="exact"/>
        <w:ind w:firstLine="300"/>
        <w:jc w:val="both"/>
      </w:pPr>
      <w:r>
        <w:rPr>
          <w:rFonts w:ascii="方正黑体_GBK" w:hAnsi="方正黑体_GBK" w:eastAsia="方正黑体_GBK" w:cs="宋体"/>
          <w:sz w:val="15"/>
          <w:szCs w:val="20"/>
        </w:rPr>
        <w:t>（六）估值错误及暂停估值</w:t>
      </w:r>
    </w:p>
    <w:p w14:paraId="78ADF500">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14:paraId="058CD49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14:paraId="300F3EC5">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14:paraId="0300F594">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14:paraId="32156D02">
      <w:pPr>
        <w:pStyle w:val="3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14:paraId="2999AB10">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14:paraId="100A581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按周</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14:paraId="173F509A">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14:paraId="788B065E">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14:paraId="1152BF57">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14:paraId="7EF2265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14:paraId="0F244965">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14:paraId="6087FF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14:paraId="47AC1C16">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14:paraId="2942FF51">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14:paraId="6FC8F671">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14:paraId="2E89C1D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14:paraId="2DE9D70B">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14:paraId="6E9285A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14:paraId="10DCF252">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14:paraId="4FB6FC57">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14:paraId="69167449">
      <w:pPr>
        <w:pStyle w:val="3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14:paraId="0CEE19C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5699DC3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2BA2CF4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14:paraId="79163874">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14:paraId="5192F56A">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14:paraId="13335FC4">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14:paraId="2C564E8C">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14:paraId="7676F109">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14:paraId="643EC7D0">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14:paraId="3E637FA1">
      <w:pPr>
        <w:pStyle w:val="32"/>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14:paraId="5E595489">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14:paraId="6AEAAB0D">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14:paraId="6BE541F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14:paraId="522C0A08">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14:paraId="3B3FD8D2">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14:paraId="6DBE2F2B">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14:paraId="101B00D3">
      <w:pPr>
        <w:pStyle w:val="32"/>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封闭式、固定收益类、公募、净值型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14:paraId="7CBE59CB">
      <w:pPr>
        <w:pStyle w:val="6"/>
        <w:rPr>
          <w:rFonts w:hint="eastAsia" w:ascii="方正黑体_GBK" w:hAnsi="方正黑体_GBK" w:eastAsia="方正黑体_GBK"/>
          <w:b/>
          <w:bCs/>
          <w:color w:val="3D3D3D"/>
          <w:kern w:val="0"/>
          <w:sz w:val="15"/>
          <w:szCs w:val="15"/>
        </w:rPr>
      </w:pPr>
    </w:p>
    <w:p w14:paraId="48EF8B06">
      <w:pPr>
        <w:rPr>
          <w:rFonts w:hint="eastAsia" w:ascii="方正黑体_GBK" w:hAnsi="方正黑体_GBK" w:eastAsia="方正黑体_GBK"/>
          <w:b/>
          <w:bCs/>
          <w:color w:val="3D3D3D"/>
          <w:kern w:val="0"/>
          <w:sz w:val="15"/>
          <w:szCs w:val="15"/>
        </w:rPr>
      </w:pPr>
    </w:p>
    <w:p w14:paraId="6C923D14">
      <w:pPr>
        <w:rPr>
          <w:rFonts w:hint="eastAsia" w:ascii="方正黑体_GBK" w:hAnsi="方正黑体_GBK" w:eastAsia="方正黑体_GBK"/>
          <w:b/>
          <w:bCs/>
          <w:color w:val="3D3D3D"/>
          <w:kern w:val="0"/>
          <w:sz w:val="15"/>
          <w:szCs w:val="15"/>
        </w:rPr>
      </w:pPr>
    </w:p>
    <w:p w14:paraId="33F0588E">
      <w:pPr>
        <w:jc w:val="center"/>
        <w:rPr>
          <w:rFonts w:ascii="黑体" w:hAnsi="宋体" w:eastAsia="黑体"/>
          <w:b/>
          <w:bCs/>
          <w:sz w:val="24"/>
          <w:szCs w:val="15"/>
        </w:rPr>
      </w:pPr>
      <w:r>
        <w:rPr>
          <w:rFonts w:hint="eastAsia" w:ascii="黑体" w:hAnsi="宋体" w:eastAsia="黑体"/>
          <w:b/>
          <w:bCs/>
          <w:sz w:val="24"/>
          <w:szCs w:val="15"/>
        </w:rPr>
        <w:t>投资者权益须知</w:t>
      </w:r>
    </w:p>
    <w:p w14:paraId="69EE7CE3">
      <w:pPr>
        <w:ind w:firstLine="321" w:firstLineChars="200"/>
        <w:jc w:val="center"/>
        <w:rPr>
          <w:rFonts w:hint="eastAsia" w:ascii="宋体" w:hAnsi="宋体" w:eastAsia="宋体"/>
          <w:b/>
          <w:i/>
          <w:sz w:val="16"/>
          <w:szCs w:val="15"/>
          <w:u w:val="single"/>
        </w:rPr>
      </w:pPr>
    </w:p>
    <w:p w14:paraId="695DB7F3">
      <w:pPr>
        <w:ind w:firstLine="320" w:firstLineChars="200"/>
        <w:jc w:val="center"/>
        <w:rPr>
          <w:rFonts w:hint="eastAsia"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14:paraId="0B745AFB">
      <w:pPr>
        <w:pStyle w:val="14"/>
        <w:spacing w:before="0" w:after="0" w:line="240" w:lineRule="auto"/>
        <w:ind w:firstLine="0"/>
        <w:rPr>
          <w:rFonts w:hint="eastAsia"/>
          <w:spacing w:val="10"/>
          <w:sz w:val="15"/>
          <w:szCs w:val="15"/>
        </w:rPr>
      </w:pPr>
      <w:r>
        <w:rPr>
          <w:rFonts w:hint="eastAsia"/>
          <w:spacing w:val="10"/>
          <w:sz w:val="15"/>
          <w:szCs w:val="15"/>
        </w:rPr>
        <w:t>尊敬的投资者：</w:t>
      </w:r>
    </w:p>
    <w:p w14:paraId="4EA71B0A">
      <w:pPr>
        <w:pStyle w:val="14"/>
        <w:spacing w:before="0" w:after="0" w:line="240" w:lineRule="auto"/>
        <w:ind w:firstLine="340" w:firstLineChars="20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14:paraId="1E704E6F">
      <w:pPr>
        <w:pStyle w:val="14"/>
        <w:spacing w:before="0" w:after="0" w:line="240" w:lineRule="auto"/>
        <w:ind w:firstLine="340" w:firstLineChars="20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14:paraId="4F76F9FD">
      <w:pPr>
        <w:pStyle w:val="14"/>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14:paraId="0E778C55">
      <w:pPr>
        <w:pStyle w:val="14"/>
        <w:spacing w:before="0" w:after="0" w:line="240" w:lineRule="auto"/>
        <w:ind w:firstLine="340" w:firstLineChars="20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14:paraId="1BBFFE38">
      <w:pPr>
        <w:pStyle w:val="14"/>
        <w:spacing w:before="0" w:after="0" w:line="240" w:lineRule="auto"/>
        <w:ind w:firstLine="338" w:firstLineChars="199"/>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14:paraId="2A03C7E0">
      <w:pPr>
        <w:pStyle w:val="14"/>
        <w:spacing w:before="0" w:after="0" w:line="240" w:lineRule="auto"/>
        <w:ind w:firstLine="338" w:firstLineChars="199"/>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14:paraId="0F4C7698">
      <w:pPr>
        <w:pStyle w:val="14"/>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14:paraId="66A5DB9B">
      <w:pPr>
        <w:pStyle w:val="14"/>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14:paraId="1639AFFA">
      <w:pPr>
        <w:pStyle w:val="14"/>
        <w:spacing w:before="0" w:after="0" w:line="240" w:lineRule="auto"/>
        <w:ind w:firstLine="340" w:firstLineChars="200"/>
        <w:jc w:val="both"/>
        <w:rPr>
          <w:bCs/>
          <w:spacing w:val="10"/>
          <w:sz w:val="15"/>
          <w:szCs w:val="15"/>
        </w:rPr>
      </w:pPr>
      <w:r>
        <w:rPr>
          <w:bCs/>
          <w:spacing w:val="10"/>
          <w:sz w:val="15"/>
          <w:szCs w:val="15"/>
        </w:rPr>
        <w:t>1</w:t>
      </w:r>
      <w:r>
        <w:rPr>
          <w:rFonts w:hint="eastAsia"/>
          <w:bCs/>
          <w:spacing w:val="10"/>
          <w:sz w:val="15"/>
          <w:szCs w:val="15"/>
        </w:rPr>
        <w:t>、理财签约</w:t>
      </w:r>
    </w:p>
    <w:p w14:paraId="5E524077">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32C88327">
      <w:pPr>
        <w:pStyle w:val="14"/>
        <w:spacing w:before="0" w:after="0" w:line="240" w:lineRule="auto"/>
        <w:ind w:firstLine="340" w:firstLineChars="200"/>
        <w:jc w:val="both"/>
        <w:rPr>
          <w:bCs/>
          <w:spacing w:val="10"/>
          <w:sz w:val="15"/>
          <w:szCs w:val="15"/>
        </w:rPr>
      </w:pPr>
      <w:r>
        <w:rPr>
          <w:rFonts w:hint="eastAsia"/>
          <w:bCs/>
          <w:spacing w:val="10"/>
          <w:sz w:val="15"/>
          <w:szCs w:val="15"/>
        </w:rPr>
        <w:t>投资者按照代销机构的要求进行理财签约。</w:t>
      </w:r>
    </w:p>
    <w:p w14:paraId="2388C86C">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48F27B81">
      <w:pPr>
        <w:pStyle w:val="14"/>
        <w:spacing w:before="0" w:after="0" w:line="240" w:lineRule="auto"/>
        <w:ind w:firstLine="340" w:firstLineChars="200"/>
        <w:jc w:val="both"/>
        <w:rPr>
          <w:bCs/>
          <w:spacing w:val="10"/>
          <w:sz w:val="15"/>
          <w:szCs w:val="15"/>
        </w:rPr>
      </w:pPr>
      <w:r>
        <w:rPr>
          <w:rFonts w:hint="eastAsia"/>
          <w:bCs/>
          <w:spacing w:val="10"/>
          <w:sz w:val="15"/>
          <w:szCs w:val="15"/>
        </w:rPr>
        <w:t>首次购买理财的个人投资者须进行风险承受能力评估（详见第二条）和理财签约。</w:t>
      </w:r>
    </w:p>
    <w:p w14:paraId="27FA4115">
      <w:pPr>
        <w:pStyle w:val="14"/>
        <w:spacing w:before="0" w:after="0" w:line="240" w:lineRule="auto"/>
        <w:ind w:firstLine="340" w:firstLineChars="20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14:paraId="0B38F1D7">
      <w:pPr>
        <w:pStyle w:val="14"/>
        <w:spacing w:before="0" w:after="0" w:line="240" w:lineRule="auto"/>
        <w:ind w:firstLine="340" w:firstLineChars="20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开放期销售时段内，投资者可选择在代销机构营业网点或电子渠道购买。</w:t>
      </w:r>
    </w:p>
    <w:p w14:paraId="10145843">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14:paraId="6A58E5EB">
      <w:pPr>
        <w:pStyle w:val="14"/>
        <w:spacing w:before="0" w:after="0" w:line="240" w:lineRule="auto"/>
        <w:ind w:firstLine="340" w:firstLineChars="200"/>
        <w:jc w:val="both"/>
        <w:rPr>
          <w:bCs/>
          <w:spacing w:val="10"/>
          <w:sz w:val="15"/>
          <w:szCs w:val="15"/>
        </w:rPr>
      </w:pPr>
      <w:r>
        <w:rPr>
          <w:rFonts w:hint="eastAsia"/>
          <w:bCs/>
          <w:spacing w:val="10"/>
          <w:sz w:val="15"/>
          <w:szCs w:val="15"/>
        </w:rPr>
        <w:t>●机构投资者适用</w:t>
      </w:r>
    </w:p>
    <w:p w14:paraId="1E6BE55D">
      <w:pPr>
        <w:pStyle w:val="14"/>
        <w:spacing w:before="0" w:after="0" w:line="240" w:lineRule="auto"/>
        <w:ind w:firstLine="340" w:firstLineChars="20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申购交易不等同于认</w:t>
      </w:r>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14:paraId="26826235">
      <w:pPr>
        <w:pStyle w:val="14"/>
        <w:spacing w:before="0" w:after="0" w:line="240" w:lineRule="auto"/>
        <w:ind w:firstLine="340" w:firstLineChars="200"/>
        <w:jc w:val="both"/>
        <w:rPr>
          <w:bCs/>
          <w:spacing w:val="10"/>
          <w:sz w:val="15"/>
          <w:szCs w:val="15"/>
        </w:rPr>
      </w:pPr>
      <w:r>
        <w:rPr>
          <w:rFonts w:hint="eastAsia"/>
          <w:bCs/>
          <w:spacing w:val="10"/>
          <w:sz w:val="15"/>
          <w:szCs w:val="15"/>
        </w:rPr>
        <w:t>●个人投资者适用</w:t>
      </w:r>
    </w:p>
    <w:p w14:paraId="0591466D">
      <w:pPr>
        <w:pStyle w:val="14"/>
        <w:spacing w:before="0" w:after="0" w:line="240" w:lineRule="auto"/>
        <w:ind w:firstLine="340" w:firstLineChars="200"/>
        <w:jc w:val="both"/>
        <w:rPr>
          <w:bCs/>
          <w:spacing w:val="10"/>
          <w:sz w:val="15"/>
          <w:szCs w:val="15"/>
        </w:rPr>
      </w:pPr>
      <w:r>
        <w:rPr>
          <w:rFonts w:hint="eastAsia"/>
          <w:bCs/>
          <w:spacing w:val="10"/>
          <w:sz w:val="15"/>
          <w:szCs w:val="15"/>
        </w:rPr>
        <w:t>如个人投资者选择在代销机构营业网点购买理财产品，流程如下：</w:t>
      </w:r>
    </w:p>
    <w:p w14:paraId="3A5BF163">
      <w:pPr>
        <w:pStyle w:val="14"/>
        <w:spacing w:before="0" w:after="0" w:line="240" w:lineRule="auto"/>
        <w:ind w:firstLine="340" w:firstLineChars="20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14:paraId="5A8D7DFA">
      <w:pPr>
        <w:pStyle w:val="14"/>
        <w:spacing w:before="0" w:after="0" w:line="240" w:lineRule="auto"/>
        <w:ind w:firstLine="340" w:firstLineChars="20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开放期销售时段内，按照对应期次的《理财产品说明书》约定的币种和金额存入授权指定账户。</w:t>
      </w:r>
    </w:p>
    <w:p w14:paraId="6544B109">
      <w:pPr>
        <w:pStyle w:val="14"/>
        <w:spacing w:before="0" w:after="0" w:line="240" w:lineRule="auto"/>
        <w:ind w:firstLine="340" w:firstLineChars="20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14:paraId="20A7F7CF">
      <w:pPr>
        <w:pStyle w:val="14"/>
        <w:spacing w:before="0" w:after="0" w:line="240" w:lineRule="auto"/>
        <w:ind w:firstLine="340" w:firstLineChars="20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14:paraId="57958D57">
      <w:pPr>
        <w:pStyle w:val="14"/>
        <w:spacing w:before="0" w:after="0" w:line="240" w:lineRule="auto"/>
        <w:ind w:firstLine="340" w:firstLineChars="20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14:paraId="4EB5D6FC">
      <w:pPr>
        <w:pStyle w:val="14"/>
        <w:spacing w:before="0" w:after="0" w:line="240" w:lineRule="auto"/>
        <w:ind w:firstLine="340" w:firstLineChars="20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14:paraId="676D2FC5">
      <w:pPr>
        <w:pStyle w:val="14"/>
        <w:spacing w:before="0" w:after="0" w:line="240" w:lineRule="auto"/>
        <w:ind w:firstLine="340" w:firstLineChars="20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14:paraId="642E432C">
      <w:pPr>
        <w:pStyle w:val="14"/>
        <w:spacing w:before="0" w:after="0" w:line="240" w:lineRule="auto"/>
        <w:ind w:firstLine="340" w:firstLineChars="200"/>
        <w:jc w:val="both"/>
        <w:rPr>
          <w:bCs/>
          <w:spacing w:val="10"/>
          <w:sz w:val="15"/>
          <w:szCs w:val="15"/>
        </w:rPr>
      </w:pPr>
      <w:r>
        <w:rPr>
          <w:rFonts w:hint="eastAsia"/>
          <w:bCs/>
          <w:spacing w:val="10"/>
          <w:sz w:val="15"/>
          <w:szCs w:val="15"/>
        </w:rPr>
        <w:t>提前终止—当理财产品发生全部提前终止时，南银理财和代销机构应当按照对应期次理财产品销售文件约定的方式向投资者告知相应理财产品的提前终止事宜。</w:t>
      </w:r>
    </w:p>
    <w:p w14:paraId="02C08EBA">
      <w:pPr>
        <w:pStyle w:val="14"/>
        <w:spacing w:before="0" w:after="0" w:line="240" w:lineRule="auto"/>
        <w:ind w:firstLine="340" w:firstLineChars="20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14:paraId="52096327">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14:paraId="533C8CDE">
      <w:pPr>
        <w:pStyle w:val="14"/>
        <w:spacing w:before="0" w:after="0" w:line="240" w:lineRule="auto"/>
        <w:ind w:firstLine="341" w:firstLineChars="200"/>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14:paraId="1609CF3E">
      <w:pPr>
        <w:pStyle w:val="14"/>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14:paraId="41CB2EEE">
      <w:pPr>
        <w:pStyle w:val="14"/>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14:paraId="693A319D">
      <w:pPr>
        <w:pStyle w:val="14"/>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14:paraId="7979CF16">
      <w:pPr>
        <w:pStyle w:val="14"/>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14:paraId="628033F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14:paraId="58378D6E">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14:paraId="7F5241E9">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14:paraId="1E1F234C">
      <w:pPr>
        <w:pStyle w:val="14"/>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14:paraId="0E394E6D">
      <w:pPr>
        <w:pStyle w:val="14"/>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14:paraId="404C1338">
      <w:pPr>
        <w:pStyle w:val="14"/>
        <w:spacing w:before="0" w:after="0" w:line="240" w:lineRule="auto"/>
        <w:ind w:firstLine="340" w:firstLineChars="20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14:paraId="139DFADF">
      <w:pPr>
        <w:pStyle w:val="14"/>
        <w:spacing w:before="0" w:after="0" w:line="240" w:lineRule="auto"/>
        <w:ind w:firstLine="340" w:firstLineChars="20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14:paraId="7447DEFF">
      <w:pPr>
        <w:pStyle w:val="14"/>
        <w:spacing w:before="0" w:after="0" w:line="240" w:lineRule="auto"/>
        <w:ind w:firstLine="340" w:firstLineChars="200"/>
        <w:rPr>
          <w:bCs/>
          <w:spacing w:val="10"/>
          <w:sz w:val="15"/>
          <w:szCs w:val="15"/>
        </w:rPr>
      </w:pPr>
      <w:r>
        <w:rPr>
          <w:rFonts w:hint="eastAsia"/>
          <w:bCs/>
          <w:spacing w:val="10"/>
          <w:sz w:val="15"/>
          <w:szCs w:val="15"/>
        </w:rPr>
        <w:t>（二）中低（二级）：风险承受能力较弱，以获取相对稳定的收益为主要目标，愿意承受较低的本金损失；</w:t>
      </w:r>
    </w:p>
    <w:p w14:paraId="071EAECA">
      <w:pPr>
        <w:pStyle w:val="14"/>
        <w:spacing w:before="0" w:after="0" w:line="240" w:lineRule="auto"/>
        <w:ind w:firstLine="340" w:firstLineChars="200"/>
        <w:rPr>
          <w:bCs/>
          <w:spacing w:val="10"/>
          <w:sz w:val="15"/>
          <w:szCs w:val="15"/>
        </w:rPr>
      </w:pPr>
      <w:r>
        <w:rPr>
          <w:rFonts w:hint="eastAsia"/>
          <w:bCs/>
          <w:spacing w:val="10"/>
          <w:sz w:val="15"/>
          <w:szCs w:val="15"/>
        </w:rPr>
        <w:t>（三）中（三级）：风险承受能力中等，以获取稳定收益为主要目标，愿意承受相应的本金损失；</w:t>
      </w:r>
    </w:p>
    <w:p w14:paraId="4657EE27">
      <w:pPr>
        <w:pStyle w:val="14"/>
        <w:spacing w:before="0" w:after="0" w:line="240" w:lineRule="auto"/>
        <w:ind w:firstLine="340" w:firstLineChars="200"/>
        <w:rPr>
          <w:bCs/>
          <w:spacing w:val="10"/>
          <w:sz w:val="15"/>
          <w:szCs w:val="15"/>
        </w:rPr>
      </w:pPr>
      <w:r>
        <w:rPr>
          <w:rFonts w:hint="eastAsia"/>
          <w:bCs/>
          <w:spacing w:val="10"/>
          <w:sz w:val="15"/>
          <w:szCs w:val="15"/>
        </w:rPr>
        <w:t>（四）中高（四级）：风险承受能力较强，以获取较高投资回报为主要目标，愿意承担一定的本金损失；</w:t>
      </w:r>
    </w:p>
    <w:p w14:paraId="0C7FB4EC">
      <w:pPr>
        <w:pStyle w:val="14"/>
        <w:spacing w:before="0" w:after="0" w:line="240" w:lineRule="auto"/>
        <w:ind w:firstLine="340" w:firstLineChars="200"/>
        <w:jc w:val="both"/>
        <w:rPr>
          <w:bCs/>
          <w:spacing w:val="10"/>
          <w:sz w:val="15"/>
          <w:szCs w:val="15"/>
        </w:rPr>
      </w:pPr>
      <w:r>
        <w:rPr>
          <w:rFonts w:hint="eastAsia"/>
          <w:bCs/>
          <w:spacing w:val="10"/>
          <w:sz w:val="15"/>
          <w:szCs w:val="15"/>
        </w:rPr>
        <w:t>（五）高（五级）：风险承受能力强，以获取高投资回报为主要目标，愿意承担较大的本金损失。</w:t>
      </w:r>
    </w:p>
    <w:p w14:paraId="5D50F1F1">
      <w:pPr>
        <w:pStyle w:val="14"/>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14:paraId="493EE279">
      <w:pPr>
        <w:pStyle w:val="14"/>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机构投资者请根据自身的财务状况、投资经验、投资目标、风险认知、风险判断及其他因素综合考量理财产品的投资风险及自身的风险承受能力。</w:t>
      </w:r>
    </w:p>
    <w:p w14:paraId="182B42EF">
      <w:pPr>
        <w:pStyle w:val="14"/>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14:paraId="091F0E63">
      <w:pPr>
        <w:pStyle w:val="14"/>
        <w:spacing w:before="0" w:after="0" w:line="240" w:lineRule="auto"/>
        <w:ind w:firstLine="338" w:firstLineChars="199"/>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14:paraId="248FAE53">
      <w:pPr>
        <w:pStyle w:val="14"/>
        <w:spacing w:before="0" w:after="0" w:line="240" w:lineRule="auto"/>
        <w:ind w:firstLine="338" w:firstLineChars="199"/>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14:paraId="659BEFD2">
      <w:pPr>
        <w:pStyle w:val="14"/>
        <w:spacing w:before="0" w:after="0" w:line="240" w:lineRule="auto"/>
        <w:ind w:firstLine="338" w:firstLineChars="199"/>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14:paraId="0D7BA655">
      <w:pPr>
        <w:pStyle w:val="14"/>
        <w:spacing w:before="0" w:after="0" w:line="240" w:lineRule="auto"/>
        <w:ind w:firstLine="338" w:firstLineChars="199"/>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14:paraId="5E5D5C4D">
      <w:pPr>
        <w:pStyle w:val="14"/>
        <w:spacing w:before="0" w:after="0" w:line="240" w:lineRule="auto"/>
        <w:ind w:firstLine="338" w:firstLineChars="199"/>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14:paraId="4F9023A0">
      <w:pPr>
        <w:pStyle w:val="14"/>
        <w:spacing w:before="0" w:after="0" w:line="240" w:lineRule="auto"/>
        <w:ind w:firstLine="336" w:firstLineChars="198"/>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14:paraId="5A7F090E">
      <w:pPr>
        <w:pStyle w:val="14"/>
        <w:spacing w:before="0" w:after="0" w:line="240" w:lineRule="auto"/>
        <w:ind w:firstLine="338" w:firstLineChars="199"/>
        <w:jc w:val="both"/>
        <w:rPr>
          <w:spacing w:val="10"/>
          <w:sz w:val="15"/>
          <w:szCs w:val="15"/>
        </w:rPr>
      </w:pPr>
      <w:r>
        <w:rPr>
          <w:rFonts w:hint="eastAsia"/>
          <w:spacing w:val="10"/>
          <w:sz w:val="15"/>
          <w:szCs w:val="15"/>
        </w:rPr>
        <w:t>本风险等级为南银理财风险评级结果，该产品通过代理销售机构渠道销售的，理财产品评级应当以代理销售机构最终披露的评级结果为准。您需充分认识投资风险，谨慎投资。</w:t>
      </w:r>
    </w:p>
    <w:p w14:paraId="1744AE87">
      <w:pPr>
        <w:pStyle w:val="14"/>
        <w:spacing w:before="0" w:after="0" w:line="240" w:lineRule="auto"/>
        <w:ind w:firstLine="341" w:firstLineChars="200"/>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14:paraId="0303E2EF">
      <w:pPr>
        <w:pStyle w:val="14"/>
        <w:numPr>
          <w:ilvl w:val="0"/>
          <w:numId w:val="5"/>
        </w:numPr>
        <w:spacing w:before="0" w:after="0" w:line="240" w:lineRule="auto"/>
        <w:ind w:firstLine="338" w:firstLineChars="198"/>
        <w:jc w:val="both"/>
        <w:rPr>
          <w:b/>
          <w:bCs/>
          <w:spacing w:val="10"/>
          <w:sz w:val="15"/>
          <w:szCs w:val="15"/>
        </w:rPr>
      </w:pPr>
      <w:r>
        <w:rPr>
          <w:rFonts w:hint="eastAsia"/>
          <w:b/>
          <w:bCs/>
          <w:spacing w:val="10"/>
          <w:sz w:val="15"/>
          <w:szCs w:val="15"/>
        </w:rPr>
        <w:t>个人投资者风险承受能力等级与适合购买的理财产品说明</w:t>
      </w:r>
    </w:p>
    <w:p w14:paraId="10235536">
      <w:pPr>
        <w:pStyle w:val="14"/>
        <w:spacing w:before="0" w:after="0" w:line="240" w:lineRule="auto"/>
        <w:ind w:firstLine="338" w:firstLineChars="198"/>
        <w:jc w:val="both"/>
        <w:rPr>
          <w:b/>
          <w:bCs/>
          <w:spacing w:val="10"/>
          <w:sz w:val="15"/>
          <w:szCs w:val="15"/>
        </w:rPr>
      </w:pPr>
    </w:p>
    <w:p w14:paraId="0D1C084F">
      <w:pPr>
        <w:pStyle w:val="14"/>
        <w:spacing w:before="0" w:after="0" w:line="240" w:lineRule="auto"/>
        <w:ind w:firstLine="338" w:firstLineChars="198"/>
        <w:jc w:val="both"/>
        <w:rPr>
          <w:b/>
          <w:bCs/>
          <w:spacing w:val="10"/>
          <w:sz w:val="15"/>
          <w:szCs w:val="15"/>
        </w:rPr>
      </w:pPr>
    </w:p>
    <w:p w14:paraId="657E4CB1">
      <w:pPr>
        <w:pStyle w:val="14"/>
        <w:spacing w:before="0" w:after="0" w:line="240" w:lineRule="auto"/>
        <w:ind w:firstLine="338" w:firstLineChars="198"/>
        <w:jc w:val="both"/>
        <w:rPr>
          <w:b/>
          <w:bCs/>
          <w:spacing w:val="10"/>
          <w:sz w:val="15"/>
          <w:szCs w:val="15"/>
        </w:rPr>
      </w:pPr>
    </w:p>
    <w:tbl>
      <w:tblPr>
        <w:tblStyle w:val="15"/>
        <w:tblW w:w="0" w:type="dxa"/>
        <w:jc w:val="center"/>
        <w:tblLayout w:type="fixed"/>
        <w:tblCellMar>
          <w:top w:w="0" w:type="dxa"/>
          <w:left w:w="108" w:type="dxa"/>
          <w:bottom w:w="0" w:type="dxa"/>
          <w:right w:w="108" w:type="dxa"/>
        </w:tblCellMar>
      </w:tblPr>
      <w:tblGrid>
        <w:gridCol w:w="1866"/>
        <w:gridCol w:w="741"/>
        <w:gridCol w:w="816"/>
        <w:gridCol w:w="816"/>
        <w:gridCol w:w="816"/>
        <w:gridCol w:w="741"/>
      </w:tblGrid>
      <w:tr w14:paraId="4A8A778E">
        <w:tblPrEx>
          <w:tblCellMar>
            <w:top w:w="0" w:type="dxa"/>
            <w:left w:w="108" w:type="dxa"/>
            <w:bottom w:w="0" w:type="dxa"/>
            <w:right w:w="108" w:type="dxa"/>
          </w:tblCellMar>
        </w:tblPrEx>
        <w:trPr>
          <w:trHeight w:val="178" w:hRule="atLeast"/>
          <w:jc w:val="center"/>
        </w:trPr>
        <w:tc>
          <w:tcPr>
            <w:tcW w:w="1866" w:type="dxa"/>
            <w:vMerge w:val="restart"/>
            <w:tcBorders>
              <w:top w:val="single" w:color="auto" w:sz="4" w:space="0"/>
              <w:left w:val="single" w:color="auto" w:sz="4" w:space="0"/>
              <w:bottom w:val="single" w:color="auto" w:sz="4" w:space="0"/>
              <w:right w:val="single" w:color="auto" w:sz="4" w:space="0"/>
            </w:tcBorders>
            <w:vAlign w:val="center"/>
          </w:tcPr>
          <w:p w14:paraId="5169DD58">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14:paraId="57DF5A0F">
            <w:pPr>
              <w:widowControl/>
              <w:snapToGrid w:val="0"/>
              <w:jc w:val="center"/>
              <w:rPr>
                <w:rFonts w:hint="eastAsia"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14:paraId="773156AD">
            <w:pPr>
              <w:widowControl/>
              <w:snapToGrid w:val="0"/>
              <w:jc w:val="center"/>
              <w:rPr>
                <w:rFonts w:hint="eastAsia" w:ascii="宋体" w:hAnsi="宋体" w:cs="宋体"/>
                <w:kern w:val="0"/>
                <w:sz w:val="15"/>
                <w:szCs w:val="15"/>
              </w:rPr>
            </w:pPr>
            <w:r>
              <w:rPr>
                <w:rFonts w:hint="eastAsia" w:ascii="宋体" w:hAnsi="宋体" w:cs="宋体"/>
                <w:kern w:val="0"/>
                <w:sz w:val="15"/>
                <w:szCs w:val="15"/>
              </w:rPr>
              <w:t>南银理财理财产品风险等级</w:t>
            </w:r>
          </w:p>
        </w:tc>
      </w:tr>
      <w:tr w14:paraId="65114BCD">
        <w:tblPrEx>
          <w:tblCellMar>
            <w:top w:w="0" w:type="dxa"/>
            <w:left w:w="108" w:type="dxa"/>
            <w:bottom w:w="0" w:type="dxa"/>
            <w:right w:w="108" w:type="dxa"/>
          </w:tblCellMar>
        </w:tblPrEx>
        <w:trPr>
          <w:trHeight w:val="735" w:hRule="atLeast"/>
          <w:jc w:val="center"/>
        </w:trPr>
        <w:tc>
          <w:tcPr>
            <w:tcW w:w="1866" w:type="dxa"/>
            <w:vMerge w:val="continue"/>
            <w:tcBorders>
              <w:top w:val="single" w:color="auto" w:sz="4" w:space="0"/>
              <w:left w:val="single" w:color="auto" w:sz="4" w:space="0"/>
              <w:bottom w:val="single" w:color="auto" w:sz="4" w:space="0"/>
              <w:right w:val="single" w:color="auto" w:sz="4" w:space="0"/>
            </w:tcBorders>
            <w:vAlign w:val="center"/>
          </w:tcPr>
          <w:p w14:paraId="09FBEACE">
            <w:pPr>
              <w:widowControl/>
              <w:jc w:val="left"/>
              <w:rPr>
                <w:rFonts w:ascii="宋体" w:hAnsi="宋体" w:eastAsia="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14:paraId="22357BDB">
            <w:pPr>
              <w:widowControl/>
              <w:snapToGrid w:val="0"/>
              <w:jc w:val="center"/>
              <w:rPr>
                <w:rFonts w:hint="eastAsia" w:ascii="宋体" w:hAnsi="宋体" w:cs="宋体"/>
                <w:kern w:val="0"/>
                <w:sz w:val="15"/>
                <w:szCs w:val="15"/>
              </w:rPr>
            </w:pPr>
            <w:r>
              <w:rPr>
                <w:rFonts w:hint="eastAsia" w:ascii="宋体" w:hAnsi="宋体" w:cs="宋体"/>
                <w:kern w:val="0"/>
                <w:sz w:val="15"/>
                <w:szCs w:val="15"/>
              </w:rPr>
              <w:t>低风险</w:t>
            </w:r>
          </w:p>
          <w:p w14:paraId="3B1CB75E">
            <w:pPr>
              <w:widowControl/>
              <w:snapToGrid w:val="0"/>
              <w:jc w:val="center"/>
              <w:rPr>
                <w:rFonts w:hint="eastAsia" w:ascii="宋体" w:hAnsi="宋体" w:cs="宋体"/>
                <w:kern w:val="0"/>
                <w:sz w:val="15"/>
                <w:szCs w:val="15"/>
              </w:rPr>
            </w:pPr>
            <w:r>
              <w:rPr>
                <w:rFonts w:hint="eastAsia" w:ascii="宋体" w:hAnsi="宋体" w:cs="宋体"/>
                <w:kern w:val="0"/>
                <w:sz w:val="15"/>
                <w:szCs w:val="15"/>
              </w:rPr>
              <w:t>（PR1）</w:t>
            </w:r>
          </w:p>
        </w:tc>
        <w:tc>
          <w:tcPr>
            <w:tcW w:w="816" w:type="dxa"/>
            <w:tcBorders>
              <w:top w:val="single" w:color="auto" w:sz="4" w:space="0"/>
              <w:left w:val="nil"/>
              <w:bottom w:val="single" w:color="auto" w:sz="4" w:space="0"/>
              <w:right w:val="single" w:color="auto" w:sz="4" w:space="0"/>
            </w:tcBorders>
            <w:vAlign w:val="center"/>
          </w:tcPr>
          <w:p w14:paraId="69AD4C66">
            <w:pPr>
              <w:widowControl/>
              <w:snapToGrid w:val="0"/>
              <w:jc w:val="center"/>
              <w:rPr>
                <w:rFonts w:hint="eastAsia" w:ascii="宋体" w:hAnsi="宋体" w:cs="宋体"/>
                <w:kern w:val="0"/>
                <w:sz w:val="15"/>
                <w:szCs w:val="15"/>
              </w:rPr>
            </w:pPr>
            <w:r>
              <w:rPr>
                <w:rFonts w:hint="eastAsia" w:ascii="宋体" w:hAnsi="宋体" w:cs="宋体"/>
                <w:kern w:val="0"/>
                <w:sz w:val="15"/>
                <w:szCs w:val="15"/>
              </w:rPr>
              <w:t>中低风险</w:t>
            </w:r>
          </w:p>
          <w:p w14:paraId="5FBD2489">
            <w:pPr>
              <w:widowControl/>
              <w:snapToGrid w:val="0"/>
              <w:jc w:val="center"/>
              <w:rPr>
                <w:rFonts w:hint="eastAsia" w:ascii="宋体" w:hAnsi="宋体" w:cs="宋体"/>
                <w:kern w:val="0"/>
                <w:sz w:val="15"/>
                <w:szCs w:val="15"/>
              </w:rPr>
            </w:pPr>
            <w:r>
              <w:rPr>
                <w:rFonts w:hint="eastAsia" w:ascii="宋体" w:hAnsi="宋体" w:cs="宋体"/>
                <w:kern w:val="0"/>
                <w:sz w:val="15"/>
                <w:szCs w:val="15"/>
              </w:rPr>
              <w:t>（PR2）</w:t>
            </w:r>
          </w:p>
        </w:tc>
        <w:tc>
          <w:tcPr>
            <w:tcW w:w="816" w:type="dxa"/>
            <w:tcBorders>
              <w:top w:val="single" w:color="auto" w:sz="4" w:space="0"/>
              <w:left w:val="nil"/>
              <w:bottom w:val="single" w:color="auto" w:sz="4" w:space="0"/>
              <w:right w:val="single" w:color="auto" w:sz="4" w:space="0"/>
            </w:tcBorders>
            <w:vAlign w:val="center"/>
          </w:tcPr>
          <w:p w14:paraId="75F659E0">
            <w:pPr>
              <w:widowControl/>
              <w:snapToGrid w:val="0"/>
              <w:jc w:val="center"/>
              <w:rPr>
                <w:rFonts w:hint="eastAsia" w:ascii="宋体" w:hAnsi="宋体" w:cs="宋体"/>
                <w:kern w:val="0"/>
                <w:sz w:val="15"/>
                <w:szCs w:val="15"/>
              </w:rPr>
            </w:pPr>
            <w:r>
              <w:rPr>
                <w:rFonts w:hint="eastAsia" w:ascii="宋体" w:hAnsi="宋体" w:cs="宋体"/>
                <w:kern w:val="0"/>
                <w:sz w:val="15"/>
                <w:szCs w:val="15"/>
              </w:rPr>
              <w:t>中等风险</w:t>
            </w:r>
          </w:p>
          <w:p w14:paraId="11CC9A8C">
            <w:pPr>
              <w:widowControl/>
              <w:snapToGrid w:val="0"/>
              <w:jc w:val="center"/>
              <w:rPr>
                <w:rFonts w:hint="eastAsia" w:ascii="宋体" w:hAnsi="宋体" w:cs="宋体"/>
                <w:kern w:val="0"/>
                <w:sz w:val="15"/>
                <w:szCs w:val="15"/>
              </w:rPr>
            </w:pPr>
            <w:r>
              <w:rPr>
                <w:rFonts w:hint="eastAsia" w:ascii="宋体" w:hAnsi="宋体" w:cs="宋体"/>
                <w:kern w:val="0"/>
                <w:sz w:val="15"/>
                <w:szCs w:val="15"/>
              </w:rPr>
              <w:t>（PR3）</w:t>
            </w:r>
          </w:p>
        </w:tc>
        <w:tc>
          <w:tcPr>
            <w:tcW w:w="816" w:type="dxa"/>
            <w:tcBorders>
              <w:top w:val="single" w:color="auto" w:sz="4" w:space="0"/>
              <w:left w:val="nil"/>
              <w:bottom w:val="single" w:color="auto" w:sz="4" w:space="0"/>
              <w:right w:val="single" w:color="auto" w:sz="4" w:space="0"/>
            </w:tcBorders>
            <w:vAlign w:val="center"/>
          </w:tcPr>
          <w:p w14:paraId="272C7A7C">
            <w:pPr>
              <w:widowControl/>
              <w:snapToGrid w:val="0"/>
              <w:jc w:val="center"/>
              <w:rPr>
                <w:rFonts w:hint="eastAsia" w:ascii="宋体" w:hAnsi="宋体" w:cs="宋体"/>
                <w:kern w:val="0"/>
                <w:sz w:val="15"/>
                <w:szCs w:val="15"/>
              </w:rPr>
            </w:pPr>
            <w:r>
              <w:rPr>
                <w:rFonts w:hint="eastAsia" w:ascii="宋体" w:hAnsi="宋体" w:cs="宋体"/>
                <w:kern w:val="0"/>
                <w:sz w:val="15"/>
                <w:szCs w:val="15"/>
              </w:rPr>
              <w:t>中高风险</w:t>
            </w:r>
          </w:p>
          <w:p w14:paraId="433E87B3">
            <w:pPr>
              <w:widowControl/>
              <w:snapToGrid w:val="0"/>
              <w:jc w:val="center"/>
              <w:rPr>
                <w:rFonts w:hint="eastAsia" w:ascii="宋体" w:hAnsi="宋体" w:cs="宋体"/>
                <w:kern w:val="0"/>
                <w:sz w:val="15"/>
                <w:szCs w:val="15"/>
              </w:rPr>
            </w:pPr>
            <w:r>
              <w:rPr>
                <w:rFonts w:hint="eastAsia" w:ascii="宋体" w:hAnsi="宋体" w:cs="宋体"/>
                <w:kern w:val="0"/>
                <w:sz w:val="15"/>
                <w:szCs w:val="15"/>
              </w:rPr>
              <w:t>（PR4）</w:t>
            </w:r>
          </w:p>
        </w:tc>
        <w:tc>
          <w:tcPr>
            <w:tcW w:w="741" w:type="dxa"/>
            <w:tcBorders>
              <w:top w:val="single" w:color="auto" w:sz="4" w:space="0"/>
              <w:left w:val="nil"/>
              <w:bottom w:val="single" w:color="auto" w:sz="4" w:space="0"/>
              <w:right w:val="single" w:color="auto" w:sz="4" w:space="0"/>
            </w:tcBorders>
            <w:vAlign w:val="center"/>
          </w:tcPr>
          <w:p w14:paraId="08961217">
            <w:pPr>
              <w:widowControl/>
              <w:snapToGrid w:val="0"/>
              <w:jc w:val="center"/>
              <w:rPr>
                <w:rFonts w:hint="eastAsia" w:ascii="宋体" w:hAnsi="宋体" w:cs="宋体"/>
                <w:kern w:val="0"/>
                <w:sz w:val="15"/>
                <w:szCs w:val="15"/>
              </w:rPr>
            </w:pPr>
            <w:r>
              <w:rPr>
                <w:rFonts w:hint="eastAsia" w:ascii="宋体" w:hAnsi="宋体" w:cs="宋体"/>
                <w:kern w:val="0"/>
                <w:sz w:val="15"/>
                <w:szCs w:val="15"/>
              </w:rPr>
              <w:t>高风险</w:t>
            </w:r>
          </w:p>
          <w:p w14:paraId="65126350">
            <w:pPr>
              <w:widowControl/>
              <w:snapToGrid w:val="0"/>
              <w:jc w:val="center"/>
              <w:rPr>
                <w:rFonts w:hint="eastAsia" w:ascii="宋体" w:hAnsi="宋体" w:cs="宋体"/>
                <w:kern w:val="0"/>
                <w:sz w:val="15"/>
                <w:szCs w:val="15"/>
              </w:rPr>
            </w:pPr>
            <w:r>
              <w:rPr>
                <w:rFonts w:hint="eastAsia" w:ascii="宋体" w:hAnsi="宋体" w:cs="宋体"/>
                <w:kern w:val="0"/>
                <w:sz w:val="15"/>
                <w:szCs w:val="15"/>
              </w:rPr>
              <w:t>（PR5）</w:t>
            </w:r>
          </w:p>
        </w:tc>
      </w:tr>
      <w:tr w14:paraId="585B7C8E">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17CA7B1D">
            <w:pPr>
              <w:widowControl/>
              <w:snapToGrid w:val="0"/>
              <w:jc w:val="center"/>
              <w:rPr>
                <w:rFonts w:hint="eastAsia"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14:paraId="37F4562E">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78504AC4">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3563D20B">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DD35206">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14:paraId="47041C48">
            <w:pPr>
              <w:widowControl/>
              <w:snapToGrid w:val="0"/>
              <w:jc w:val="center"/>
              <w:rPr>
                <w:rFonts w:hint="eastAsia" w:ascii="宋体" w:hAnsi="宋体" w:cs="宋体"/>
                <w:kern w:val="0"/>
                <w:sz w:val="15"/>
                <w:szCs w:val="15"/>
              </w:rPr>
            </w:pPr>
            <w:r>
              <w:rPr>
                <w:rFonts w:hint="eastAsia"/>
                <w:spacing w:val="10"/>
                <w:sz w:val="15"/>
                <w:szCs w:val="15"/>
              </w:rPr>
              <w:t>√</w:t>
            </w:r>
          </w:p>
        </w:tc>
      </w:tr>
      <w:tr w14:paraId="4102E287">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055F2E73">
            <w:pPr>
              <w:widowControl/>
              <w:snapToGrid w:val="0"/>
              <w:jc w:val="center"/>
              <w:rPr>
                <w:rFonts w:hint="eastAsia"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tcPr>
          <w:p w14:paraId="05BF6FC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51B2C2D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1415918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832C8F7">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14:paraId="08FD7192">
            <w:pPr>
              <w:widowControl/>
              <w:snapToGrid w:val="0"/>
              <w:jc w:val="center"/>
              <w:rPr>
                <w:rFonts w:hint="eastAsia" w:ascii="宋体" w:hAnsi="宋体" w:cs="宋体"/>
                <w:kern w:val="0"/>
                <w:sz w:val="15"/>
                <w:szCs w:val="15"/>
              </w:rPr>
            </w:pPr>
            <w:r>
              <w:rPr>
                <w:rFonts w:hint="eastAsia"/>
                <w:spacing w:val="10"/>
                <w:sz w:val="15"/>
                <w:szCs w:val="15"/>
              </w:rPr>
              <w:t>×</w:t>
            </w:r>
          </w:p>
        </w:tc>
      </w:tr>
      <w:tr w14:paraId="6E9E94BC">
        <w:tblPrEx>
          <w:tblCellMar>
            <w:top w:w="0" w:type="dxa"/>
            <w:left w:w="108" w:type="dxa"/>
            <w:bottom w:w="0" w:type="dxa"/>
            <w:right w:w="108" w:type="dxa"/>
          </w:tblCellMar>
        </w:tblPrEx>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14:paraId="338719EC">
            <w:pPr>
              <w:widowControl/>
              <w:snapToGrid w:val="0"/>
              <w:jc w:val="center"/>
              <w:rPr>
                <w:rFonts w:hint="eastAsia"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tcPr>
          <w:p w14:paraId="3689E91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4D166A1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14:paraId="005B39A3">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14:paraId="15DE77BD">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14:paraId="0EF9138D">
            <w:pPr>
              <w:widowControl/>
              <w:snapToGrid w:val="0"/>
              <w:jc w:val="center"/>
              <w:rPr>
                <w:rFonts w:hint="eastAsia" w:ascii="宋体" w:hAnsi="宋体" w:cs="宋体"/>
                <w:kern w:val="0"/>
                <w:sz w:val="15"/>
                <w:szCs w:val="15"/>
              </w:rPr>
            </w:pPr>
            <w:r>
              <w:rPr>
                <w:rFonts w:hint="eastAsia"/>
                <w:spacing w:val="10"/>
                <w:sz w:val="15"/>
                <w:szCs w:val="15"/>
              </w:rPr>
              <w:t>×</w:t>
            </w:r>
          </w:p>
        </w:tc>
      </w:tr>
      <w:tr w14:paraId="4FC83A96">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701C0593">
            <w:pPr>
              <w:widowControl/>
              <w:snapToGrid w:val="0"/>
              <w:jc w:val="center"/>
              <w:rPr>
                <w:rFonts w:hint="eastAsia"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tcPr>
          <w:p w14:paraId="7BD80472">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tcPr>
          <w:p w14:paraId="275D6C3C">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1B813C59">
            <w:pPr>
              <w:widowControl/>
              <w:snapToGrid w:val="0"/>
              <w:jc w:val="center"/>
              <w:rPr>
                <w:rFonts w:hint="eastAsia"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3C74B948">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019312D0">
            <w:pPr>
              <w:widowControl/>
              <w:snapToGrid w:val="0"/>
              <w:jc w:val="center"/>
              <w:rPr>
                <w:rFonts w:hint="eastAsia" w:ascii="宋体" w:hAnsi="宋体" w:cs="宋体"/>
                <w:kern w:val="0"/>
                <w:sz w:val="15"/>
                <w:szCs w:val="15"/>
              </w:rPr>
            </w:pPr>
            <w:r>
              <w:rPr>
                <w:rFonts w:hint="eastAsia"/>
                <w:spacing w:val="10"/>
                <w:sz w:val="15"/>
                <w:szCs w:val="15"/>
              </w:rPr>
              <w:t>×</w:t>
            </w:r>
          </w:p>
        </w:tc>
      </w:tr>
      <w:tr w14:paraId="44996925">
        <w:tblPrEx>
          <w:tblCellMar>
            <w:top w:w="0" w:type="dxa"/>
            <w:left w:w="108" w:type="dxa"/>
            <w:bottom w:w="0" w:type="dxa"/>
            <w:right w:w="108" w:type="dxa"/>
          </w:tblCellMar>
        </w:tblPrEx>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vAlign w:val="center"/>
          </w:tcPr>
          <w:p w14:paraId="6428243A">
            <w:pPr>
              <w:widowControl/>
              <w:snapToGrid w:val="0"/>
              <w:jc w:val="center"/>
              <w:rPr>
                <w:rFonts w:hint="eastAsia"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tcPr>
          <w:p w14:paraId="30E8FDC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5B35561A">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23919230">
            <w:pPr>
              <w:widowControl/>
              <w:snapToGrid w:val="0"/>
              <w:jc w:val="center"/>
              <w:rPr>
                <w:rFonts w:hint="eastAsia"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14:paraId="710EFA51">
            <w:pPr>
              <w:widowControl/>
              <w:snapToGrid w:val="0"/>
              <w:jc w:val="center"/>
              <w:rPr>
                <w:rFonts w:hint="eastAsia"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14:paraId="5DFEE537">
            <w:pPr>
              <w:widowControl/>
              <w:snapToGrid w:val="0"/>
              <w:jc w:val="center"/>
              <w:rPr>
                <w:rFonts w:hint="eastAsia" w:ascii="宋体" w:hAnsi="宋体" w:cs="宋体"/>
                <w:kern w:val="0"/>
                <w:sz w:val="15"/>
                <w:szCs w:val="15"/>
              </w:rPr>
            </w:pPr>
            <w:r>
              <w:rPr>
                <w:rFonts w:hint="eastAsia"/>
                <w:spacing w:val="10"/>
                <w:sz w:val="15"/>
                <w:szCs w:val="15"/>
              </w:rPr>
              <w:t>×</w:t>
            </w:r>
          </w:p>
        </w:tc>
      </w:tr>
    </w:tbl>
    <w:p w14:paraId="7546E6C1">
      <w:pPr>
        <w:pStyle w:val="14"/>
        <w:spacing w:before="0" w:after="0" w:line="240" w:lineRule="auto"/>
        <w:ind w:firstLine="340" w:firstLineChars="200"/>
        <w:jc w:val="center"/>
        <w:rPr>
          <w:rFonts w:hint="eastAsia"/>
          <w:b/>
          <w:spacing w:val="10"/>
          <w:sz w:val="15"/>
          <w:szCs w:val="15"/>
        </w:rPr>
      </w:pPr>
      <w:r>
        <w:rPr>
          <w:rFonts w:hint="eastAsia"/>
          <w:spacing w:val="10"/>
          <w:sz w:val="15"/>
          <w:szCs w:val="15"/>
        </w:rPr>
        <w:t>备注：√代表可以购买；×代表不能购买。</w:t>
      </w:r>
    </w:p>
    <w:p w14:paraId="0E3A430B">
      <w:pPr>
        <w:pStyle w:val="14"/>
        <w:spacing w:before="0" w:after="0" w:line="240" w:lineRule="auto"/>
        <w:ind w:firstLine="341" w:firstLineChars="200"/>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14:paraId="01425BDD">
      <w:pPr>
        <w:pStyle w:val="14"/>
        <w:spacing w:before="0" w:after="0" w:line="240" w:lineRule="auto"/>
        <w:ind w:firstLine="340" w:firstLineChars="20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14:paraId="45C8189D">
      <w:pPr>
        <w:pStyle w:val="14"/>
        <w:spacing w:before="0" w:after="0" w:line="240" w:lineRule="auto"/>
        <w:ind w:firstLine="340" w:firstLineChars="20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14:paraId="1945BBA9">
      <w:pPr>
        <w:pStyle w:val="14"/>
        <w:spacing w:before="0" w:after="0" w:line="240" w:lineRule="auto"/>
        <w:ind w:firstLine="341" w:firstLineChars="200"/>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14:paraId="27AD899C">
      <w:pPr>
        <w:pStyle w:val="14"/>
        <w:spacing w:before="0" w:after="0" w:line="240" w:lineRule="auto"/>
        <w:ind w:firstLine="340" w:firstLineChars="20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14:paraId="57272061">
      <w:pPr>
        <w:pStyle w:val="14"/>
        <w:spacing w:before="0" w:after="0" w:line="240" w:lineRule="auto"/>
        <w:ind w:firstLine="341" w:firstLineChars="200"/>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14:paraId="4FFDE03B">
      <w:pPr>
        <w:pStyle w:val="14"/>
        <w:spacing w:before="0" w:after="0" w:line="240" w:lineRule="auto"/>
        <w:ind w:firstLine="340" w:firstLineChars="20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14:paraId="54E3DAE6">
      <w:pPr>
        <w:pStyle w:val="14"/>
        <w:spacing w:before="0" w:after="0" w:line="240" w:lineRule="auto"/>
        <w:ind w:firstLine="341" w:firstLineChars="200"/>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14:paraId="74C48C09">
      <w:pPr>
        <w:pStyle w:val="14"/>
        <w:spacing w:before="0" w:after="0" w:line="240" w:lineRule="auto"/>
        <w:ind w:firstLine="341" w:firstLineChars="200"/>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14:paraId="1424B2A1">
      <w:pPr>
        <w:pStyle w:val="14"/>
        <w:spacing w:before="0" w:after="0" w:line="240" w:lineRule="auto"/>
        <w:ind w:firstLine="340" w:firstLineChars="200"/>
        <w:rPr>
          <w:bCs/>
          <w:spacing w:val="10"/>
          <w:sz w:val="15"/>
          <w:szCs w:val="15"/>
        </w:rPr>
      </w:pPr>
      <w:r>
        <w:rPr>
          <w:rFonts w:hint="eastAsia"/>
          <w:bCs/>
          <w:spacing w:val="10"/>
          <w:sz w:val="15"/>
          <w:szCs w:val="15"/>
        </w:rPr>
        <w:t>（一）南银理财联系方式</w:t>
      </w:r>
    </w:p>
    <w:p w14:paraId="58659D36">
      <w:pPr>
        <w:pStyle w:val="14"/>
        <w:spacing w:before="0" w:after="0" w:line="240" w:lineRule="auto"/>
        <w:ind w:left="340" w:firstLine="0"/>
        <w:rPr>
          <w:bCs/>
          <w:spacing w:val="10"/>
          <w:sz w:val="15"/>
          <w:szCs w:val="15"/>
        </w:rPr>
      </w:pPr>
      <w:r>
        <w:rPr>
          <w:rFonts w:hint="eastAsia"/>
          <w:bCs/>
          <w:spacing w:val="10"/>
          <w:sz w:val="15"/>
          <w:szCs w:val="15"/>
        </w:rPr>
        <w:t>地址：南京市建邺区庐山路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14:paraId="594DB2CF">
      <w:pPr>
        <w:pStyle w:val="14"/>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14:paraId="5806FCEB">
      <w:pPr>
        <w:pStyle w:val="14"/>
        <w:spacing w:before="0" w:after="0" w:line="240" w:lineRule="auto"/>
        <w:ind w:firstLine="340" w:firstLineChars="200"/>
        <w:rPr>
          <w:bCs/>
          <w:spacing w:val="10"/>
          <w:sz w:val="15"/>
          <w:szCs w:val="15"/>
        </w:rPr>
      </w:pPr>
      <w:r>
        <w:rPr>
          <w:rFonts w:hint="eastAsia"/>
          <w:bCs/>
          <w:spacing w:val="10"/>
          <w:sz w:val="15"/>
          <w:szCs w:val="15"/>
        </w:rPr>
        <w:t>（二）销售机构联系方式</w:t>
      </w:r>
    </w:p>
    <w:p w14:paraId="6715C58B">
      <w:pPr>
        <w:pStyle w:val="14"/>
        <w:spacing w:before="0" w:after="0" w:line="240" w:lineRule="auto"/>
        <w:ind w:firstLine="340" w:firstLineChars="200"/>
        <w:rPr>
          <w:bCs/>
          <w:spacing w:val="10"/>
          <w:sz w:val="15"/>
          <w:szCs w:val="15"/>
        </w:rPr>
      </w:pPr>
      <w:r>
        <w:rPr>
          <w:rFonts w:hint="eastAsia"/>
          <w:bCs/>
          <w:spacing w:val="10"/>
          <w:sz w:val="15"/>
          <w:szCs w:val="15"/>
        </w:rPr>
        <w:t>官方网站：</w:t>
      </w:r>
      <w:r>
        <w:rPr>
          <w:bCs/>
          <w:spacing w:val="10"/>
          <w:sz w:val="15"/>
          <w:szCs w:val="15"/>
        </w:rPr>
        <w:t>www.njcb.com.cn</w:t>
      </w:r>
    </w:p>
    <w:p w14:paraId="5ADECB18">
      <w:pPr>
        <w:pStyle w:val="14"/>
        <w:spacing w:before="0" w:after="0" w:line="240" w:lineRule="auto"/>
        <w:ind w:firstLine="340" w:firstLineChars="200"/>
        <w:rPr>
          <w:b/>
          <w:spacing w:val="10"/>
          <w:sz w:val="15"/>
          <w:szCs w:val="15"/>
          <w:u w:val="single"/>
        </w:rPr>
      </w:pPr>
      <w:r>
        <w:rPr>
          <w:rFonts w:hint="eastAsia"/>
          <w:bCs/>
          <w:spacing w:val="10"/>
          <w:sz w:val="15"/>
          <w:szCs w:val="15"/>
        </w:rPr>
        <w:t>全国统一客服热线：</w:t>
      </w:r>
      <w:r>
        <w:rPr>
          <w:bCs/>
          <w:spacing w:val="10"/>
          <w:sz w:val="15"/>
          <w:szCs w:val="15"/>
        </w:rPr>
        <w:t>95302</w:t>
      </w:r>
    </w:p>
    <w:p w14:paraId="7C53B27C">
      <w:pPr>
        <w:pStyle w:val="14"/>
        <w:spacing w:before="0" w:after="0" w:line="240" w:lineRule="auto"/>
        <w:ind w:firstLine="341" w:firstLineChars="200"/>
        <w:rPr>
          <w:b/>
          <w:spacing w:val="10"/>
          <w:sz w:val="15"/>
          <w:szCs w:val="15"/>
        </w:rPr>
      </w:pPr>
    </w:p>
    <w:p w14:paraId="6DA128D8">
      <w:pPr>
        <w:pStyle w:val="14"/>
        <w:spacing w:before="0" w:after="0" w:line="240" w:lineRule="auto"/>
        <w:ind w:firstLine="0"/>
        <w:jc w:val="both"/>
        <w:rPr>
          <w:b/>
          <w:spacing w:val="10"/>
          <w:sz w:val="15"/>
          <w:szCs w:val="15"/>
          <w:u w:val="single"/>
        </w:rPr>
      </w:pPr>
    </w:p>
    <w:p w14:paraId="0AAFA5CF">
      <w:pPr>
        <w:pStyle w:val="14"/>
        <w:spacing w:before="0" w:after="0" w:line="240" w:lineRule="auto"/>
        <w:ind w:firstLine="0"/>
        <w:jc w:val="center"/>
        <w:rPr>
          <w:b/>
          <w:spacing w:val="10"/>
          <w:sz w:val="15"/>
          <w:szCs w:val="15"/>
          <w:u w:val="single"/>
        </w:rPr>
      </w:pPr>
      <w:r>
        <w:rPr>
          <w:rFonts w:hint="eastAsia"/>
          <w:b/>
          <w:spacing w:val="10"/>
          <w:sz w:val="15"/>
          <w:szCs w:val="15"/>
          <w:u w:val="single"/>
        </w:rPr>
        <w:t>仔细阅读提示</w:t>
      </w:r>
    </w:p>
    <w:p w14:paraId="302CE5CE">
      <w:pPr>
        <w:ind w:firstLine="340" w:firstLineChars="200"/>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14:paraId="5A075DC0">
      <w:pPr>
        <w:widowControl/>
        <w:jc w:val="left"/>
        <w:rPr>
          <w:b/>
          <w:spacing w:val="10"/>
          <w:kern w:val="0"/>
          <w:sz w:val="15"/>
          <w:szCs w:val="15"/>
          <w:u w:val="single"/>
        </w:rPr>
        <w:sectPr>
          <w:pgSz w:w="11906" w:h="16838"/>
          <w:pgMar w:top="720" w:right="720" w:bottom="720" w:left="720" w:header="851" w:footer="992" w:gutter="0"/>
          <w:cols w:space="720" w:num="1"/>
          <w:docGrid w:type="lines" w:linePitch="312" w:charSpace="0"/>
        </w:sectPr>
      </w:pPr>
    </w:p>
    <w:p w14:paraId="376D7A74">
      <w:pPr>
        <w:spacing w:line="0" w:lineRule="atLeast"/>
        <w:jc w:val="center"/>
        <w:rPr>
          <w:rFonts w:eastAsia="黑体"/>
          <w:b/>
          <w:bCs/>
          <w:sz w:val="24"/>
          <w:szCs w:val="15"/>
        </w:rPr>
      </w:pPr>
    </w:p>
    <w:p w14:paraId="7780FDF1">
      <w:pPr>
        <w:spacing w:line="0" w:lineRule="atLeast"/>
        <w:jc w:val="center"/>
        <w:rPr>
          <w:rFonts w:eastAsia="黑体"/>
          <w:b/>
          <w:bCs/>
          <w:sz w:val="24"/>
          <w:szCs w:val="15"/>
        </w:rPr>
      </w:pPr>
    </w:p>
    <w:p w14:paraId="3EF094B9">
      <w:pPr>
        <w:spacing w:line="0" w:lineRule="atLeast"/>
        <w:jc w:val="center"/>
        <w:rPr>
          <w:rFonts w:eastAsia="黑体"/>
          <w:b/>
          <w:bCs/>
          <w:sz w:val="24"/>
          <w:szCs w:val="15"/>
        </w:rPr>
      </w:pPr>
    </w:p>
    <w:p w14:paraId="42049004">
      <w:pPr>
        <w:spacing w:line="0" w:lineRule="atLeast"/>
        <w:jc w:val="center"/>
        <w:rPr>
          <w:rFonts w:eastAsia="黑体"/>
          <w:b/>
          <w:bCs/>
          <w:sz w:val="24"/>
          <w:szCs w:val="15"/>
        </w:rPr>
      </w:pPr>
    </w:p>
    <w:p w14:paraId="643979AE">
      <w:pPr>
        <w:spacing w:line="0" w:lineRule="atLeast"/>
        <w:jc w:val="center"/>
        <w:rPr>
          <w:rFonts w:eastAsia="黑体"/>
          <w:b/>
          <w:bCs/>
          <w:sz w:val="24"/>
          <w:szCs w:val="15"/>
        </w:rPr>
      </w:pPr>
    </w:p>
    <w:p w14:paraId="02E2F094">
      <w:pPr>
        <w:spacing w:line="0" w:lineRule="atLeast"/>
        <w:jc w:val="center"/>
        <w:rPr>
          <w:rFonts w:eastAsia="黑体"/>
          <w:b/>
          <w:bCs/>
          <w:sz w:val="24"/>
          <w:szCs w:val="15"/>
        </w:rPr>
      </w:pPr>
    </w:p>
    <w:p w14:paraId="66EA7E23">
      <w:pPr>
        <w:spacing w:line="0" w:lineRule="atLeast"/>
        <w:jc w:val="center"/>
        <w:rPr>
          <w:rFonts w:eastAsia="黑体"/>
          <w:b/>
          <w:bCs/>
          <w:sz w:val="24"/>
          <w:szCs w:val="15"/>
        </w:rPr>
      </w:pPr>
    </w:p>
    <w:p w14:paraId="70F50E24">
      <w:pPr>
        <w:spacing w:line="0" w:lineRule="atLeast"/>
        <w:jc w:val="center"/>
        <w:rPr>
          <w:rFonts w:eastAsia="黑体"/>
          <w:b/>
          <w:bCs/>
          <w:sz w:val="24"/>
          <w:szCs w:val="15"/>
        </w:rPr>
      </w:pPr>
    </w:p>
    <w:p w14:paraId="1F815B7C">
      <w:pPr>
        <w:spacing w:line="0" w:lineRule="atLeast"/>
        <w:jc w:val="center"/>
        <w:rPr>
          <w:rFonts w:eastAsia="黑体"/>
          <w:b/>
          <w:bCs/>
          <w:sz w:val="24"/>
          <w:szCs w:val="15"/>
        </w:rPr>
      </w:pPr>
    </w:p>
    <w:p w14:paraId="2DB7BCEB">
      <w:pPr>
        <w:spacing w:line="0" w:lineRule="atLeast"/>
        <w:jc w:val="center"/>
        <w:rPr>
          <w:rFonts w:eastAsia="黑体"/>
          <w:b/>
          <w:bCs/>
          <w:sz w:val="24"/>
          <w:szCs w:val="15"/>
        </w:rPr>
      </w:pPr>
    </w:p>
    <w:p w14:paraId="231D5250">
      <w:pPr>
        <w:spacing w:line="0" w:lineRule="atLeast"/>
        <w:jc w:val="center"/>
        <w:rPr>
          <w:rFonts w:eastAsia="黑体"/>
          <w:b/>
          <w:bCs/>
          <w:sz w:val="24"/>
          <w:szCs w:val="15"/>
        </w:rPr>
      </w:pPr>
    </w:p>
    <w:p w14:paraId="094A73D4">
      <w:pPr>
        <w:spacing w:line="0" w:lineRule="atLeast"/>
        <w:jc w:val="center"/>
        <w:rPr>
          <w:rFonts w:eastAsia="黑体"/>
          <w:b/>
          <w:bCs/>
          <w:sz w:val="24"/>
          <w:szCs w:val="15"/>
        </w:rPr>
      </w:pPr>
    </w:p>
    <w:p w14:paraId="5769A6E2">
      <w:pPr>
        <w:spacing w:line="0" w:lineRule="atLeast"/>
        <w:rPr>
          <w:rFonts w:eastAsia="黑体"/>
          <w:b/>
          <w:bCs/>
          <w:sz w:val="24"/>
          <w:szCs w:val="15"/>
        </w:rPr>
      </w:pPr>
    </w:p>
    <w:p w14:paraId="1372359D">
      <w:pPr>
        <w:spacing w:line="0" w:lineRule="atLeast"/>
        <w:jc w:val="center"/>
        <w:rPr>
          <w:rFonts w:eastAsia="黑体"/>
          <w:b/>
          <w:bCs/>
          <w:sz w:val="24"/>
          <w:szCs w:val="15"/>
        </w:rPr>
      </w:pPr>
    </w:p>
    <w:p w14:paraId="7CECDE14">
      <w:pPr>
        <w:spacing w:line="0" w:lineRule="atLeast"/>
        <w:rPr>
          <w:rFonts w:eastAsia="黑体"/>
          <w:b/>
          <w:bCs/>
          <w:sz w:val="24"/>
          <w:szCs w:val="15"/>
        </w:rPr>
      </w:pPr>
    </w:p>
    <w:p w14:paraId="1CADB3BB">
      <w:pPr>
        <w:spacing w:line="0" w:lineRule="atLeast"/>
        <w:jc w:val="center"/>
        <w:rPr>
          <w:rFonts w:eastAsia="黑体"/>
          <w:b/>
          <w:bCs/>
          <w:sz w:val="24"/>
          <w:szCs w:val="15"/>
        </w:rPr>
      </w:pPr>
    </w:p>
    <w:p w14:paraId="1557DB1F">
      <w:pPr>
        <w:spacing w:line="0" w:lineRule="atLeast"/>
        <w:jc w:val="center"/>
        <w:rPr>
          <w:rFonts w:eastAsia="黑体"/>
          <w:b/>
          <w:bCs/>
          <w:sz w:val="24"/>
          <w:szCs w:val="15"/>
        </w:rPr>
      </w:pPr>
    </w:p>
    <w:p w14:paraId="0869E171">
      <w:pPr>
        <w:spacing w:line="0" w:lineRule="atLeast"/>
        <w:jc w:val="center"/>
        <w:rPr>
          <w:rFonts w:eastAsia="黑体"/>
          <w:b/>
          <w:bCs/>
          <w:sz w:val="24"/>
          <w:szCs w:val="15"/>
        </w:rPr>
      </w:pPr>
      <w:r>
        <w:rPr>
          <w:rFonts w:hint="eastAsia" w:eastAsia="黑体"/>
          <w:b/>
          <w:bCs/>
          <w:sz w:val="24"/>
          <w:szCs w:val="15"/>
        </w:rPr>
        <w:t>理财产品销售协议书</w:t>
      </w:r>
    </w:p>
    <w:p w14:paraId="5F7165D0">
      <w:pPr>
        <w:tabs>
          <w:tab w:val="left" w:pos="0"/>
        </w:tabs>
        <w:jc w:val="center"/>
        <w:rPr>
          <w:rFonts w:eastAsia="宋体"/>
          <w:sz w:val="18"/>
        </w:rPr>
      </w:pPr>
    </w:p>
    <w:p w14:paraId="10412F48">
      <w:pPr>
        <w:tabs>
          <w:tab w:val="left" w:pos="0"/>
        </w:tabs>
        <w:jc w:val="center"/>
      </w:pPr>
    </w:p>
    <w:p w14:paraId="3D9C1464">
      <w:pPr>
        <w:tabs>
          <w:tab w:val="left" w:pos="0"/>
        </w:tabs>
        <w:jc w:val="center"/>
      </w:pPr>
    </w:p>
    <w:p w14:paraId="4C555903">
      <w:pPr>
        <w:tabs>
          <w:tab w:val="left" w:pos="0"/>
        </w:tabs>
        <w:jc w:val="center"/>
      </w:pPr>
    </w:p>
    <w:p w14:paraId="40E87852">
      <w:pPr>
        <w:tabs>
          <w:tab w:val="left" w:pos="0"/>
        </w:tabs>
        <w:jc w:val="center"/>
      </w:pPr>
    </w:p>
    <w:p w14:paraId="1BBDC18B">
      <w:pPr>
        <w:tabs>
          <w:tab w:val="left" w:pos="0"/>
        </w:tabs>
        <w:jc w:val="center"/>
      </w:pPr>
    </w:p>
    <w:p w14:paraId="221465EE">
      <w:pPr>
        <w:tabs>
          <w:tab w:val="left" w:pos="0"/>
        </w:tabs>
        <w:jc w:val="center"/>
      </w:pPr>
    </w:p>
    <w:p w14:paraId="251B4B64">
      <w:pPr>
        <w:tabs>
          <w:tab w:val="left" w:pos="0"/>
        </w:tabs>
        <w:jc w:val="center"/>
      </w:pPr>
    </w:p>
    <w:p w14:paraId="77F93C1C">
      <w:pPr>
        <w:tabs>
          <w:tab w:val="left" w:pos="0"/>
        </w:tabs>
        <w:jc w:val="center"/>
      </w:pPr>
      <w:r>
        <w:rPr>
          <w:rFonts w:hint="eastAsia"/>
        </w:rPr>
        <w:t>编制单位：</w:t>
      </w:r>
      <w:r>
        <w:rPr>
          <w:rFonts w:hint="eastAsia"/>
          <w:u w:val="single"/>
        </w:rPr>
        <w:t>南银理财有限责任公司</w:t>
      </w:r>
    </w:p>
    <w:p w14:paraId="4FB15D3C">
      <w:pPr>
        <w:spacing w:line="0" w:lineRule="atLeast"/>
        <w:ind w:firstLine="4200" w:firstLineChars="20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14:paraId="4FDE3619">
      <w:pPr>
        <w:adjustRightInd w:val="0"/>
        <w:snapToGrid w:val="0"/>
        <w:spacing w:line="0" w:lineRule="atLeast"/>
        <w:rPr>
          <w:rFonts w:eastAsia="宋体"/>
          <w:b/>
          <w:bCs/>
          <w:sz w:val="18"/>
        </w:rPr>
      </w:pPr>
      <w:r>
        <w:rPr>
          <w:rFonts w:hint="eastAsia"/>
          <w:b/>
          <w:bCs/>
        </w:rPr>
        <w:t>风险提示：</w:t>
      </w:r>
    </w:p>
    <w:p w14:paraId="4E1BCDC3">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14:paraId="04CE044D">
      <w:pPr>
        <w:tabs>
          <w:tab w:val="left" w:pos="7920"/>
          <w:tab w:val="left" w:pos="8100"/>
        </w:tabs>
        <w:spacing w:line="0" w:lineRule="atLeast"/>
        <w:rPr>
          <w:b/>
          <w:bCs/>
          <w:szCs w:val="18"/>
        </w:rPr>
      </w:pPr>
    </w:p>
    <w:p w14:paraId="2052221A">
      <w:pPr>
        <w:spacing w:line="0" w:lineRule="atLeast"/>
        <w:jc w:val="center"/>
        <w:rPr>
          <w:rFonts w:eastAsia="黑体"/>
          <w:b/>
          <w:bCs/>
          <w:sz w:val="24"/>
          <w:szCs w:val="15"/>
        </w:rPr>
      </w:pPr>
    </w:p>
    <w:p w14:paraId="24183032">
      <w:pPr>
        <w:spacing w:line="0" w:lineRule="atLeast"/>
        <w:jc w:val="center"/>
        <w:rPr>
          <w:rFonts w:eastAsia="黑体"/>
          <w:b/>
          <w:bCs/>
          <w:sz w:val="24"/>
          <w:szCs w:val="15"/>
        </w:rPr>
      </w:pPr>
      <w:r>
        <w:rPr>
          <w:rFonts w:hint="eastAsia" w:eastAsia="黑体"/>
          <w:b/>
          <w:bCs/>
          <w:sz w:val="24"/>
          <w:szCs w:val="15"/>
        </w:rPr>
        <w:t>理财产品销售协议书</w:t>
      </w:r>
    </w:p>
    <w:p w14:paraId="28134C9D">
      <w:pPr>
        <w:spacing w:line="200" w:lineRule="exact"/>
        <w:ind w:firstLine="300" w:firstLineChars="200"/>
        <w:rPr>
          <w:rFonts w:eastAsia="方正细黑一简体"/>
          <w:sz w:val="15"/>
          <w:szCs w:val="15"/>
        </w:rPr>
      </w:pPr>
    </w:p>
    <w:p w14:paraId="0A9EC3E4">
      <w:pPr>
        <w:spacing w:line="200" w:lineRule="exact"/>
        <w:ind w:firstLine="300" w:firstLineChars="200"/>
        <w:rPr>
          <w:rFonts w:eastAsia="方正细黑一简体"/>
          <w:sz w:val="15"/>
          <w:szCs w:val="15"/>
        </w:rPr>
      </w:pPr>
      <w:r>
        <w:rPr>
          <w:rFonts w:hint="eastAsia" w:eastAsia="方正细黑一简体"/>
          <w:sz w:val="15"/>
          <w:szCs w:val="15"/>
        </w:rPr>
        <w:t>经甲方（南银理财有限责任公司，以下简称</w:t>
      </w:r>
      <w:r>
        <w:rPr>
          <w:rFonts w:eastAsia="方正细黑一简体"/>
          <w:sz w:val="15"/>
          <w:szCs w:val="15"/>
        </w:rPr>
        <w:t>“</w:t>
      </w:r>
      <w:r>
        <w:rPr>
          <w:rFonts w:hint="eastAsia" w:eastAsia="方正细黑一简体"/>
          <w:sz w:val="15"/>
          <w:szCs w:val="15"/>
        </w:rPr>
        <w:t>南银理财</w:t>
      </w:r>
      <w:r>
        <w:rPr>
          <w:rFonts w:eastAsia="方正细黑一简体"/>
          <w:sz w:val="15"/>
          <w:szCs w:val="15"/>
        </w:rPr>
        <w:t>”</w:t>
      </w:r>
      <w:r>
        <w:rPr>
          <w:rFonts w:hint="eastAsia" w:eastAsia="方正细黑一简体"/>
          <w:sz w:val="15"/>
          <w:szCs w:val="15"/>
        </w:rPr>
        <w:t>、</w:t>
      </w:r>
      <w:r>
        <w:rPr>
          <w:rFonts w:eastAsia="方正细黑一简体"/>
          <w:sz w:val="15"/>
          <w:szCs w:val="15"/>
        </w:rPr>
        <w:t>“</w:t>
      </w:r>
      <w:r>
        <w:rPr>
          <w:rFonts w:hint="eastAsia" w:eastAsia="方正细黑一简体"/>
          <w:color w:val="3D3D3D"/>
          <w:sz w:val="15"/>
          <w:szCs w:val="15"/>
        </w:rPr>
        <w:t>管理人</w:t>
      </w:r>
      <w:r>
        <w:rPr>
          <w:rFonts w:eastAsia="方正细黑一简体"/>
          <w:color w:val="3D3D3D"/>
          <w:sz w:val="15"/>
          <w:szCs w:val="15"/>
        </w:rPr>
        <w:t>”</w:t>
      </w:r>
      <w:r>
        <w:rPr>
          <w:rFonts w:hint="eastAsia" w:eastAsia="方正细黑一简体"/>
          <w:color w:val="3D3D3D"/>
          <w:sz w:val="15"/>
          <w:szCs w:val="15"/>
        </w:rPr>
        <w:t>、“产品管理人”或</w:t>
      </w:r>
      <w:r>
        <w:rPr>
          <w:rFonts w:eastAsia="方正细黑一简体"/>
          <w:color w:val="3D3D3D"/>
          <w:sz w:val="15"/>
          <w:szCs w:val="15"/>
        </w:rPr>
        <w:t>“</w:t>
      </w:r>
      <w:r>
        <w:rPr>
          <w:rFonts w:hint="eastAsia" w:eastAsia="方正细黑一简体"/>
          <w:color w:val="3D3D3D"/>
          <w:sz w:val="15"/>
          <w:szCs w:val="15"/>
        </w:rPr>
        <w:t>理财产品管理人</w:t>
      </w:r>
      <w:r>
        <w:rPr>
          <w:rFonts w:eastAsia="方正细黑一简体"/>
          <w:sz w:val="15"/>
          <w:szCs w:val="15"/>
        </w:rPr>
        <w:t>”</w:t>
      </w:r>
      <w:r>
        <w:rPr>
          <w:rFonts w:hint="eastAsia" w:eastAsia="方正细黑一简体"/>
          <w:sz w:val="15"/>
          <w:szCs w:val="15"/>
        </w:rPr>
        <w:t>）与乙方（以下简称“投资者”）双方平等友好协商，本着平等自愿、诚实守信的原则，就乙方购买甲方管理的理财产品的有关事宜达成协议如下：</w:t>
      </w:r>
    </w:p>
    <w:p w14:paraId="2E6FBC52">
      <w:pPr>
        <w:numPr>
          <w:ilvl w:val="0"/>
          <w:numId w:val="6"/>
        </w:numPr>
        <w:spacing w:line="200" w:lineRule="exact"/>
        <w:ind w:firstLine="340" w:firstLineChars="200"/>
        <w:rPr>
          <w:rFonts w:eastAsia="宋体"/>
          <w:b/>
          <w:bCs/>
          <w:spacing w:val="10"/>
          <w:sz w:val="15"/>
          <w:szCs w:val="15"/>
        </w:rPr>
      </w:pPr>
      <w:r>
        <w:rPr>
          <w:rFonts w:hint="eastAsia"/>
          <w:b/>
          <w:bCs/>
          <w:spacing w:val="10"/>
          <w:sz w:val="15"/>
          <w:szCs w:val="15"/>
        </w:rPr>
        <w:t>名词释义</w:t>
      </w:r>
    </w:p>
    <w:p w14:paraId="5220D34B">
      <w:pPr>
        <w:pStyle w:val="6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14:paraId="2A51DB74">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14:paraId="71C36197">
      <w:pPr>
        <w:spacing w:line="200" w:lineRule="exact"/>
        <w:ind w:firstLine="340" w:firstLineChars="200"/>
        <w:rPr>
          <w:spacing w:val="10"/>
          <w:sz w:val="15"/>
          <w:szCs w:val="15"/>
        </w:rPr>
      </w:pPr>
      <w:r>
        <w:rPr>
          <w:rFonts w:hint="eastAsia"/>
          <w:spacing w:val="10"/>
          <w:sz w:val="15"/>
          <w:szCs w:val="15"/>
        </w:rPr>
        <w:t>南京银行股份有限公司作为本理财产品的销售机构，负责本理财产品的销售。</w:t>
      </w:r>
    </w:p>
    <w:p w14:paraId="28B2D362">
      <w:pPr>
        <w:numPr>
          <w:ilvl w:val="0"/>
          <w:numId w:val="6"/>
        </w:numPr>
        <w:spacing w:line="200" w:lineRule="exact"/>
        <w:ind w:firstLine="340" w:firstLineChars="200"/>
        <w:rPr>
          <w:b/>
          <w:bCs/>
          <w:spacing w:val="10"/>
          <w:sz w:val="15"/>
          <w:szCs w:val="15"/>
        </w:rPr>
      </w:pPr>
      <w:r>
        <w:rPr>
          <w:rFonts w:hint="eastAsia"/>
          <w:b/>
          <w:bCs/>
          <w:spacing w:val="10"/>
          <w:sz w:val="15"/>
          <w:szCs w:val="15"/>
        </w:rPr>
        <w:t>甲方的权利与义务：</w:t>
      </w:r>
    </w:p>
    <w:p w14:paraId="216E5F7F">
      <w:pPr>
        <w:numPr>
          <w:ilvl w:val="0"/>
          <w:numId w:val="7"/>
        </w:numPr>
        <w:spacing w:line="200" w:lineRule="exact"/>
        <w:ind w:firstLine="340" w:firstLineChars="200"/>
        <w:rPr>
          <w:spacing w:val="10"/>
          <w:sz w:val="15"/>
          <w:szCs w:val="15"/>
        </w:rPr>
      </w:pPr>
      <w:r>
        <w:rPr>
          <w:rFonts w:hint="eastAsia"/>
          <w:spacing w:val="10"/>
          <w:sz w:val="15"/>
          <w:szCs w:val="15"/>
        </w:rPr>
        <w:t>甲方应当履行恪尽职守、勤勉尽责、诚实守信、有效管理的义务。</w:t>
      </w:r>
    </w:p>
    <w:p w14:paraId="0D7C37C7">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14:paraId="4880BFC8">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14:paraId="135A3D19">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14:paraId="4FA7332A">
      <w:pPr>
        <w:numPr>
          <w:ilvl w:val="0"/>
          <w:numId w:val="7"/>
        </w:numPr>
        <w:spacing w:line="200" w:lineRule="exact"/>
        <w:ind w:firstLine="340" w:firstLineChars="20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14:paraId="15DD0FCA">
      <w:pPr>
        <w:numPr>
          <w:ilvl w:val="0"/>
          <w:numId w:val="7"/>
        </w:numPr>
        <w:spacing w:line="200" w:lineRule="exact"/>
        <w:ind w:firstLine="340" w:firstLineChars="20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14:paraId="035D4969">
      <w:pPr>
        <w:numPr>
          <w:ilvl w:val="0"/>
          <w:numId w:val="7"/>
        </w:numPr>
        <w:spacing w:line="200" w:lineRule="exact"/>
        <w:ind w:firstLine="340" w:firstLineChars="20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14:paraId="4C7ED1CA">
      <w:pPr>
        <w:numPr>
          <w:ilvl w:val="0"/>
          <w:numId w:val="7"/>
        </w:numPr>
        <w:spacing w:line="200" w:lineRule="exact"/>
        <w:ind w:firstLine="340" w:firstLineChars="200"/>
        <w:rPr>
          <w:spacing w:val="10"/>
          <w:sz w:val="15"/>
          <w:szCs w:val="15"/>
        </w:rPr>
      </w:pPr>
      <w:r>
        <w:rPr>
          <w:rFonts w:hint="eastAsia"/>
          <w:spacing w:val="10"/>
          <w:sz w:val="15"/>
          <w:szCs w:val="15"/>
        </w:rPr>
        <w:t>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74E7776A">
      <w:pPr>
        <w:numPr>
          <w:ilvl w:val="0"/>
          <w:numId w:val="7"/>
        </w:numPr>
        <w:spacing w:line="200" w:lineRule="exact"/>
        <w:ind w:firstLine="340" w:firstLineChars="20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14:paraId="58444DA5">
      <w:pPr>
        <w:numPr>
          <w:ilvl w:val="0"/>
          <w:numId w:val="7"/>
        </w:numPr>
        <w:spacing w:line="200" w:lineRule="exact"/>
        <w:ind w:firstLine="340" w:firstLineChars="200"/>
        <w:rPr>
          <w:spacing w:val="10"/>
          <w:sz w:val="15"/>
          <w:szCs w:val="15"/>
        </w:rPr>
      </w:pPr>
      <w:r>
        <w:rPr>
          <w:rFonts w:hint="eastAsia"/>
          <w:spacing w:val="10"/>
          <w:sz w:val="15"/>
          <w:szCs w:val="15"/>
        </w:rPr>
        <w:t>甲方有权根据产品运作的需要选任必要的业务合作机构。</w:t>
      </w:r>
    </w:p>
    <w:p w14:paraId="7857A2D3">
      <w:pPr>
        <w:numPr>
          <w:ilvl w:val="0"/>
          <w:numId w:val="7"/>
        </w:numPr>
        <w:spacing w:line="200" w:lineRule="exact"/>
        <w:ind w:firstLine="300" w:firstLineChars="200"/>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6E852177">
      <w:pPr>
        <w:numPr>
          <w:ilvl w:val="0"/>
          <w:numId w:val="7"/>
        </w:numPr>
        <w:spacing w:line="200" w:lineRule="exact"/>
        <w:ind w:firstLine="340" w:firstLineChars="200"/>
        <w:rPr>
          <w:spacing w:val="10"/>
          <w:sz w:val="15"/>
          <w:szCs w:val="15"/>
        </w:rPr>
      </w:pPr>
      <w:r>
        <w:rPr>
          <w:rFonts w:hint="eastAsia"/>
          <w:spacing w:val="10"/>
          <w:sz w:val="15"/>
          <w:szCs w:val="15"/>
        </w:rPr>
        <w:t>甲方无义务对第三人支付本理财产品清算分配金额及相关权益，法律法规另有规定的除外。</w:t>
      </w:r>
    </w:p>
    <w:p w14:paraId="33425496">
      <w:pPr>
        <w:numPr>
          <w:ilvl w:val="0"/>
          <w:numId w:val="7"/>
        </w:numPr>
        <w:spacing w:line="200" w:lineRule="exact"/>
        <w:ind w:firstLine="340" w:firstLineChars="20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14:paraId="4B1145A1">
      <w:pPr>
        <w:numPr>
          <w:ilvl w:val="0"/>
          <w:numId w:val="7"/>
        </w:numPr>
        <w:spacing w:line="200" w:lineRule="exact"/>
        <w:ind w:firstLine="340" w:firstLineChars="200"/>
        <w:rPr>
          <w:spacing w:val="10"/>
          <w:sz w:val="15"/>
          <w:szCs w:val="15"/>
        </w:rPr>
      </w:pPr>
      <w:r>
        <w:rPr>
          <w:rFonts w:hint="eastAsia"/>
          <w:spacing w:val="10"/>
          <w:sz w:val="15"/>
          <w:szCs w:val="15"/>
        </w:rPr>
        <w:t>甲方有权根据本理财产品销售文件的约定提前终止或延长本理财产品的存续期限。</w:t>
      </w:r>
    </w:p>
    <w:p w14:paraId="3F8B1F55">
      <w:pPr>
        <w:numPr>
          <w:ilvl w:val="0"/>
          <w:numId w:val="7"/>
        </w:numPr>
        <w:spacing w:line="200" w:lineRule="exact"/>
        <w:ind w:firstLine="340" w:firstLineChars="200"/>
        <w:rPr>
          <w:spacing w:val="10"/>
          <w:sz w:val="15"/>
          <w:szCs w:val="15"/>
        </w:rPr>
      </w:pPr>
      <w:r>
        <w:rPr>
          <w:rFonts w:hint="eastAsia"/>
          <w:spacing w:val="10"/>
          <w:sz w:val="15"/>
          <w:szCs w:val="15"/>
        </w:rPr>
        <w:t>甲方有权调整本理财产品的认购或申购起点、单笔认购或申购上限等要素。</w:t>
      </w:r>
    </w:p>
    <w:p w14:paraId="33DDB19C">
      <w:pPr>
        <w:numPr>
          <w:ilvl w:val="0"/>
          <w:numId w:val="7"/>
        </w:numPr>
        <w:spacing w:line="200" w:lineRule="exact"/>
        <w:ind w:firstLine="340" w:firstLineChars="200"/>
        <w:rPr>
          <w:spacing w:val="10"/>
          <w:sz w:val="15"/>
          <w:szCs w:val="15"/>
        </w:rPr>
      </w:pPr>
      <w:r>
        <w:rPr>
          <w:rFonts w:hint="eastAsia"/>
          <w:spacing w:val="10"/>
          <w:sz w:val="15"/>
          <w:szCs w:val="15"/>
        </w:rPr>
        <w:t>甲方有权根据相关规定及销售文件的约定，变更销售文件内容。</w:t>
      </w:r>
    </w:p>
    <w:p w14:paraId="265088DD">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14:paraId="10792639">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14:paraId="4303372C">
      <w:pPr>
        <w:numPr>
          <w:ilvl w:val="0"/>
          <w:numId w:val="7"/>
        </w:numPr>
        <w:spacing w:line="200" w:lineRule="exact"/>
        <w:ind w:firstLine="340" w:firstLineChars="20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14:paraId="28C5A864">
      <w:pPr>
        <w:numPr>
          <w:ilvl w:val="0"/>
          <w:numId w:val="7"/>
        </w:numPr>
        <w:spacing w:line="200" w:lineRule="exact"/>
        <w:ind w:firstLine="340" w:firstLineChars="200"/>
        <w:rPr>
          <w:spacing w:val="10"/>
          <w:sz w:val="15"/>
          <w:szCs w:val="15"/>
        </w:rPr>
      </w:pPr>
      <w:r>
        <w:rPr>
          <w:rFonts w:hint="eastAsia"/>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14:paraId="1A299344">
      <w:pPr>
        <w:numPr>
          <w:ilvl w:val="0"/>
          <w:numId w:val="7"/>
        </w:numPr>
        <w:spacing w:line="200" w:lineRule="exact"/>
        <w:ind w:firstLine="340" w:firstLineChars="200"/>
        <w:rPr>
          <w:spacing w:val="10"/>
          <w:sz w:val="15"/>
          <w:szCs w:val="15"/>
        </w:rPr>
      </w:pPr>
      <w:r>
        <w:rPr>
          <w:rFonts w:hint="eastAsia"/>
          <w:spacing w:val="10"/>
          <w:sz w:val="15"/>
          <w:szCs w:val="15"/>
        </w:rPr>
        <w:t>法律法规规定及理财产品销售文件约定的其他权利与义务。</w:t>
      </w:r>
    </w:p>
    <w:p w14:paraId="2887DC7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14:paraId="6DD81B91">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14:paraId="78C7530B">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14:paraId="19B29BB1">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14:paraId="5B05A591">
      <w:pPr>
        <w:numPr>
          <w:ilvl w:val="0"/>
          <w:numId w:val="8"/>
        </w:numPr>
        <w:spacing w:line="200" w:lineRule="exact"/>
        <w:ind w:firstLine="340"/>
        <w:rPr>
          <w:spacing w:val="10"/>
          <w:sz w:val="15"/>
          <w:szCs w:val="15"/>
        </w:rPr>
      </w:pPr>
      <w:r>
        <w:rPr>
          <w:rFonts w:hint="eastAsia"/>
          <w:spacing w:val="10"/>
          <w:sz w:val="15"/>
          <w:szCs w:val="15"/>
        </w:rPr>
        <w:t>乙方应接受销售机构对其投资风险承受能力进行的测评。（个人投资者适用）</w:t>
      </w:r>
    </w:p>
    <w:p w14:paraId="377ED71C">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14:paraId="5143896F">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14:paraId="2005CE43">
      <w:pPr>
        <w:numPr>
          <w:ilvl w:val="0"/>
          <w:numId w:val="8"/>
        </w:numPr>
        <w:spacing w:line="200" w:lineRule="exact"/>
        <w:ind w:firstLine="340"/>
        <w:rPr>
          <w:spacing w:val="10"/>
          <w:sz w:val="15"/>
          <w:szCs w:val="15"/>
        </w:rPr>
      </w:pPr>
      <w:r>
        <w:rPr>
          <w:rFonts w:hint="eastAsia"/>
          <w:spacing w:val="10"/>
          <w:sz w:val="15"/>
          <w:szCs w:val="15"/>
        </w:rPr>
        <w:t>乙方保证，乙方系符合监管规定要求的合格投资者。（私募产品投资者适用）</w:t>
      </w:r>
    </w:p>
    <w:p w14:paraId="6BABFF3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14:paraId="0B1F2567">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14:paraId="5BAE74F5">
      <w:pPr>
        <w:numPr>
          <w:ilvl w:val="0"/>
          <w:numId w:val="8"/>
        </w:numPr>
        <w:spacing w:line="200" w:lineRule="exact"/>
        <w:ind w:firstLine="340" w:firstLineChars="20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任何适用法律、法规、法令或法律限制，任何法院或其他政府机关所作出的适用于乙方或乙方任何资产的指令或判决；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14:paraId="4597DA0A">
      <w:pPr>
        <w:numPr>
          <w:ilvl w:val="0"/>
          <w:numId w:val="8"/>
        </w:numPr>
        <w:spacing w:line="200" w:lineRule="exact"/>
        <w:ind w:firstLine="340" w:firstLineChars="20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14:paraId="68F9F4EC">
      <w:pPr>
        <w:pStyle w:val="7"/>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14:paraId="48C47D88">
      <w:pPr>
        <w:numPr>
          <w:ilvl w:val="0"/>
          <w:numId w:val="8"/>
        </w:numPr>
        <w:spacing w:line="200" w:lineRule="exact"/>
        <w:ind w:firstLine="340" w:firstLineChars="200"/>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4E460CF6">
      <w:pPr>
        <w:numPr>
          <w:ilvl w:val="0"/>
          <w:numId w:val="8"/>
        </w:numPr>
        <w:spacing w:line="200" w:lineRule="exact"/>
        <w:ind w:firstLine="340" w:firstLineChars="200"/>
        <w:rPr>
          <w:spacing w:val="10"/>
          <w:sz w:val="15"/>
          <w:szCs w:val="15"/>
        </w:rPr>
      </w:pPr>
      <w:r>
        <w:rPr>
          <w:rFonts w:hint="eastAsia"/>
          <w:spacing w:val="10"/>
          <w:sz w:val="15"/>
          <w:szCs w:val="15"/>
        </w:rPr>
        <w:t>乙方承诺，不利用本理财业务及本理财产品说明书项下理财产品从事违法活动。</w:t>
      </w:r>
    </w:p>
    <w:p w14:paraId="180D1F11">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14:paraId="43A69655">
      <w:pPr>
        <w:numPr>
          <w:ilvl w:val="0"/>
          <w:numId w:val="8"/>
        </w:numPr>
        <w:spacing w:line="200" w:lineRule="exact"/>
        <w:ind w:firstLine="340" w:firstLineChars="200"/>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14:paraId="0F8E576C">
      <w:pPr>
        <w:numPr>
          <w:ilvl w:val="0"/>
          <w:numId w:val="8"/>
        </w:numPr>
        <w:spacing w:line="200" w:lineRule="exact"/>
        <w:ind w:firstLine="340" w:firstLineChars="20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14:paraId="35888F16">
      <w:pPr>
        <w:numPr>
          <w:ilvl w:val="0"/>
          <w:numId w:val="8"/>
        </w:numPr>
        <w:spacing w:line="200" w:lineRule="exact"/>
        <w:ind w:firstLine="340" w:firstLineChars="20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14:paraId="53610856">
      <w:pPr>
        <w:numPr>
          <w:ilvl w:val="0"/>
          <w:numId w:val="8"/>
        </w:numPr>
        <w:spacing w:line="200" w:lineRule="exact"/>
        <w:ind w:firstLine="340" w:firstLineChars="20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14:paraId="58CC4740">
      <w:pPr>
        <w:numPr>
          <w:ilvl w:val="0"/>
          <w:numId w:val="8"/>
        </w:numPr>
        <w:spacing w:line="200" w:lineRule="exact"/>
        <w:ind w:firstLine="340" w:firstLineChars="200"/>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14:paraId="0BFD7FEB">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5E48F119">
      <w:pPr>
        <w:numPr>
          <w:ilvl w:val="0"/>
          <w:numId w:val="8"/>
        </w:numPr>
        <w:spacing w:line="200" w:lineRule="exact"/>
        <w:ind w:firstLine="340" w:firstLineChars="200"/>
        <w:rPr>
          <w:spacing w:val="10"/>
          <w:sz w:val="15"/>
          <w:szCs w:val="15"/>
        </w:rPr>
      </w:pPr>
      <w:r>
        <w:rPr>
          <w:rFonts w:hint="eastAsia"/>
          <w:spacing w:val="10"/>
          <w:sz w:val="15"/>
          <w:szCs w:val="15"/>
        </w:rPr>
        <w:t>法律法规规定及理财产品销售文件中约定的其他权利与义务。</w:t>
      </w:r>
    </w:p>
    <w:p w14:paraId="378FF38C">
      <w:pPr>
        <w:spacing w:line="200" w:lineRule="exact"/>
        <w:ind w:firstLine="340" w:firstLineChars="200"/>
        <w:rPr>
          <w:spacing w:val="10"/>
          <w:sz w:val="15"/>
          <w:szCs w:val="15"/>
        </w:rPr>
      </w:pPr>
      <w:r>
        <w:rPr>
          <w:b/>
          <w:bCs/>
          <w:spacing w:val="10"/>
          <w:sz w:val="15"/>
          <w:szCs w:val="15"/>
        </w:rPr>
        <w:t>5.</w:t>
      </w:r>
      <w:r>
        <w:rPr>
          <w:rFonts w:hint="eastAsia"/>
          <w:b/>
          <w:bCs/>
          <w:spacing w:val="10"/>
          <w:sz w:val="15"/>
          <w:szCs w:val="15"/>
        </w:rPr>
        <w:t>产品认购或申购、赎回</w:t>
      </w:r>
    </w:p>
    <w:p w14:paraId="702A0AB1">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14:paraId="562631B0">
      <w:pPr>
        <w:numPr>
          <w:ilvl w:val="0"/>
          <w:numId w:val="9"/>
        </w:numPr>
        <w:spacing w:line="200" w:lineRule="exact"/>
        <w:ind w:firstLine="340" w:firstLineChars="20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14:paraId="068D6273">
      <w:pPr>
        <w:numPr>
          <w:ilvl w:val="0"/>
          <w:numId w:val="9"/>
        </w:numPr>
        <w:spacing w:line="200" w:lineRule="exact"/>
        <w:ind w:firstLine="340" w:firstLineChars="20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14:paraId="3E894178">
      <w:pPr>
        <w:numPr>
          <w:ilvl w:val="0"/>
          <w:numId w:val="9"/>
        </w:numPr>
        <w:spacing w:line="200" w:lineRule="exact"/>
        <w:ind w:firstLine="340" w:firstLineChars="200"/>
        <w:rPr>
          <w:spacing w:val="10"/>
          <w:sz w:val="15"/>
          <w:szCs w:val="15"/>
        </w:rPr>
      </w:pPr>
      <w:r>
        <w:rPr>
          <w:rFonts w:hint="eastAsia"/>
          <w:spacing w:val="10"/>
          <w:sz w:val="15"/>
          <w:szCs w:val="15"/>
        </w:rPr>
        <w:t>理财产品投资品种、投资起点金额、收益支付方式：参照对应期次的《理财产品说明书》中的约定。</w:t>
      </w:r>
    </w:p>
    <w:p w14:paraId="02228D02">
      <w:pPr>
        <w:numPr>
          <w:ilvl w:val="0"/>
          <w:numId w:val="9"/>
        </w:numPr>
        <w:spacing w:line="200" w:lineRule="exact"/>
        <w:ind w:firstLine="340" w:firstLineChars="20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14:paraId="15FBB859">
      <w:pPr>
        <w:spacing w:line="200" w:lineRule="exact"/>
        <w:ind w:firstLine="340" w:firstLineChars="200"/>
        <w:rPr>
          <w:b/>
          <w:bCs/>
          <w:spacing w:val="10"/>
          <w:sz w:val="15"/>
          <w:szCs w:val="15"/>
        </w:rPr>
      </w:pPr>
      <w:r>
        <w:rPr>
          <w:b/>
          <w:bCs/>
          <w:spacing w:val="10"/>
          <w:sz w:val="15"/>
          <w:szCs w:val="15"/>
        </w:rPr>
        <w:t>6.</w:t>
      </w:r>
      <w:r>
        <w:rPr>
          <w:rFonts w:hint="eastAsia"/>
          <w:b/>
          <w:bCs/>
          <w:spacing w:val="10"/>
          <w:sz w:val="15"/>
          <w:szCs w:val="15"/>
        </w:rPr>
        <w:t>产品的终止</w:t>
      </w:r>
    </w:p>
    <w:p w14:paraId="17DF682C">
      <w:pPr>
        <w:spacing w:line="200" w:lineRule="exact"/>
        <w:ind w:firstLine="300" w:firstLineChars="2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14:paraId="79CFAF7E">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14:paraId="34AC9120">
      <w:pPr>
        <w:spacing w:line="200" w:lineRule="exact"/>
        <w:ind w:firstLine="340" w:firstLineChars="200"/>
        <w:rPr>
          <w:bCs/>
          <w:spacing w:val="10"/>
          <w:sz w:val="15"/>
          <w:szCs w:val="15"/>
        </w:rPr>
      </w:pPr>
      <w:r>
        <w:rPr>
          <w:rFonts w:hint="eastAsia"/>
          <w:bCs/>
          <w:spacing w:val="10"/>
          <w:sz w:val="15"/>
          <w:szCs w:val="15"/>
        </w:rPr>
        <w:t>在理财产品存续期内，如发生以下事项时，南银理财可对本理财产品行使全部提前终止权：</w:t>
      </w:r>
    </w:p>
    <w:p w14:paraId="67A815C3">
      <w:pPr>
        <w:pStyle w:val="6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14:paraId="087752DB">
      <w:pPr>
        <w:pStyle w:val="6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14:paraId="1B79FA07">
      <w:pPr>
        <w:pStyle w:val="6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14:paraId="3C53BBF5">
      <w:pPr>
        <w:pStyle w:val="6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14:paraId="40912A73">
      <w:pPr>
        <w:pStyle w:val="6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14:paraId="272EBE27">
      <w:pPr>
        <w:pStyle w:val="6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14:paraId="2B212253">
      <w:pPr>
        <w:pStyle w:val="6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14:paraId="18FC6E05">
      <w:pPr>
        <w:pStyle w:val="6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14:paraId="723E734C">
      <w:pPr>
        <w:pStyle w:val="61"/>
        <w:numPr>
          <w:ilvl w:val="0"/>
          <w:numId w:val="10"/>
        </w:numPr>
        <w:spacing w:line="200" w:lineRule="exact"/>
        <w:ind w:firstLineChars="0"/>
        <w:rPr>
          <w:bCs/>
          <w:spacing w:val="10"/>
          <w:sz w:val="15"/>
          <w:szCs w:val="15"/>
        </w:rPr>
      </w:pPr>
      <w:r>
        <w:rPr>
          <w:rFonts w:hint="eastAsia"/>
          <w:bCs/>
          <w:spacing w:val="10"/>
          <w:sz w:val="15"/>
          <w:szCs w:val="15"/>
        </w:rPr>
        <w:t>南银理财合理认为应该提前终止本理财产品的其他情况。</w:t>
      </w:r>
    </w:p>
    <w:p w14:paraId="0A7D0D2C">
      <w:pPr>
        <w:pStyle w:val="61"/>
        <w:spacing w:line="200" w:lineRule="exact"/>
        <w:ind w:left="340" w:firstLine="0" w:firstLineChars="0"/>
        <w:rPr>
          <w:bCs/>
          <w:spacing w:val="10"/>
          <w:sz w:val="15"/>
          <w:szCs w:val="15"/>
        </w:rPr>
      </w:pPr>
      <w:r>
        <w:rPr>
          <w:rFonts w:hint="eastAsia"/>
          <w:bCs/>
          <w:spacing w:val="10"/>
          <w:sz w:val="15"/>
          <w:szCs w:val="15"/>
        </w:rPr>
        <w:t>南银理财如提前终止本理财产品，应根据本理财产品销售文件约定的方式进行信息披露。</w:t>
      </w:r>
    </w:p>
    <w:p w14:paraId="04F40EAB">
      <w:pPr>
        <w:spacing w:line="200" w:lineRule="exact"/>
        <w:ind w:firstLine="340" w:firstLineChars="200"/>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14:paraId="0A9B2BA6">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14:paraId="2A391883">
      <w:pPr>
        <w:pStyle w:val="61"/>
        <w:numPr>
          <w:ilvl w:val="0"/>
          <w:numId w:val="11"/>
        </w:numPr>
        <w:spacing w:line="200" w:lineRule="exact"/>
        <w:ind w:firstLineChars="0"/>
        <w:rPr>
          <w:bCs/>
          <w:spacing w:val="10"/>
          <w:sz w:val="15"/>
          <w:szCs w:val="15"/>
        </w:rPr>
      </w:pPr>
      <w:r>
        <w:rPr>
          <w:rFonts w:hint="eastAsia"/>
          <w:bCs/>
          <w:spacing w:val="10"/>
          <w:sz w:val="15"/>
          <w:szCs w:val="15"/>
        </w:rPr>
        <w:t>产品到期日遇非工作日，产品到期日顺延至下一工作日；</w:t>
      </w:r>
    </w:p>
    <w:p w14:paraId="1919422B">
      <w:pPr>
        <w:pStyle w:val="6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14:paraId="3E4C07EA">
      <w:pPr>
        <w:pStyle w:val="6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14:paraId="4413ACA7">
      <w:pPr>
        <w:pStyle w:val="6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14:paraId="3B9E6056">
      <w:pPr>
        <w:pStyle w:val="6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14:paraId="561EBB53">
      <w:pPr>
        <w:pStyle w:val="6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14:paraId="28073170">
      <w:pPr>
        <w:pStyle w:val="6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14:paraId="3499C22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14:paraId="3A58EBDB">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14:paraId="59231D07">
      <w:pPr>
        <w:spacing w:line="200" w:lineRule="exact"/>
        <w:ind w:firstLine="340" w:firstLineChars="200"/>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14:paraId="11A0786C">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w:t>
      </w:r>
    </w:p>
    <w:p w14:paraId="648C05D5">
      <w:pPr>
        <w:spacing w:line="200" w:lineRule="exact"/>
        <w:ind w:firstLine="340" w:firstLineChars="20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14:paraId="20367D98">
      <w:pPr>
        <w:spacing w:line="200" w:lineRule="exact"/>
        <w:ind w:firstLine="340" w:firstLineChars="200"/>
        <w:rPr>
          <w:b/>
          <w:bCs/>
          <w:spacing w:val="10"/>
          <w:sz w:val="15"/>
          <w:szCs w:val="15"/>
        </w:rPr>
      </w:pPr>
      <w:r>
        <w:rPr>
          <w:b/>
          <w:bCs/>
          <w:spacing w:val="10"/>
          <w:sz w:val="15"/>
          <w:szCs w:val="15"/>
        </w:rPr>
        <w:t>8.</w:t>
      </w:r>
      <w:r>
        <w:rPr>
          <w:rFonts w:hint="eastAsia"/>
          <w:b/>
          <w:bCs/>
          <w:spacing w:val="10"/>
          <w:sz w:val="15"/>
          <w:szCs w:val="15"/>
        </w:rPr>
        <w:t>特别提示</w:t>
      </w:r>
    </w:p>
    <w:p w14:paraId="2137BFFA">
      <w:pPr>
        <w:spacing w:line="200" w:lineRule="exact"/>
        <w:ind w:firstLine="340" w:firstLineChars="200"/>
        <w:rPr>
          <w:b/>
          <w:spacing w:val="10"/>
          <w:sz w:val="15"/>
          <w:szCs w:val="15"/>
        </w:rPr>
      </w:pPr>
      <w:r>
        <w:rPr>
          <w:rFonts w:hint="eastAsia"/>
          <w:b/>
          <w:spacing w:val="10"/>
          <w:sz w:val="15"/>
          <w:szCs w:val="15"/>
        </w:rPr>
        <w:t>在本理财产品存续期内：</w:t>
      </w:r>
    </w:p>
    <w:p w14:paraId="021CA1F4">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6B15A5CC">
      <w:pPr>
        <w:numPr>
          <w:ilvl w:val="0"/>
          <w:numId w:val="12"/>
        </w:numPr>
        <w:spacing w:line="200" w:lineRule="exact"/>
        <w:ind w:firstLine="340" w:firstLineChars="200"/>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0948F1F3">
      <w:pPr>
        <w:numPr>
          <w:ilvl w:val="0"/>
          <w:numId w:val="12"/>
        </w:numPr>
        <w:spacing w:line="200" w:lineRule="exact"/>
        <w:ind w:firstLine="340" w:firstLineChars="200"/>
        <w:rPr>
          <w:b/>
          <w:bCs/>
          <w:spacing w:val="10"/>
          <w:sz w:val="15"/>
          <w:szCs w:val="15"/>
        </w:rPr>
      </w:pPr>
      <w:r>
        <w:rPr>
          <w:rFonts w:hint="eastAsia"/>
          <w:b/>
          <w:bCs/>
          <w:spacing w:val="10"/>
          <w:sz w:val="15"/>
          <w:szCs w:val="15"/>
        </w:rPr>
        <w:t>免责条款</w:t>
      </w:r>
    </w:p>
    <w:p w14:paraId="2484FBE1">
      <w:pPr>
        <w:pStyle w:val="6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14:paraId="221FB7B9">
      <w:pPr>
        <w:pStyle w:val="6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顺延至紧临的下一个不存在不可抗力的工作日。乙方将不会因此而收到额外的收益或者补偿。</w:t>
      </w:r>
    </w:p>
    <w:p w14:paraId="0F47802C">
      <w:pPr>
        <w:pStyle w:val="6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14:paraId="1539E9A1">
      <w:pPr>
        <w:pStyle w:val="6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14:paraId="423F8109">
      <w:pPr>
        <w:numPr>
          <w:ilvl w:val="0"/>
          <w:numId w:val="12"/>
        </w:numPr>
        <w:spacing w:line="200" w:lineRule="exact"/>
        <w:ind w:firstLine="340" w:firstLineChars="200"/>
        <w:rPr>
          <w:spacing w:val="10"/>
          <w:sz w:val="15"/>
          <w:szCs w:val="15"/>
        </w:rPr>
      </w:pPr>
      <w:r>
        <w:rPr>
          <w:rFonts w:hint="eastAsia"/>
          <w:bCs/>
          <w:spacing w:val="10"/>
          <w:sz w:val="15"/>
          <w:szCs w:val="15"/>
        </w:rPr>
        <w:t>赔偿</w:t>
      </w:r>
      <w:r>
        <w:rPr>
          <w:rFonts w:hint="eastAsia"/>
          <w:spacing w:val="10"/>
          <w:sz w:val="15"/>
          <w:szCs w:val="15"/>
        </w:rPr>
        <w:t>及责任限制</w:t>
      </w:r>
    </w:p>
    <w:p w14:paraId="7A619515">
      <w:pPr>
        <w:spacing w:line="200" w:lineRule="exact"/>
        <w:ind w:firstLine="340" w:firstLineChars="20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14:paraId="1EC00B8A">
      <w:pPr>
        <w:spacing w:line="200" w:lineRule="exact"/>
        <w:ind w:firstLine="340" w:firstLineChars="200"/>
        <w:rPr>
          <w:spacing w:val="10"/>
          <w:sz w:val="15"/>
          <w:szCs w:val="15"/>
        </w:rPr>
      </w:pPr>
      <w:r>
        <w:rPr>
          <w:rFonts w:hint="eastAsia"/>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14:paraId="58BC86D0">
      <w:pPr>
        <w:numPr>
          <w:ilvl w:val="0"/>
          <w:numId w:val="12"/>
        </w:numPr>
        <w:spacing w:line="200" w:lineRule="exact"/>
        <w:ind w:firstLine="340" w:firstLineChars="200"/>
        <w:rPr>
          <w:spacing w:val="10"/>
          <w:sz w:val="15"/>
          <w:szCs w:val="15"/>
        </w:rPr>
      </w:pPr>
      <w:r>
        <w:rPr>
          <w:rFonts w:hint="eastAsia"/>
          <w:bCs/>
          <w:spacing w:val="10"/>
          <w:sz w:val="15"/>
          <w:szCs w:val="15"/>
        </w:rPr>
        <w:t>抵销</w:t>
      </w:r>
    </w:p>
    <w:p w14:paraId="228C269D">
      <w:pPr>
        <w:pStyle w:val="61"/>
        <w:numPr>
          <w:ilvl w:val="0"/>
          <w:numId w:val="14"/>
        </w:numPr>
        <w:spacing w:line="200" w:lineRule="exact"/>
        <w:ind w:firstLineChars="0"/>
        <w:rPr>
          <w:bCs/>
          <w:spacing w:val="10"/>
          <w:sz w:val="15"/>
          <w:szCs w:val="15"/>
        </w:rPr>
      </w:pPr>
      <w:r>
        <w:rPr>
          <w:rFonts w:hint="eastAsia"/>
          <w:b/>
          <w:spacing w:val="10"/>
          <w:sz w:val="15"/>
          <w:szCs w:val="15"/>
        </w:rPr>
        <w:t>除享有法律规定的或其他的抵销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抵销，而无须事先书面通知乙方或任何其他人员</w:t>
      </w:r>
      <w:r>
        <w:rPr>
          <w:rFonts w:hint="eastAsia"/>
          <w:bCs/>
          <w:spacing w:val="10"/>
          <w:sz w:val="15"/>
          <w:szCs w:val="15"/>
        </w:rPr>
        <w:t>。</w:t>
      </w:r>
    </w:p>
    <w:p w14:paraId="3AC81578">
      <w:pPr>
        <w:pStyle w:val="61"/>
        <w:numPr>
          <w:ilvl w:val="0"/>
          <w:numId w:val="14"/>
        </w:numPr>
        <w:spacing w:line="200" w:lineRule="exact"/>
        <w:ind w:firstLineChars="0"/>
        <w:rPr>
          <w:bCs/>
          <w:spacing w:val="10"/>
          <w:sz w:val="15"/>
          <w:szCs w:val="15"/>
        </w:rPr>
      </w:pPr>
      <w:r>
        <w:rPr>
          <w:rFonts w:hint="eastAsia"/>
          <w:bCs/>
          <w:spacing w:val="10"/>
          <w:sz w:val="15"/>
          <w:szCs w:val="15"/>
        </w:rPr>
        <w:t>为了对不同货币进行抵销，甲方可在有关日期以甲方所选择适用的市场汇率将乙方的债务予以兑换。如果债务尚未确定，则甲方可估计该债务的数额后进行抵销，但甲方须在该债务得以确定时向乙方支付差额。</w:t>
      </w:r>
    </w:p>
    <w:p w14:paraId="0E1B49DA">
      <w:pPr>
        <w:numPr>
          <w:ilvl w:val="0"/>
          <w:numId w:val="12"/>
        </w:numPr>
        <w:spacing w:line="200" w:lineRule="exact"/>
        <w:ind w:firstLine="340" w:firstLineChars="200"/>
        <w:rPr>
          <w:spacing w:val="10"/>
          <w:sz w:val="15"/>
          <w:szCs w:val="15"/>
        </w:rPr>
      </w:pPr>
      <w:r>
        <w:rPr>
          <w:rFonts w:hint="eastAsia"/>
          <w:bCs/>
          <w:spacing w:val="10"/>
          <w:sz w:val="15"/>
          <w:szCs w:val="15"/>
        </w:rPr>
        <w:t>弃权</w:t>
      </w:r>
    </w:p>
    <w:p w14:paraId="5C905F81">
      <w:pPr>
        <w:spacing w:line="200" w:lineRule="exact"/>
        <w:ind w:firstLine="340" w:firstLineChars="20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14:paraId="0AB1A3D4">
      <w:pPr>
        <w:numPr>
          <w:ilvl w:val="0"/>
          <w:numId w:val="12"/>
        </w:numPr>
        <w:spacing w:line="200" w:lineRule="exact"/>
        <w:ind w:firstLine="340" w:firstLineChars="200"/>
        <w:rPr>
          <w:spacing w:val="10"/>
          <w:sz w:val="15"/>
          <w:szCs w:val="15"/>
        </w:rPr>
      </w:pPr>
      <w:r>
        <w:rPr>
          <w:rFonts w:hint="eastAsia"/>
          <w:spacing w:val="10"/>
          <w:sz w:val="15"/>
          <w:szCs w:val="15"/>
        </w:rPr>
        <w:t>可分割性</w:t>
      </w:r>
    </w:p>
    <w:p w14:paraId="753C5EE5">
      <w:pPr>
        <w:spacing w:line="200" w:lineRule="exact"/>
        <w:ind w:firstLine="340" w:firstLineChars="20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14:paraId="3B3DDD5F">
      <w:pPr>
        <w:numPr>
          <w:ilvl w:val="0"/>
          <w:numId w:val="12"/>
        </w:numPr>
        <w:spacing w:line="200" w:lineRule="exact"/>
        <w:ind w:firstLine="340" w:firstLineChars="200"/>
        <w:rPr>
          <w:spacing w:val="10"/>
          <w:sz w:val="15"/>
          <w:szCs w:val="15"/>
        </w:rPr>
      </w:pPr>
      <w:r>
        <w:rPr>
          <w:rFonts w:hint="eastAsia"/>
          <w:spacing w:val="10"/>
          <w:sz w:val="15"/>
          <w:szCs w:val="15"/>
        </w:rPr>
        <w:t>税收条款</w:t>
      </w:r>
    </w:p>
    <w:p w14:paraId="5C1E581D">
      <w:pPr>
        <w:spacing w:line="200" w:lineRule="exact"/>
        <w:ind w:firstLine="340" w:firstLineChars="200"/>
        <w:rPr>
          <w:spacing w:val="10"/>
          <w:sz w:val="15"/>
          <w:szCs w:val="15"/>
        </w:rPr>
      </w:pPr>
      <w:r>
        <w:rPr>
          <w:rFonts w:hint="eastAsia"/>
          <w:spacing w:val="10"/>
          <w:sz w:val="15"/>
          <w:szCs w:val="15"/>
        </w:rPr>
        <w:t>以对应期次的《理财产品说明书》约定的税务处理方式为准，如遇国家政策调整则相应执行最新政策。</w:t>
      </w:r>
    </w:p>
    <w:p w14:paraId="2EB3E215">
      <w:pPr>
        <w:spacing w:line="200" w:lineRule="exact"/>
        <w:ind w:firstLine="340" w:firstLineChars="200"/>
        <w:rPr>
          <w:spacing w:val="10"/>
          <w:sz w:val="15"/>
          <w:szCs w:val="15"/>
        </w:rPr>
      </w:pPr>
      <w:r>
        <w:rPr>
          <w:b/>
          <w:bCs/>
          <w:spacing w:val="10"/>
          <w:sz w:val="15"/>
          <w:szCs w:val="15"/>
        </w:rPr>
        <w:t>9.</w:t>
      </w:r>
      <w:r>
        <w:rPr>
          <w:rFonts w:hint="eastAsia"/>
          <w:b/>
          <w:bCs/>
          <w:spacing w:val="10"/>
          <w:sz w:val="15"/>
          <w:szCs w:val="15"/>
        </w:rPr>
        <w:t>争议处理</w:t>
      </w:r>
    </w:p>
    <w:p w14:paraId="4D6CC848">
      <w:pPr>
        <w:spacing w:line="200" w:lineRule="exact"/>
        <w:ind w:firstLine="340" w:firstLineChars="20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14:paraId="69A98AE5">
      <w:pPr>
        <w:spacing w:line="200" w:lineRule="exact"/>
        <w:ind w:firstLine="340" w:firstLineChars="200"/>
        <w:rPr>
          <w:b/>
          <w:bCs/>
          <w:spacing w:val="10"/>
          <w:sz w:val="15"/>
          <w:szCs w:val="15"/>
        </w:rPr>
      </w:pPr>
      <w:r>
        <w:rPr>
          <w:b/>
          <w:bCs/>
          <w:spacing w:val="10"/>
          <w:sz w:val="15"/>
          <w:szCs w:val="15"/>
        </w:rPr>
        <w:t>10.</w:t>
      </w:r>
      <w:r>
        <w:rPr>
          <w:rFonts w:hint="eastAsia"/>
          <w:b/>
          <w:bCs/>
          <w:spacing w:val="10"/>
          <w:sz w:val="15"/>
          <w:szCs w:val="15"/>
        </w:rPr>
        <w:t>协议的生效和终止</w:t>
      </w:r>
    </w:p>
    <w:p w14:paraId="42765DE2">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54078395">
      <w:pPr>
        <w:spacing w:line="200" w:lineRule="exact"/>
        <w:ind w:firstLine="340" w:firstLineChars="20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14:paraId="06C92493">
      <w:pPr>
        <w:numPr>
          <w:ilvl w:val="0"/>
          <w:numId w:val="15"/>
        </w:numPr>
        <w:spacing w:line="200" w:lineRule="exact"/>
        <w:ind w:firstLine="340" w:firstLineChars="20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14:paraId="402157C4">
      <w:pPr>
        <w:numPr>
          <w:ilvl w:val="0"/>
          <w:numId w:val="15"/>
        </w:numPr>
        <w:spacing w:line="200" w:lineRule="exact"/>
        <w:ind w:firstLine="340" w:firstLineChars="20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14:paraId="1ADDC5C2">
      <w:pPr>
        <w:spacing w:line="200" w:lineRule="exact"/>
        <w:ind w:firstLine="340" w:firstLineChars="200"/>
        <w:rPr>
          <w:b/>
          <w:bCs/>
          <w:spacing w:val="10"/>
          <w:sz w:val="15"/>
          <w:szCs w:val="15"/>
        </w:rPr>
      </w:pPr>
      <w:r>
        <w:rPr>
          <w:b/>
          <w:bCs/>
          <w:spacing w:val="10"/>
          <w:sz w:val="15"/>
          <w:szCs w:val="15"/>
        </w:rPr>
        <w:t>11.</w:t>
      </w:r>
      <w:r>
        <w:rPr>
          <w:rFonts w:hint="eastAsia"/>
          <w:b/>
          <w:bCs/>
          <w:spacing w:val="10"/>
          <w:sz w:val="15"/>
          <w:szCs w:val="15"/>
        </w:rPr>
        <w:t>乙方声明</w:t>
      </w:r>
    </w:p>
    <w:p w14:paraId="0AF2F174">
      <w:pPr>
        <w:spacing w:line="200" w:lineRule="exact"/>
        <w:ind w:firstLine="340" w:firstLineChars="200"/>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14:paraId="407F276A">
      <w:pPr>
        <w:spacing w:line="200" w:lineRule="exact"/>
        <w:ind w:firstLine="340" w:firstLineChars="200"/>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14:paraId="691FD679">
      <w:pPr>
        <w:spacing w:line="200" w:lineRule="exact"/>
        <w:ind w:firstLine="340" w:firstLineChars="200"/>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14:paraId="7F6A2B02">
      <w:pPr>
        <w:spacing w:line="200" w:lineRule="exact"/>
        <w:ind w:firstLine="340" w:firstLineChars="200"/>
        <w:rPr>
          <w:spacing w:val="10"/>
          <w:sz w:val="15"/>
          <w:szCs w:val="15"/>
        </w:rPr>
      </w:pPr>
    </w:p>
    <w:p w14:paraId="665343DF">
      <w:pPr>
        <w:spacing w:line="200" w:lineRule="exact"/>
        <w:ind w:firstLine="340" w:firstLineChars="200"/>
        <w:rPr>
          <w:spacing w:val="10"/>
          <w:sz w:val="15"/>
          <w:szCs w:val="15"/>
        </w:rPr>
      </w:pPr>
    </w:p>
    <w:tbl>
      <w:tblPr>
        <w:tblStyle w:val="15"/>
        <w:tblW w:w="0" w:type="dxa"/>
        <w:jc w:val="center"/>
        <w:tblLayout w:type="fixed"/>
        <w:tblCellMar>
          <w:top w:w="0" w:type="dxa"/>
          <w:left w:w="108" w:type="dxa"/>
          <w:bottom w:w="0" w:type="dxa"/>
          <w:right w:w="108" w:type="dxa"/>
        </w:tblCellMar>
      </w:tblPr>
      <w:tblGrid>
        <w:gridCol w:w="4812"/>
        <w:gridCol w:w="4713"/>
      </w:tblGrid>
      <w:tr w14:paraId="50D640D2">
        <w:tblPrEx>
          <w:tblCellMar>
            <w:top w:w="0" w:type="dxa"/>
            <w:left w:w="108" w:type="dxa"/>
            <w:bottom w:w="0" w:type="dxa"/>
            <w:right w:w="108" w:type="dxa"/>
          </w:tblCellMar>
        </w:tblPrEx>
        <w:trPr>
          <w:jc w:val="center"/>
        </w:trPr>
        <w:tc>
          <w:tcPr>
            <w:tcW w:w="4812" w:type="dxa"/>
          </w:tcPr>
          <w:p w14:paraId="090D3710">
            <w:pPr>
              <w:spacing w:line="200" w:lineRule="exact"/>
              <w:rPr>
                <w:spacing w:val="10"/>
                <w:sz w:val="15"/>
                <w:szCs w:val="15"/>
              </w:rPr>
            </w:pPr>
            <w:r>
              <w:rPr>
                <w:rFonts w:hint="eastAsia"/>
                <w:spacing w:val="10"/>
                <w:sz w:val="15"/>
                <w:szCs w:val="15"/>
              </w:rPr>
              <w:t>个人投资者（如适用）：</w:t>
            </w:r>
          </w:p>
        </w:tc>
        <w:tc>
          <w:tcPr>
            <w:tcW w:w="4713" w:type="dxa"/>
          </w:tcPr>
          <w:p w14:paraId="1E8EA10A">
            <w:pPr>
              <w:spacing w:line="200" w:lineRule="exact"/>
              <w:rPr>
                <w:spacing w:val="10"/>
                <w:sz w:val="15"/>
                <w:szCs w:val="15"/>
              </w:rPr>
            </w:pPr>
            <w:r>
              <w:rPr>
                <w:rFonts w:hint="eastAsia"/>
                <w:spacing w:val="10"/>
                <w:sz w:val="15"/>
                <w:szCs w:val="15"/>
              </w:rPr>
              <w:t>机构投资者（如适用）：</w:t>
            </w:r>
          </w:p>
        </w:tc>
      </w:tr>
      <w:tr w14:paraId="4E03D910">
        <w:tblPrEx>
          <w:tblCellMar>
            <w:top w:w="0" w:type="dxa"/>
            <w:left w:w="108" w:type="dxa"/>
            <w:bottom w:w="0" w:type="dxa"/>
            <w:right w:w="108" w:type="dxa"/>
          </w:tblCellMar>
        </w:tblPrEx>
        <w:trPr>
          <w:jc w:val="center"/>
        </w:trPr>
        <w:tc>
          <w:tcPr>
            <w:tcW w:w="4812" w:type="dxa"/>
          </w:tcPr>
          <w:p w14:paraId="0198CB1D">
            <w:pPr>
              <w:spacing w:line="200" w:lineRule="exact"/>
              <w:ind w:firstLine="340" w:firstLineChars="200"/>
              <w:rPr>
                <w:spacing w:val="10"/>
                <w:sz w:val="15"/>
                <w:szCs w:val="15"/>
              </w:rPr>
            </w:pPr>
          </w:p>
          <w:p w14:paraId="0B3FDAF8">
            <w:pPr>
              <w:spacing w:line="200" w:lineRule="exact"/>
              <w:rPr>
                <w:spacing w:val="10"/>
                <w:sz w:val="15"/>
                <w:szCs w:val="15"/>
              </w:rPr>
            </w:pPr>
            <w:r>
              <w:rPr>
                <w:rFonts w:hint="eastAsia"/>
                <w:spacing w:val="10"/>
                <w:sz w:val="15"/>
                <w:szCs w:val="15"/>
              </w:rPr>
              <w:t>投资者：（签名）</w:t>
            </w:r>
          </w:p>
          <w:p w14:paraId="05F8F601">
            <w:pPr>
              <w:spacing w:line="200" w:lineRule="exact"/>
              <w:ind w:firstLine="680" w:firstLineChars="400"/>
              <w:rPr>
                <w:spacing w:val="10"/>
                <w:sz w:val="15"/>
                <w:szCs w:val="15"/>
              </w:rPr>
            </w:pPr>
          </w:p>
          <w:p w14:paraId="187855E7">
            <w:pPr>
              <w:spacing w:line="200" w:lineRule="exact"/>
              <w:ind w:firstLine="850" w:firstLineChars="500"/>
              <w:rPr>
                <w:spacing w:val="10"/>
                <w:sz w:val="15"/>
                <w:szCs w:val="15"/>
              </w:rPr>
            </w:pPr>
          </w:p>
          <w:p w14:paraId="63524500">
            <w:pPr>
              <w:spacing w:line="200" w:lineRule="exact"/>
              <w:ind w:firstLine="850" w:firstLineChars="500"/>
              <w:rPr>
                <w:spacing w:val="10"/>
                <w:sz w:val="15"/>
                <w:szCs w:val="15"/>
              </w:rPr>
            </w:pPr>
            <w:r>
              <w:rPr>
                <w:rFonts w:hint="eastAsia"/>
                <w:spacing w:val="10"/>
                <w:sz w:val="15"/>
                <w:szCs w:val="15"/>
              </w:rPr>
              <w:t>年月日</w:t>
            </w:r>
          </w:p>
        </w:tc>
        <w:tc>
          <w:tcPr>
            <w:tcW w:w="4713" w:type="dxa"/>
          </w:tcPr>
          <w:p w14:paraId="43F7A8DE">
            <w:pPr>
              <w:spacing w:line="200" w:lineRule="exact"/>
              <w:ind w:firstLine="340" w:firstLineChars="200"/>
              <w:rPr>
                <w:spacing w:val="10"/>
                <w:sz w:val="15"/>
                <w:szCs w:val="15"/>
              </w:rPr>
            </w:pPr>
          </w:p>
          <w:p w14:paraId="0D60252C">
            <w:pPr>
              <w:spacing w:line="200" w:lineRule="exact"/>
              <w:rPr>
                <w:spacing w:val="10"/>
                <w:sz w:val="15"/>
                <w:szCs w:val="15"/>
              </w:rPr>
            </w:pPr>
            <w:r>
              <w:rPr>
                <w:rFonts w:hint="eastAsia"/>
                <w:spacing w:val="10"/>
                <w:sz w:val="15"/>
                <w:szCs w:val="15"/>
              </w:rPr>
              <w:t>投资者：（公章或合同专用章）</w:t>
            </w:r>
          </w:p>
          <w:p w14:paraId="3D221425">
            <w:pPr>
              <w:spacing w:line="200" w:lineRule="exact"/>
              <w:rPr>
                <w:spacing w:val="10"/>
                <w:sz w:val="15"/>
                <w:szCs w:val="15"/>
              </w:rPr>
            </w:pPr>
          </w:p>
          <w:p w14:paraId="76A077FB">
            <w:pPr>
              <w:spacing w:line="200" w:lineRule="exact"/>
              <w:rPr>
                <w:spacing w:val="10"/>
                <w:sz w:val="15"/>
                <w:szCs w:val="15"/>
              </w:rPr>
            </w:pPr>
          </w:p>
          <w:p w14:paraId="5D6E8DCE">
            <w:pPr>
              <w:spacing w:line="200" w:lineRule="exact"/>
              <w:rPr>
                <w:spacing w:val="10"/>
                <w:sz w:val="15"/>
                <w:szCs w:val="15"/>
              </w:rPr>
            </w:pPr>
            <w:r>
              <w:rPr>
                <w:rFonts w:hint="eastAsia"/>
                <w:spacing w:val="10"/>
                <w:sz w:val="15"/>
                <w:szCs w:val="15"/>
              </w:rPr>
              <w:t>法定代表人或授权代理人：（签名或盖章）</w:t>
            </w:r>
          </w:p>
          <w:p w14:paraId="08BCEB7C">
            <w:pPr>
              <w:spacing w:line="200" w:lineRule="exact"/>
              <w:ind w:firstLine="680" w:firstLineChars="400"/>
              <w:rPr>
                <w:spacing w:val="10"/>
                <w:sz w:val="15"/>
                <w:szCs w:val="15"/>
              </w:rPr>
            </w:pPr>
          </w:p>
          <w:p w14:paraId="7A0BAE11">
            <w:pPr>
              <w:spacing w:line="200" w:lineRule="exact"/>
              <w:ind w:firstLine="680" w:firstLineChars="400"/>
              <w:rPr>
                <w:spacing w:val="10"/>
                <w:sz w:val="15"/>
                <w:szCs w:val="15"/>
              </w:rPr>
            </w:pPr>
            <w:r>
              <w:rPr>
                <w:rFonts w:hint="eastAsia"/>
                <w:spacing w:val="10"/>
                <w:sz w:val="15"/>
                <w:szCs w:val="15"/>
              </w:rPr>
              <w:t>年月日</w:t>
            </w:r>
          </w:p>
        </w:tc>
      </w:tr>
    </w:tbl>
    <w:p w14:paraId="43008D33">
      <w:pPr>
        <w:spacing w:line="200" w:lineRule="exact"/>
        <w:rPr>
          <w:rFonts w:ascii="Times New Roman" w:hAnsi="Times New Roman"/>
          <w:spacing w:val="10"/>
          <w:sz w:val="15"/>
          <w:szCs w:val="15"/>
        </w:rPr>
      </w:pPr>
    </w:p>
    <w:p w14:paraId="169075EC">
      <w:pPr>
        <w:widowControl/>
        <w:spacing w:line="360" w:lineRule="auto"/>
        <w:jc w:val="left"/>
        <w:rPr>
          <w:kern w:val="0"/>
        </w:rPr>
        <w:sectPr>
          <w:pgSz w:w="11906" w:h="16838"/>
          <w:pgMar w:top="720" w:right="720" w:bottom="720" w:left="720" w:header="851" w:footer="992" w:gutter="0"/>
          <w:cols w:space="720" w:num="1"/>
          <w:docGrid w:type="lines" w:linePitch="312" w:charSpace="0"/>
        </w:sectPr>
      </w:pPr>
    </w:p>
    <w:p w14:paraId="0EF70502">
      <w:pPr>
        <w:pStyle w:val="62"/>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14:paraId="516A3139">
      <w:pPr>
        <w:pStyle w:val="62"/>
        <w:spacing w:line="360" w:lineRule="auto"/>
        <w:ind w:firstLine="400"/>
        <w:rPr>
          <w:rFonts w:hint="eastAsia"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14:paraId="6A6ED983">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一、重要提示</w:t>
      </w:r>
    </w:p>
    <w:p w14:paraId="02851236">
      <w:pPr>
        <w:pStyle w:val="62"/>
        <w:spacing w:line="360" w:lineRule="auto"/>
        <w:ind w:firstLine="440" w:firstLineChars="0"/>
        <w:rPr>
          <w:rFonts w:hint="eastAsia"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理财产品面临的风险详见对应期次《理财产品风险揭示书》和《理财产品说明书》的详细条款，乙方应仔细阅读并充分理解对应期次理财产品可能发生的风险。</w:t>
      </w:r>
    </w:p>
    <w:p w14:paraId="0BC2E25E">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14:paraId="27E47E39">
      <w:pPr>
        <w:pStyle w:val="62"/>
        <w:spacing w:line="360" w:lineRule="auto"/>
        <w:ind w:firstLine="402"/>
        <w:rPr>
          <w:rFonts w:hint="eastAsia" w:ascii="宋体" w:hAnsi="宋体" w:cs="宋体"/>
          <w:b/>
          <w:sz w:val="20"/>
          <w:szCs w:val="21"/>
        </w:rPr>
      </w:pPr>
      <w:r>
        <w:rPr>
          <w:rFonts w:hint="eastAsia" w:ascii="宋体" w:hAnsi="宋体" w:cs="宋体"/>
          <w:b/>
          <w:sz w:val="20"/>
          <w:szCs w:val="21"/>
        </w:rPr>
        <w:t>二、双方权利与义务</w:t>
      </w:r>
    </w:p>
    <w:p w14:paraId="18C66F65">
      <w:pPr>
        <w:pStyle w:val="62"/>
        <w:spacing w:line="360" w:lineRule="auto"/>
        <w:ind w:firstLine="400"/>
        <w:rPr>
          <w:rFonts w:hint="eastAsia" w:ascii="宋体" w:hAnsi="宋体" w:cs="宋体"/>
          <w:sz w:val="20"/>
          <w:szCs w:val="21"/>
        </w:rPr>
      </w:pPr>
      <w:r>
        <w:rPr>
          <w:rFonts w:hint="eastAsia" w:ascii="宋体" w:hAnsi="宋体" w:cs="宋体"/>
          <w:sz w:val="20"/>
          <w:szCs w:val="21"/>
        </w:rPr>
        <w:t>（一）甲方的权利与义务</w:t>
      </w:r>
    </w:p>
    <w:p w14:paraId="47CCD45B">
      <w:pPr>
        <w:pStyle w:val="62"/>
        <w:spacing w:line="360" w:lineRule="auto"/>
        <w:ind w:firstLine="400"/>
        <w:rPr>
          <w:rFonts w:hint="eastAsia" w:ascii="宋体" w:hAnsi="宋体" w:cs="宋体"/>
          <w:sz w:val="20"/>
          <w:szCs w:val="21"/>
        </w:rPr>
      </w:pPr>
      <w:r>
        <w:rPr>
          <w:rFonts w:hint="eastAsia" w:ascii="宋体" w:hAnsi="宋体" w:cs="宋体"/>
          <w:sz w:val="20"/>
          <w:szCs w:val="21"/>
        </w:rPr>
        <w:t>1.甲方应当履行恪尽职守、勤勉尽责、诚实守信、有效管理的义务。</w:t>
      </w:r>
    </w:p>
    <w:p w14:paraId="0742028E">
      <w:pPr>
        <w:pStyle w:val="62"/>
        <w:spacing w:line="360" w:lineRule="auto"/>
        <w:ind w:firstLine="400"/>
        <w:rPr>
          <w:rFonts w:hint="eastAsia" w:ascii="宋体" w:hAnsi="宋体" w:cs="宋体"/>
          <w:sz w:val="20"/>
          <w:szCs w:val="21"/>
        </w:rPr>
      </w:pPr>
      <w:r>
        <w:rPr>
          <w:rFonts w:hint="eastAsia" w:ascii="宋体" w:hAnsi="宋体" w:cs="宋体"/>
          <w:sz w:val="20"/>
          <w:szCs w:val="21"/>
        </w:rPr>
        <w:t>2.按照法律法规及对应期次《理财产品说明书》约定的投资范围和权限内，甲方拥有管理和运用理财资金的权利。</w:t>
      </w:r>
    </w:p>
    <w:p w14:paraId="706E1852">
      <w:pPr>
        <w:pStyle w:val="62"/>
        <w:spacing w:line="360" w:lineRule="auto"/>
        <w:ind w:firstLine="400"/>
        <w:rPr>
          <w:rFonts w:hint="eastAsia" w:ascii="宋体" w:hAnsi="宋体" w:cs="宋体"/>
          <w:sz w:val="20"/>
          <w:szCs w:val="21"/>
        </w:rPr>
      </w:pPr>
      <w:r>
        <w:rPr>
          <w:rFonts w:hint="eastAsia" w:ascii="宋体" w:hAnsi="宋体" w:cs="宋体"/>
          <w:sz w:val="20"/>
          <w:szCs w:val="21"/>
        </w:rPr>
        <w:t>3.甲方应当按照对应期次《理财产品说明书》的约定向乙方分配收益。</w:t>
      </w:r>
    </w:p>
    <w:p w14:paraId="1750EFEA">
      <w:pPr>
        <w:pStyle w:val="62"/>
        <w:spacing w:line="360" w:lineRule="auto"/>
        <w:ind w:firstLine="400"/>
        <w:rPr>
          <w:rFonts w:hint="eastAsia" w:ascii="宋体" w:hAnsi="宋体" w:cs="宋体"/>
          <w:sz w:val="20"/>
          <w:szCs w:val="21"/>
        </w:rPr>
      </w:pPr>
      <w:r>
        <w:rPr>
          <w:rFonts w:hint="eastAsia" w:ascii="宋体" w:hAnsi="宋体" w:cs="宋体"/>
          <w:sz w:val="20"/>
          <w:szCs w:val="21"/>
        </w:rPr>
        <w:t>4.甲方有权按照对应期次《理财产品说明书》的约定收取相应费用。</w:t>
      </w:r>
    </w:p>
    <w:p w14:paraId="14A0783D">
      <w:pPr>
        <w:pStyle w:val="62"/>
        <w:spacing w:line="360" w:lineRule="auto"/>
        <w:ind w:firstLine="400"/>
        <w:rPr>
          <w:rFonts w:hint="eastAsia" w:ascii="宋体" w:hAnsi="宋体" w:cs="宋体"/>
          <w:sz w:val="20"/>
          <w:szCs w:val="21"/>
        </w:rPr>
      </w:pPr>
      <w:r>
        <w:rPr>
          <w:rFonts w:hint="eastAsia" w:ascii="宋体" w:hAnsi="宋体" w:cs="宋体"/>
          <w:sz w:val="20"/>
          <w:szCs w:val="21"/>
        </w:rPr>
        <w:t>5.由于投资管理或者获取投资标的的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14:paraId="51FA0092">
      <w:pPr>
        <w:pStyle w:val="62"/>
        <w:spacing w:line="360" w:lineRule="auto"/>
        <w:ind w:firstLine="400"/>
        <w:rPr>
          <w:rFonts w:hint="eastAsia"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14:paraId="4787ABBF">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7.甲方有权根据产品运作的需要选任必要的业务合作机构，并确定合作模式等相关内容。</w:t>
      </w:r>
    </w:p>
    <w:p w14:paraId="0D2ACDA5">
      <w:pPr>
        <w:pStyle w:val="62"/>
        <w:spacing w:line="360" w:lineRule="auto"/>
        <w:ind w:firstLine="440" w:firstLineChars="0"/>
        <w:rPr>
          <w:rFonts w:hint="eastAsia"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14:paraId="1525EABA">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14:paraId="0EF097A0">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14:paraId="6CC5B5D4">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14:paraId="077D4D0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10.法律法规规定或理财产品销售文件约定的其它权利及义务。</w:t>
      </w:r>
    </w:p>
    <w:p w14:paraId="6388BB93">
      <w:pPr>
        <w:pStyle w:val="62"/>
        <w:spacing w:line="360" w:lineRule="auto"/>
        <w:ind w:firstLine="400"/>
        <w:rPr>
          <w:rFonts w:hint="eastAsia" w:ascii="宋体" w:hAnsi="宋体" w:cs="宋体"/>
          <w:sz w:val="20"/>
          <w:szCs w:val="21"/>
        </w:rPr>
      </w:pPr>
      <w:r>
        <w:rPr>
          <w:rFonts w:hint="eastAsia" w:ascii="宋体" w:hAnsi="宋体" w:cs="宋体"/>
          <w:sz w:val="20"/>
          <w:szCs w:val="21"/>
        </w:rPr>
        <w:t>（二）乙方的权利与义务</w:t>
      </w:r>
    </w:p>
    <w:p w14:paraId="6D564597">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1.乙方保证具有完全民事行为能力，有完全适当的资格与能力订立并履行本协议。</w:t>
      </w:r>
    </w:p>
    <w:p w14:paraId="7A97268C">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14:paraId="51AF7443">
      <w:pPr>
        <w:pStyle w:val="62"/>
        <w:spacing w:line="360" w:lineRule="auto"/>
        <w:ind w:firstLine="400"/>
        <w:rPr>
          <w:rFonts w:hint="eastAsia" w:ascii="宋体" w:hAnsi="宋体" w:cs="宋体"/>
          <w:sz w:val="20"/>
          <w:szCs w:val="21"/>
        </w:rPr>
      </w:pPr>
      <w:r>
        <w:rPr>
          <w:rFonts w:hint="eastAsia" w:ascii="宋体" w:hAnsi="宋体" w:cs="宋体"/>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14:paraId="5499B263">
      <w:pPr>
        <w:pStyle w:val="62"/>
        <w:spacing w:line="360" w:lineRule="auto"/>
        <w:ind w:firstLine="400"/>
        <w:rPr>
          <w:rFonts w:hint="eastAsia" w:ascii="宋体" w:hAnsi="宋体" w:cs="宋体"/>
          <w:sz w:val="20"/>
          <w:szCs w:val="21"/>
        </w:rPr>
      </w:pPr>
      <w:r>
        <w:rPr>
          <w:rFonts w:hint="eastAsia" w:ascii="宋体" w:hAnsi="宋体" w:cs="宋体"/>
          <w:sz w:val="20"/>
          <w:szCs w:val="21"/>
        </w:rPr>
        <w:t>4.乙方已仔细阅读《投资者权益须知》《理财产品说明书》并清楚知晓其内容，接受并签署《理财产品风险揭示书》《理财产品销售协议书》和本协议。</w:t>
      </w:r>
    </w:p>
    <w:p w14:paraId="6A6C788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14:paraId="3B4B985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14:paraId="7D1F5722">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14:paraId="3AC84BEB">
      <w:pPr>
        <w:pStyle w:val="62"/>
        <w:spacing w:line="360" w:lineRule="auto"/>
        <w:ind w:firstLine="440" w:firstLineChars="0"/>
        <w:rPr>
          <w:rFonts w:hint="eastAsia" w:ascii="宋体" w:hAnsi="宋体" w:cs="宋体"/>
          <w:b/>
          <w:bCs/>
          <w:sz w:val="20"/>
          <w:szCs w:val="21"/>
        </w:rPr>
      </w:pPr>
      <w:r>
        <w:rPr>
          <w:rFonts w:hint="eastAsia"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14:paraId="2C6F0DDA">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14:paraId="7F818EBB">
      <w:pPr>
        <w:pStyle w:val="62"/>
        <w:spacing w:line="360" w:lineRule="auto"/>
        <w:ind w:firstLine="442" w:firstLineChars="0"/>
        <w:rPr>
          <w:rFonts w:hint="eastAsia"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14:paraId="0A698C9E">
      <w:pPr>
        <w:pStyle w:val="62"/>
        <w:spacing w:line="360" w:lineRule="auto"/>
        <w:ind w:firstLine="440" w:firstLineChars="0"/>
        <w:rPr>
          <w:rFonts w:hint="eastAsia" w:ascii="宋体" w:hAnsi="宋体" w:cs="宋体"/>
          <w:sz w:val="20"/>
          <w:szCs w:val="21"/>
        </w:rPr>
      </w:pPr>
      <w:r>
        <w:rPr>
          <w:rFonts w:hint="eastAsia" w:ascii="宋体" w:hAnsi="宋体" w:cs="宋体"/>
          <w:sz w:val="20"/>
          <w:szCs w:val="21"/>
        </w:rPr>
        <w:t>11.法律法规规定或理财产品销售文件约定的其它权利及义务。</w:t>
      </w:r>
    </w:p>
    <w:p w14:paraId="4793E3CC">
      <w:pPr>
        <w:pStyle w:val="62"/>
        <w:spacing w:line="360" w:lineRule="auto"/>
        <w:ind w:firstLine="402"/>
        <w:rPr>
          <w:rFonts w:hint="eastAsia" w:ascii="宋体" w:hAnsi="宋体" w:cs="宋体"/>
          <w:b/>
          <w:sz w:val="20"/>
          <w:szCs w:val="21"/>
        </w:rPr>
      </w:pPr>
      <w:r>
        <w:rPr>
          <w:rFonts w:hint="eastAsia" w:ascii="宋体" w:hAnsi="宋体" w:cs="宋体"/>
          <w:b/>
          <w:sz w:val="20"/>
          <w:szCs w:val="21"/>
        </w:rPr>
        <w:t>三、协议的生效和终止</w:t>
      </w:r>
    </w:p>
    <w:p w14:paraId="56098996">
      <w:pPr>
        <w:pStyle w:val="62"/>
        <w:spacing w:line="360" w:lineRule="auto"/>
        <w:ind w:firstLine="400"/>
        <w:rPr>
          <w:rFonts w:hint="eastAsia"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14:paraId="4C709490">
      <w:pPr>
        <w:pStyle w:val="62"/>
        <w:spacing w:line="360" w:lineRule="auto"/>
        <w:ind w:firstLine="400"/>
        <w:rPr>
          <w:rFonts w:hint="eastAsia"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14:paraId="2BFC3313">
      <w:pPr>
        <w:pStyle w:val="62"/>
        <w:spacing w:line="360" w:lineRule="auto"/>
        <w:ind w:firstLine="400"/>
        <w:rPr>
          <w:rFonts w:hint="eastAsia"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14:paraId="4A9F96F0">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四、不可抗力及其他免责条款</w:t>
      </w:r>
    </w:p>
    <w:p w14:paraId="440722CA">
      <w:pPr>
        <w:pStyle w:val="62"/>
        <w:spacing w:line="360" w:lineRule="auto"/>
        <w:ind w:firstLine="402"/>
        <w:rPr>
          <w:rFonts w:hint="eastAsia"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14:paraId="015ABEA8">
      <w:pPr>
        <w:pStyle w:val="62"/>
        <w:spacing w:line="360" w:lineRule="auto"/>
        <w:ind w:firstLine="402"/>
        <w:rPr>
          <w:rFonts w:hint="eastAsia" w:ascii="宋体" w:hAnsi="宋体" w:cs="宋体"/>
          <w:b/>
          <w:sz w:val="20"/>
          <w:szCs w:val="21"/>
        </w:rPr>
      </w:pPr>
      <w:r>
        <w:rPr>
          <w:rFonts w:hint="eastAsia" w:ascii="宋体" w:hAnsi="宋体" w:cs="宋体"/>
          <w:b/>
          <w:sz w:val="20"/>
          <w:szCs w:val="21"/>
        </w:rPr>
        <w:t>非因甲方原因（包括但不限于理财产品投资者遗失理财产品销售文件、理财产品销售文件被盗用等原因）造成的损失，甲方不承担责任。</w:t>
      </w:r>
    </w:p>
    <w:p w14:paraId="2509D9EE">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五、争议解决</w:t>
      </w:r>
    </w:p>
    <w:p w14:paraId="1513CCE5">
      <w:pPr>
        <w:pStyle w:val="62"/>
        <w:spacing w:line="360" w:lineRule="auto"/>
        <w:ind w:firstLine="402"/>
        <w:rPr>
          <w:rFonts w:hint="eastAsia"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14:paraId="074EEB63">
      <w:pPr>
        <w:pStyle w:val="62"/>
        <w:spacing w:line="360" w:lineRule="auto"/>
        <w:ind w:firstLine="402"/>
        <w:rPr>
          <w:rFonts w:hint="eastAsia"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14:paraId="010F7EDB">
      <w:pPr>
        <w:pStyle w:val="62"/>
        <w:spacing w:line="360" w:lineRule="auto"/>
        <w:ind w:firstLine="400"/>
        <w:rPr>
          <w:rFonts w:hint="eastAsia" w:ascii="宋体" w:hAnsi="宋体" w:cs="宋体"/>
          <w:sz w:val="20"/>
          <w:szCs w:val="21"/>
        </w:rPr>
      </w:pPr>
    </w:p>
    <w:p w14:paraId="669E0E63">
      <w:pPr>
        <w:pStyle w:val="62"/>
        <w:spacing w:line="360" w:lineRule="auto"/>
        <w:ind w:firstLine="402"/>
        <w:rPr>
          <w:rFonts w:hint="eastAsia"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14:paraId="29ECD578">
      <w:pPr>
        <w:pStyle w:val="62"/>
        <w:spacing w:line="360" w:lineRule="auto"/>
        <w:ind w:firstLine="400"/>
        <w:rPr>
          <w:rFonts w:hint="eastAsia" w:ascii="宋体" w:hAnsi="宋体" w:cs="宋体"/>
          <w:sz w:val="20"/>
          <w:szCs w:val="21"/>
        </w:rPr>
      </w:pPr>
      <w:r>
        <w:rPr>
          <w:rFonts w:hint="eastAsia" w:ascii="宋体" w:hAnsi="宋体" w:cs="宋体"/>
          <w:sz w:val="20"/>
          <w:szCs w:val="21"/>
        </w:rPr>
        <w:t>（以下无正文）</w:t>
      </w:r>
    </w:p>
    <w:p w14:paraId="044FE15C">
      <w:pPr>
        <w:pStyle w:val="62"/>
        <w:spacing w:line="360" w:lineRule="auto"/>
        <w:ind w:firstLine="400"/>
        <w:rPr>
          <w:rFonts w:hint="eastAsia" w:ascii="宋体" w:hAnsi="宋体" w:cs="宋体"/>
          <w:sz w:val="20"/>
          <w:szCs w:val="21"/>
        </w:rPr>
      </w:pPr>
    </w:p>
    <w:p w14:paraId="2BDE409E">
      <w:pPr>
        <w:spacing w:line="360" w:lineRule="auto"/>
        <w:rPr>
          <w:rStyle w:val="63"/>
          <w:sz w:val="20"/>
          <w:szCs w:val="21"/>
        </w:rPr>
      </w:pPr>
      <w:r>
        <w:rPr>
          <w:rStyle w:val="63"/>
          <w:rFonts w:hint="default"/>
          <w:sz w:val="20"/>
        </w:rPr>
        <w:t>个人投资者（如适用）：                   机构投资者（如适用）：</w:t>
      </w:r>
    </w:p>
    <w:p w14:paraId="2C1A62A7">
      <w:pPr>
        <w:spacing w:line="360" w:lineRule="auto"/>
        <w:rPr>
          <w:rStyle w:val="63"/>
          <w:rFonts w:hint="default"/>
          <w:sz w:val="20"/>
        </w:rPr>
      </w:pPr>
      <w:r>
        <w:rPr>
          <w:rStyle w:val="63"/>
          <w:rFonts w:hint="default"/>
          <w:sz w:val="20"/>
        </w:rPr>
        <w:t>个人投资者： （签名或盖章）              机构投资者： （</w:t>
      </w:r>
      <w:r>
        <w:rPr>
          <w:rFonts w:hint="eastAsia" w:ascii="宋体" w:hAnsi="宋体" w:cs="宋体"/>
          <w:sz w:val="20"/>
        </w:rPr>
        <w:t>公章或合同专用章</w:t>
      </w:r>
      <w:r>
        <w:rPr>
          <w:rStyle w:val="63"/>
          <w:rFonts w:hint="default"/>
          <w:sz w:val="20"/>
        </w:rPr>
        <w:t>）</w:t>
      </w:r>
    </w:p>
    <w:p w14:paraId="7B7C3EFF">
      <w:pPr>
        <w:spacing w:line="360" w:lineRule="auto"/>
        <w:rPr>
          <w:rStyle w:val="63"/>
          <w:rFonts w:hint="default"/>
          <w:sz w:val="20"/>
        </w:rPr>
      </w:pPr>
      <w:r>
        <w:rPr>
          <w:rStyle w:val="63"/>
          <w:rFonts w:hint="default"/>
          <w:sz w:val="20"/>
        </w:rPr>
        <w:t xml:space="preserve">   年  月  日                           法定代表人或授权代理人：（签名或盖章）</w:t>
      </w:r>
    </w:p>
    <w:p w14:paraId="6A0AFE8A">
      <w:pPr>
        <w:widowControl/>
        <w:jc w:val="left"/>
        <w:rPr>
          <w:rFonts w:ascii="Times New Roman" w:hAnsi="Times New Roman"/>
          <w:sz w:val="18"/>
          <w:szCs w:val="18"/>
        </w:rPr>
      </w:pPr>
      <w:r>
        <w:rPr>
          <w:rStyle w:val="63"/>
          <w:rFonts w:hint="default"/>
          <w:sz w:val="20"/>
        </w:rPr>
        <w:t xml:space="preserve">                                            年    月   日</w:t>
      </w:r>
    </w:p>
    <w:p w14:paraId="5119A10E">
      <w:pPr>
        <w:pStyle w:val="5"/>
        <w:ind w:firstLine="0" w:firstLineChars="0"/>
        <w:rPr>
          <w:b/>
          <w:kern w:val="0"/>
          <w:sz w:val="15"/>
          <w:szCs w:val="11"/>
        </w:rPr>
      </w:pPr>
    </w:p>
    <w:p w14:paraId="7D1E86D4">
      <w:pPr>
        <w:rPr>
          <w:rFonts w:hint="eastAsia" w:ascii="方正黑体_GBK" w:hAnsi="方正黑体_GBK" w:eastAsia="方正黑体_GBK"/>
          <w:b/>
          <w:bCs/>
          <w:color w:val="3D3D3D"/>
          <w:kern w:val="0"/>
          <w:sz w:val="15"/>
          <w:szCs w:val="15"/>
          <w:lang w:val="en-US" w:eastAsia="zh-CN"/>
        </w:rPr>
      </w:pPr>
      <w:bookmarkStart w:id="0" w:name="_GoBack"/>
      <w:bookmarkEnd w:id="0"/>
    </w:p>
    <w:sectPr>
      <w:headerReference r:id="rId5"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细黑一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DCFFE">
    <w:pPr>
      <w:pStyle w:val="11"/>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
    <w:nsid w:val="CF092B84"/>
    <w:multiLevelType w:val="multilevel"/>
    <w:tmpl w:val="CF092B84"/>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0053208E"/>
    <w:multiLevelType w:val="multilevel"/>
    <w:tmpl w:val="0053208E"/>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510A3506"/>
    <w:multiLevelType w:val="singleLevel"/>
    <w:tmpl w:val="510A3506"/>
    <w:lvl w:ilvl="0" w:tentative="0">
      <w:start w:val="1"/>
      <w:numFmt w:val="decimal"/>
      <w:suff w:val="nothing"/>
      <w:lvlText w:val="（%1）"/>
      <w:lvlJc w:val="left"/>
      <w:pPr>
        <w:ind w:left="0" w:firstLine="0"/>
      </w:pPr>
    </w:lvl>
  </w:abstractNum>
  <w:abstractNum w:abstractNumId="8">
    <w:nsid w:val="54B02AA4"/>
    <w:multiLevelType w:val="multilevel"/>
    <w:tmpl w:val="54B02AA4"/>
    <w:lvl w:ilvl="0" w:tentative="0">
      <w:start w:val="1"/>
      <w:numFmt w:val="lowerRoman"/>
      <w:lvlText w:val="%1."/>
      <w:lvlJc w:val="left"/>
      <w:pPr>
        <w:ind w:left="760" w:hanging="420"/>
      </w:p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9ADCABA"/>
    <w:multiLevelType w:val="multilevel"/>
    <w:tmpl w:val="59ADCABA"/>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10">
    <w:nsid w:val="5DF84C9C"/>
    <w:multiLevelType w:val="singleLevel"/>
    <w:tmpl w:val="5DF84C9C"/>
    <w:lvl w:ilvl="0" w:tentative="0">
      <w:start w:val="1"/>
      <w:numFmt w:val="decimal"/>
      <w:suff w:val="nothing"/>
      <w:lvlText w:val="%1."/>
      <w:lvlJc w:val="left"/>
      <w:pPr>
        <w:ind w:left="0" w:firstLine="0"/>
      </w:pPr>
    </w:lvl>
  </w:abstractNum>
  <w:abstractNum w:abstractNumId="11">
    <w:nsid w:val="5DF84CBD"/>
    <w:multiLevelType w:val="singleLevel"/>
    <w:tmpl w:val="5DF84CBD"/>
    <w:lvl w:ilvl="0" w:tentative="0">
      <w:start w:val="1"/>
      <w:numFmt w:val="decimal"/>
      <w:suff w:val="nothing"/>
      <w:lvlText w:val="（%1）"/>
      <w:lvlJc w:val="left"/>
      <w:pPr>
        <w:ind w:left="0" w:firstLine="0"/>
      </w:pPr>
    </w:lvl>
  </w:abstractNum>
  <w:abstractNum w:abstractNumId="12">
    <w:nsid w:val="5DF84D07"/>
    <w:multiLevelType w:val="singleLevel"/>
    <w:tmpl w:val="5DF84D07"/>
    <w:lvl w:ilvl="0" w:tentative="0">
      <w:start w:val="1"/>
      <w:numFmt w:val="decimal"/>
      <w:suff w:val="nothing"/>
      <w:lvlText w:val="（%1）"/>
      <w:lvlJc w:val="left"/>
      <w:pPr>
        <w:ind w:left="0" w:firstLine="0"/>
      </w:pPr>
    </w:lvl>
  </w:abstractNum>
  <w:abstractNum w:abstractNumId="13">
    <w:nsid w:val="6D2A3EBA"/>
    <w:multiLevelType w:val="singleLevel"/>
    <w:tmpl w:val="6D2A3EBA"/>
    <w:lvl w:ilvl="0" w:tentative="0">
      <w:start w:val="1"/>
      <w:numFmt w:val="decimal"/>
      <w:suff w:val="nothing"/>
      <w:lvlText w:val="（%1）"/>
      <w:lvlJc w:val="left"/>
      <w:pPr>
        <w:ind w:left="0" w:firstLine="0"/>
      </w:pPr>
    </w:lvl>
  </w:abstractNum>
  <w:abstractNum w:abstractNumId="14">
    <w:nsid w:val="7A29506B"/>
    <w:multiLevelType w:val="singleLevel"/>
    <w:tmpl w:val="7A29506B"/>
    <w:lvl w:ilvl="0" w:tentative="0">
      <w:start w:val="1"/>
      <w:numFmt w:val="decimal"/>
      <w:suff w:val="nothing"/>
      <w:lvlText w:val="（%1）"/>
      <w:lvlJc w:val="left"/>
      <w:pPr>
        <w:ind w:left="0" w:firstLine="0"/>
      </w:pPr>
    </w:lvl>
  </w:abstractNum>
  <w:num w:numId="1">
    <w:abstractNumId w:val="2"/>
  </w:num>
  <w:num w:numId="2">
    <w:abstractNumId w:val="1"/>
  </w:num>
  <w:num w:numId="3">
    <w:abstractNumId w:val="9"/>
  </w:num>
  <w:num w:numId="4">
    <w:abstractNumId w:val="0"/>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startOverride w:val="1"/>
    </w:lvlOverride>
  </w:num>
  <w:num w:numId="8">
    <w:abstractNumId w:val="12"/>
    <w:lvlOverride w:ilvl="0">
      <w:startOverride w:val="1"/>
    </w:lvlOverride>
  </w:num>
  <w:num w:numId="9">
    <w:abstractNumId w:val="7"/>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43A92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6">
    <w:name w:val="Default Paragraph Font"/>
    <w:uiPriority w:val="0"/>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next w:val="6"/>
    <w:semiHidden/>
    <w:unhideWhenUsed/>
    <w:qFormat/>
    <w:uiPriority w:val="0"/>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styleId="6">
    <w:name w:val="toc 1"/>
    <w:basedOn w:val="1"/>
    <w:next w:val="1"/>
    <w:autoRedefine/>
    <w:qFormat/>
    <w:uiPriority w:val="0"/>
  </w:style>
  <w:style w:type="paragraph" w:styleId="7">
    <w:name w:val="annotation text"/>
    <w:next w:val="6"/>
    <w:semiHidden/>
    <w:unhideWhenUsed/>
    <w:qFormat/>
    <w:uiPriority w:val="0"/>
    <w:pPr>
      <w:widowControl w:val="0"/>
    </w:pPr>
    <w:rPr>
      <w:rFonts w:ascii="Times New Roman" w:hAnsi="Times New Roman" w:eastAsia="宋体" w:cs="Times New Roman"/>
      <w:kern w:val="2"/>
      <w:sz w:val="18"/>
      <w:szCs w:val="18"/>
      <w:lang w:val="en-US" w:eastAsia="zh-CN" w:bidi="ar-SA"/>
    </w:rPr>
  </w:style>
  <w:style w:type="paragraph" w:styleId="8">
    <w:name w:val="toc 5"/>
    <w:basedOn w:val="1"/>
    <w:next w:val="1"/>
    <w:autoRedefine/>
    <w:uiPriority w:val="0"/>
    <w:pPr>
      <w:ind w:left="1680"/>
    </w:pPr>
  </w:style>
  <w:style w:type="paragraph" w:styleId="9">
    <w:name w:val="toc 3"/>
    <w:basedOn w:val="1"/>
    <w:next w:val="1"/>
    <w:autoRedefine/>
    <w:qFormat/>
    <w:uiPriority w:val="0"/>
    <w:pPr>
      <w:ind w:left="840"/>
    </w:pPr>
  </w:style>
  <w:style w:type="paragraph" w:styleId="10">
    <w:name w:val="footer"/>
    <w:basedOn w:val="1"/>
    <w:uiPriority w:val="0"/>
    <w:pPr>
      <w:tabs>
        <w:tab w:val="center" w:pos="4153"/>
        <w:tab w:val="right" w:pos="8307"/>
      </w:tabs>
      <w:adjustRightInd/>
      <w:snapToGrid w:val="0"/>
      <w:contextualSpacing w:val="0"/>
      <w:jc w:val="left"/>
    </w:pPr>
    <w:rPr>
      <w:sz w:val="18"/>
    </w:rPr>
  </w:style>
  <w:style w:type="paragraph" w:styleId="11">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2">
    <w:name w:val="toc 4"/>
    <w:basedOn w:val="1"/>
    <w:next w:val="1"/>
    <w:autoRedefine/>
    <w:qFormat/>
    <w:uiPriority w:val="0"/>
    <w:pPr>
      <w:ind w:left="1260"/>
    </w:pPr>
  </w:style>
  <w:style w:type="paragraph" w:styleId="13">
    <w:name w:val="toc 2"/>
    <w:basedOn w:val="1"/>
    <w:next w:val="1"/>
    <w:autoRedefine/>
    <w:uiPriority w:val="0"/>
    <w:pPr>
      <w:ind w:left="420"/>
    </w:pPr>
  </w:style>
  <w:style w:type="paragraph" w:styleId="14">
    <w:name w:val="Normal (Web)"/>
    <w:next w:val="6"/>
    <w:semiHidden/>
    <w:unhideWhenUsed/>
    <w:qFormat/>
    <w:uiPriority w:val="0"/>
    <w:pPr>
      <w:spacing w:before="102" w:after="102" w:line="1099" w:lineRule="atLeast"/>
      <w:ind w:firstLine="419"/>
    </w:pPr>
    <w:rPr>
      <w:rFonts w:ascii="Times New Roman" w:hAnsi="Times New Roman" w:eastAsia="宋体" w:cs="Times New Roman"/>
      <w:kern w:val="0"/>
      <w:sz w:val="24"/>
      <w:szCs w:val="24"/>
      <w:lang w:val="en-US" w:eastAsia="zh-CN" w:bidi="ar-SA"/>
    </w:rPr>
  </w:style>
  <w:style w:type="character" w:styleId="17">
    <w:name w:val="Strong"/>
    <w:uiPriority w:val="0"/>
    <w:rPr>
      <w:b/>
    </w:rPr>
  </w:style>
  <w:style w:type="paragraph" w:customStyle="1" w:styleId="18">
    <w:name w:val="Normal746a11f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9">
    <w:name w:val="heading 1f162f196"/>
    <w:basedOn w:val="18"/>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20">
    <w:name w:val="heading 2d8e69e5d"/>
    <w:basedOn w:val="18"/>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1">
    <w:name w:val="heading 3c66cdb2a"/>
    <w:basedOn w:val="18"/>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2">
    <w:name w:val="Default Paragraph Fontf449629e"/>
    <w:qFormat/>
    <w:uiPriority w:val="0"/>
  </w:style>
  <w:style w:type="paragraph" w:customStyle="1" w:styleId="23">
    <w:name w:val="toc 1dc4e77c7"/>
    <w:basedOn w:val="18"/>
    <w:next w:val="1"/>
    <w:autoRedefine/>
    <w:uiPriority w:val="0"/>
  </w:style>
  <w:style w:type="paragraph" w:customStyle="1" w:styleId="24">
    <w:name w:val="toc 2a4e6fbc2"/>
    <w:basedOn w:val="18"/>
    <w:next w:val="1"/>
    <w:autoRedefine/>
    <w:uiPriority w:val="0"/>
    <w:pPr>
      <w:ind w:left="420"/>
    </w:pPr>
  </w:style>
  <w:style w:type="paragraph" w:customStyle="1" w:styleId="25">
    <w:name w:val="toc 3f0358882"/>
    <w:basedOn w:val="18"/>
    <w:next w:val="1"/>
    <w:autoRedefine/>
    <w:uiPriority w:val="0"/>
    <w:pPr>
      <w:ind w:left="840"/>
    </w:pPr>
  </w:style>
  <w:style w:type="paragraph" w:customStyle="1" w:styleId="26">
    <w:name w:val="toc 449609b9d"/>
    <w:basedOn w:val="18"/>
    <w:next w:val="1"/>
    <w:autoRedefine/>
    <w:uiPriority w:val="0"/>
    <w:pPr>
      <w:ind w:left="1260"/>
    </w:pPr>
  </w:style>
  <w:style w:type="paragraph" w:customStyle="1" w:styleId="27">
    <w:name w:val="toc 59d2055b8"/>
    <w:basedOn w:val="18"/>
    <w:next w:val="1"/>
    <w:autoRedefine/>
    <w:uiPriority w:val="0"/>
    <w:pPr>
      <w:ind w:left="1680"/>
    </w:pPr>
  </w:style>
  <w:style w:type="paragraph" w:customStyle="1" w:styleId="28">
    <w:name w:val="headerdbcc069b"/>
    <w:basedOn w:val="18"/>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9">
    <w:name w:val="footer9a1d7da3"/>
    <w:basedOn w:val="18"/>
    <w:uiPriority w:val="0"/>
    <w:pPr>
      <w:tabs>
        <w:tab w:val="center" w:pos="4153"/>
        <w:tab w:val="right" w:pos="8307"/>
      </w:tabs>
      <w:adjustRightInd/>
      <w:snapToGrid w:val="0"/>
      <w:contextualSpacing w:val="0"/>
      <w:jc w:val="left"/>
    </w:pPr>
    <w:rPr>
      <w:sz w:val="18"/>
    </w:rPr>
  </w:style>
  <w:style w:type="character" w:customStyle="1" w:styleId="30">
    <w:name w:val="Strong6938f799"/>
    <w:qFormat/>
    <w:uiPriority w:val="0"/>
    <w:rPr>
      <w:b/>
    </w:rPr>
  </w:style>
  <w:style w:type="paragraph" w:customStyle="1" w:styleId="31">
    <w:name w:val="annotation text23"/>
    <w:next w:val="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2">
    <w:name w:val="Normal1730adce"/>
    <w:next w:val="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3">
    <w:name w:val="heading 18fec82aa"/>
    <w:basedOn w:val="32"/>
    <w:next w:val="1"/>
    <w:qFormat/>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4">
    <w:name w:val="heading 25dbed802"/>
    <w:basedOn w:val="32"/>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5">
    <w:name w:val="heading 33d16991c"/>
    <w:basedOn w:val="32"/>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6">
    <w:name w:val="Default Paragraph Font944d358c"/>
    <w:qFormat/>
    <w:uiPriority w:val="0"/>
  </w:style>
  <w:style w:type="paragraph" w:customStyle="1" w:styleId="37">
    <w:name w:val="Normal Indente5ca04eb"/>
    <w:basedOn w:val="32"/>
    <w:uiPriority w:val="0"/>
    <w:pPr>
      <w:ind w:firstLine="200" w:firstLineChars="200"/>
    </w:pPr>
  </w:style>
  <w:style w:type="paragraph" w:customStyle="1" w:styleId="38">
    <w:name w:val="toc 5376cf2d1"/>
    <w:basedOn w:val="32"/>
    <w:next w:val="1"/>
    <w:qFormat/>
    <w:uiPriority w:val="0"/>
    <w:pPr>
      <w:ind w:left="1680"/>
    </w:pPr>
  </w:style>
  <w:style w:type="paragraph" w:customStyle="1" w:styleId="39">
    <w:name w:val="toc 309a52e07"/>
    <w:basedOn w:val="32"/>
    <w:next w:val="1"/>
    <w:uiPriority w:val="0"/>
    <w:pPr>
      <w:ind w:left="840"/>
    </w:pPr>
  </w:style>
  <w:style w:type="paragraph" w:customStyle="1" w:styleId="40">
    <w:name w:val="footer75573437"/>
    <w:basedOn w:val="32"/>
    <w:uiPriority w:val="0"/>
    <w:pPr>
      <w:tabs>
        <w:tab w:val="center" w:pos="4153"/>
        <w:tab w:val="right" w:pos="8307"/>
      </w:tabs>
      <w:adjustRightInd/>
      <w:snapToGrid w:val="0"/>
      <w:contextualSpacing w:val="0"/>
      <w:jc w:val="left"/>
    </w:pPr>
    <w:rPr>
      <w:sz w:val="18"/>
    </w:rPr>
  </w:style>
  <w:style w:type="paragraph" w:customStyle="1" w:styleId="41">
    <w:name w:val="header9460b4cd"/>
    <w:basedOn w:val="32"/>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2">
    <w:name w:val="toc 1cacd9122"/>
    <w:basedOn w:val="32"/>
    <w:next w:val="1"/>
    <w:uiPriority w:val="0"/>
  </w:style>
  <w:style w:type="paragraph" w:customStyle="1" w:styleId="43">
    <w:name w:val="toc 4641e5a18"/>
    <w:basedOn w:val="32"/>
    <w:next w:val="1"/>
    <w:uiPriority w:val="0"/>
    <w:pPr>
      <w:ind w:left="1260"/>
    </w:pPr>
  </w:style>
  <w:style w:type="paragraph" w:customStyle="1" w:styleId="44">
    <w:name w:val="toc 2bd2ad4ba"/>
    <w:basedOn w:val="32"/>
    <w:next w:val="1"/>
    <w:qFormat/>
    <w:uiPriority w:val="0"/>
    <w:pPr>
      <w:ind w:left="420"/>
    </w:pPr>
  </w:style>
  <w:style w:type="paragraph" w:customStyle="1" w:styleId="45">
    <w:name w:val="Normal (Web)22f904e1"/>
    <w:next w:val="1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6">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Normalbc105eacbc105eac"/>
    <w:next w:val="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8">
    <w:name w:val="heading 1c50ac69ec50ac69e"/>
    <w:basedOn w:val="4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9">
    <w:name w:val="heading 2861e75bf861e75bf"/>
    <w:basedOn w:val="47"/>
    <w:next w:val="1"/>
    <w:qFormat/>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50">
    <w:name w:val="heading 30e2abbe20e2abbe2"/>
    <w:basedOn w:val="47"/>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1">
    <w:name w:val="Default Paragraph Fontcc5aa08acc5aa08a"/>
    <w:uiPriority w:val="0"/>
  </w:style>
  <w:style w:type="paragraph" w:customStyle="1" w:styleId="52">
    <w:name w:val="引文目录17b323a647b323a64"/>
    <w:basedOn w:val="47"/>
    <w:next w:val="1"/>
    <w:qFormat/>
    <w:uiPriority w:val="0"/>
    <w:pPr>
      <w:ind w:left="200" w:leftChars="200"/>
    </w:pPr>
  </w:style>
  <w:style w:type="paragraph" w:customStyle="1" w:styleId="53">
    <w:name w:val="toc 50f5acce70f5acce7"/>
    <w:basedOn w:val="47"/>
    <w:next w:val="1"/>
    <w:qFormat/>
    <w:uiPriority w:val="0"/>
    <w:pPr>
      <w:ind w:left="1680"/>
    </w:pPr>
  </w:style>
  <w:style w:type="paragraph" w:customStyle="1" w:styleId="54">
    <w:name w:val="toc 3b90a1109b90a1109"/>
    <w:basedOn w:val="47"/>
    <w:next w:val="1"/>
    <w:uiPriority w:val="0"/>
    <w:pPr>
      <w:ind w:left="840"/>
    </w:pPr>
  </w:style>
  <w:style w:type="paragraph" w:customStyle="1" w:styleId="55">
    <w:name w:val="footer152a2d20152a2d20"/>
    <w:basedOn w:val="47"/>
    <w:uiPriority w:val="0"/>
    <w:pPr>
      <w:tabs>
        <w:tab w:val="center" w:pos="4153"/>
        <w:tab w:val="right" w:pos="8307"/>
      </w:tabs>
      <w:adjustRightInd/>
      <w:snapToGrid w:val="0"/>
      <w:contextualSpacing w:val="0"/>
      <w:jc w:val="left"/>
    </w:pPr>
    <w:rPr>
      <w:sz w:val="18"/>
    </w:rPr>
  </w:style>
  <w:style w:type="paragraph" w:customStyle="1" w:styleId="56">
    <w:name w:val="headereea4ef1ceea4ef1c"/>
    <w:basedOn w:val="47"/>
    <w:qFormat/>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7">
    <w:name w:val="toc 12e1de0fb2e1de0fb"/>
    <w:basedOn w:val="47"/>
    <w:next w:val="1"/>
    <w:qFormat/>
    <w:uiPriority w:val="0"/>
  </w:style>
  <w:style w:type="paragraph" w:customStyle="1" w:styleId="58">
    <w:name w:val="toc 4d19d8fbfd19d8fbf"/>
    <w:basedOn w:val="47"/>
    <w:next w:val="1"/>
    <w:uiPriority w:val="0"/>
    <w:pPr>
      <w:ind w:left="1260"/>
    </w:pPr>
  </w:style>
  <w:style w:type="paragraph" w:customStyle="1" w:styleId="59">
    <w:name w:val="toc 26a231f476a231f47"/>
    <w:basedOn w:val="47"/>
    <w:next w:val="1"/>
    <w:qFormat/>
    <w:uiPriority w:val="0"/>
    <w:pPr>
      <w:ind w:left="420"/>
    </w:pPr>
  </w:style>
  <w:style w:type="paragraph" w:customStyle="1" w:styleId="60">
    <w:name w:val="列出段落1ac6aa088ac6aa08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1">
    <w:name w:val="列出段落1"/>
    <w:next w:val="6"/>
    <w:qFormat/>
    <w:uiPriority w:val="99"/>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62">
    <w:name w:val="列表段落1"/>
    <w:next w:val="6"/>
    <w:qFormat/>
    <w:uiPriority w:val="34"/>
    <w:pPr>
      <w:widowControl w:val="0"/>
      <w:ind w:firstLine="420" w:firstLineChars="200"/>
      <w:jc w:val="both"/>
    </w:pPr>
    <w:rPr>
      <w:rFonts w:ascii="Times New Roman" w:hAnsi="Times New Roman" w:eastAsia="宋体" w:cs="Times New Roman"/>
      <w:kern w:val="2"/>
      <w:sz w:val="18"/>
      <w:szCs w:val="18"/>
      <w:lang w:val="en-US" w:eastAsia="zh-CN" w:bidi="ar-SA"/>
    </w:rPr>
  </w:style>
  <w:style w:type="character" w:customStyle="1" w:styleId="63">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23496</Words>
  <Characters>24078</Characters>
  <Lines>77</Lines>
  <Paragraphs>27</Paragraphs>
  <TotalTime>0</TotalTime>
  <ScaleCrop>false</ScaleCrop>
  <LinksUpToDate>false</LinksUpToDate>
  <CharactersWithSpaces>24243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2022-08-09T07:38:00Z</dcterms:created>
  <dc:creator>HP</dc:creator>
  <cp:lastModifiedBy>洋洋</cp:lastModifiedBy>
  <dcterms:modified xsi:type="dcterms:W3CDTF">2024-12-06T01:47:24Z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02AEF6DED8204361AEB85E71A6BDE641</vt:lpwstr>
  </property>
</Properties>
</file>