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K6GI797Q0V9GRQR8KLJF7N8MO7GR9X06TJDWXGHRTFWTNRBJQC0IFSUHPB6RBXM6OOLKZH578IEJRSFTRF8D8RF0WLLBBSODYHB3168E16999CD215E97FB7F7BE349463D4" Type="http://schemas.microsoft.com/office/2006/relationships/officeDocumentMain" Target="docProps/core.xml"/><Relationship Id="CVWMD6BV7R9A0THGQYR80L0K7ZEMOSVR9E06XJDWXFB8TFWTZ8BR6CJ6FSTTP8RRXUMXCOZLZIA78MEJROFAYF8H8RF0WHCBBSODDHB3EB48F9F4D8CB98484B1CEBE09FD1788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南银理财珠联璧合鑫逸稳一年194期封闭式公募人民币理财产品（产品登记编码：Z7003224000277）已于2024年12月03日结束募集，符合产品成立条件，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成立。该产品募集金额1,410,266,646.00元，理财资金将按产品说明书约定进行投资。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CYWMK6GI797Q0V9GRQR8KLJF7N8MO7GR9X06TJDWXGHRTFWTNRBJQC0IFSUHPB6RBXM6OOLKZH578IEJRSFTRF8D8RF0WLLBBSODYHB3168E16999CD215E97FB7F7BE349463D4</vt:lpwstr>
  </property>
  <property fmtid="{D5CDD505-2E9C-101B-9397-08002B2CF9AE}" pid="5" name="_KSOProductBuildSID">
    <vt:lpwstr>56EB5D03FEAB43D493A505D5CFEF829E</vt:lpwstr>
  </property>
</Properties>
</file>