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G6GP796A00BGRPR8ZL0D7ZC0OSYREX06FJDWXFBRTEWTZ7BR6C0EFYYTP88RBSMXCOZMZI778INJQFFTDFF68RLMWOWBAFODQHB337FE11249A146F502B011ADB675AD53A" Type="http://schemas.microsoft.com/office/2006/relationships/officeDocumentMain" Target="docProps/core.xml"/><Relationship Id="SAWFP6GD7RSA06TGRZR8YL0C7NLMOYPR9X0XFJDWXFGRTQCT66BJQCJGFYSHP8RRXSMXHOZMZH5D8MXJRNFARF8O8RFMWHLB8UODYHB3A564CADEFBE1F7246DF357E7136C1BB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南银理财珠联璧合鑫逸稳两年98期封闭式公募人民币理财产品发行公告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南银理财珠联璧合鑫逸稳两年98期封闭式公募人民币理财产品（产品登记编码：Z7003224000229）已于2024年11月26日结束募集，符合产品成立条件，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于2024年11月27日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成立。该产品募集金额17,990,305.00元，理财资金将按产品说明书约定进行投资。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2024年11月28日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CZWMG6GP796A00BGRPR8ZL0D7ZC0OSYREX06FJDWXFBRTEWTZ7BR6C0EFYYTP88RBSMXCOZMZI778INJQFFTDFF68RLMWOWBAFODQHB337FE11249A146F502B011ADB675AD53A</vt:lpwstr>
  </property>
  <property fmtid="{D5CDD505-2E9C-101B-9397-08002B2CF9AE}" pid="5" name="_KSOProductBuildSID">
    <vt:lpwstr>DE3F31382CE4442FB94567EBAADD917B</vt:lpwstr>
  </property>
</Properties>
</file>