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E1" w:rsidRDefault="005968EA">
      <w:pPr>
        <w:spacing w:line="0" w:lineRule="atLeast"/>
        <w:jc w:val="center"/>
        <w:rPr>
          <w:b/>
          <w:bCs/>
          <w:kern w:val="0"/>
          <w:sz w:val="24"/>
          <w:szCs w:val="24"/>
        </w:rPr>
      </w:pPr>
      <w:r>
        <w:rPr>
          <w:rFonts w:hint="eastAsia"/>
          <w:b/>
          <w:bCs/>
          <w:kern w:val="0"/>
          <w:sz w:val="24"/>
          <w:szCs w:val="24"/>
        </w:rPr>
        <w:t>理财产品风险揭示书</w:t>
      </w:r>
    </w:p>
    <w:p w:rsidR="008606E1" w:rsidRDefault="005968EA">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606E1" w:rsidRDefault="005968EA">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8606E1" w:rsidRDefault="005968EA">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8606E1" w:rsidRDefault="005968EA">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8606E1" w:rsidRDefault="005968EA">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606E1" w:rsidRDefault="005968EA">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8606E1" w:rsidRDefault="005968EA">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8606E1" w:rsidRDefault="005968EA">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8606E1" w:rsidRDefault="005968EA">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8606E1" w:rsidRDefault="005968EA">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606E1" w:rsidRDefault="005968EA">
      <w:pPr>
        <w:pStyle w:val="Normal58f72d6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8606E1" w:rsidRDefault="005968EA">
      <w:pPr>
        <w:spacing w:line="200" w:lineRule="exact"/>
      </w:pPr>
      <w:r>
        <w:rPr>
          <w:rFonts w:cs="宋体"/>
          <w:b/>
          <w:sz w:val="13"/>
          <w:szCs w:val="20"/>
        </w:rPr>
        <w:t xml:space="preserve">    1.</w:t>
      </w:r>
      <w:r>
        <w:rPr>
          <w:rFonts w:cs="宋体"/>
          <w:b/>
          <w:sz w:val="13"/>
          <w:szCs w:val="20"/>
        </w:rPr>
        <w:t>债券类资产投资风险</w:t>
      </w:r>
    </w:p>
    <w:p w:rsidR="008606E1" w:rsidRDefault="005968EA">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606E1" w:rsidRDefault="005968EA">
      <w:pPr>
        <w:spacing w:line="200" w:lineRule="exact"/>
      </w:pPr>
      <w:r>
        <w:rPr>
          <w:rFonts w:cs="宋体"/>
          <w:b/>
          <w:sz w:val="13"/>
          <w:szCs w:val="20"/>
        </w:rPr>
        <w:t xml:space="preserve">    2.</w:t>
      </w:r>
      <w:r>
        <w:rPr>
          <w:rFonts w:cs="宋体"/>
          <w:b/>
          <w:sz w:val="13"/>
          <w:szCs w:val="20"/>
        </w:rPr>
        <w:t>非标准化债权类资产投资风险</w:t>
      </w:r>
    </w:p>
    <w:p w:rsidR="008606E1" w:rsidRDefault="005968EA">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w:t>
      </w:r>
      <w:r>
        <w:rPr>
          <w:rFonts w:cs="宋体"/>
          <w:b/>
          <w:sz w:val="13"/>
          <w:szCs w:val="20"/>
        </w:rPr>
        <w:lastRenderedPageBreak/>
        <w:t>非标准化债权类资产</w:t>
      </w:r>
      <w:r>
        <w:rPr>
          <w:rFonts w:cs="宋体"/>
          <w:b/>
          <w:sz w:val="13"/>
          <w:szCs w:val="20"/>
        </w:rPr>
        <w:t>受到包括但不限于上述因素影响时，可能影响投资者收益，甚至使产品本金遭受损失。</w:t>
      </w:r>
    </w:p>
    <w:p w:rsidR="008606E1" w:rsidRDefault="005968EA">
      <w:pPr>
        <w:spacing w:line="200" w:lineRule="exact"/>
      </w:pPr>
      <w:r>
        <w:rPr>
          <w:rFonts w:cs="宋体"/>
          <w:b/>
          <w:sz w:val="13"/>
          <w:szCs w:val="20"/>
        </w:rPr>
        <w:t xml:space="preserve">    3.</w:t>
      </w:r>
      <w:r>
        <w:rPr>
          <w:rFonts w:cs="宋体"/>
          <w:b/>
          <w:sz w:val="13"/>
          <w:szCs w:val="20"/>
        </w:rPr>
        <w:t>资产管理产品投资风险</w:t>
      </w:r>
    </w:p>
    <w:p w:rsidR="008606E1" w:rsidRDefault="005968EA">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8606E1" w:rsidRDefault="005968EA">
      <w:pPr>
        <w:pStyle w:val="Normal58f72d6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8606E1" w:rsidRDefault="005968EA">
      <w:pPr>
        <w:pStyle w:val="Normal58f72d6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8606E1" w:rsidRDefault="005968EA">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8606E1" w:rsidRDefault="005968EA">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8606E1" w:rsidRDefault="005968EA">
      <w:pPr>
        <w:pStyle w:val="Normal58f72d6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8606E1" w:rsidRDefault="005968EA">
      <w:pPr>
        <w:pStyle w:val="Normal58f72d6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8606E1" w:rsidRDefault="005968EA">
      <w:pPr>
        <w:pStyle w:val="Normal58f72d63"/>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8606E1" w:rsidRDefault="005968EA">
      <w:pPr>
        <w:pStyle w:val="Normal58f72d6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8606E1" w:rsidRDefault="008606E1">
      <w:pPr>
        <w:pStyle w:val="Normal58f72d63"/>
        <w:widowControl/>
        <w:spacing w:line="200" w:lineRule="exact"/>
        <w:ind w:firstLine="260"/>
        <w:rPr>
          <w:b/>
          <w:color w:val="3D3D3D"/>
          <w:kern w:val="0"/>
          <w:sz w:val="13"/>
          <w:szCs w:val="13"/>
        </w:rPr>
      </w:pPr>
    </w:p>
    <w:p w:rsidR="008606E1" w:rsidRDefault="005968EA">
      <w:pPr>
        <w:pStyle w:val="Normal58f72d6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8606E1" w:rsidRDefault="008606E1">
      <w:pPr>
        <w:pStyle w:val="Normal58f72d63"/>
        <w:widowControl/>
        <w:spacing w:line="200" w:lineRule="exact"/>
        <w:ind w:firstLine="260"/>
        <w:jc w:val="center"/>
        <w:rPr>
          <w:b/>
          <w:color w:val="3D3D3D"/>
          <w:kern w:val="0"/>
          <w:sz w:val="15"/>
          <w:szCs w:val="15"/>
          <w:u w:val="single"/>
        </w:rPr>
      </w:pPr>
    </w:p>
    <w:p w:rsidR="008606E1" w:rsidRDefault="005968EA">
      <w:pPr>
        <w:pStyle w:val="Normal58f72d63"/>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606E1" w:rsidRDefault="005968EA">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8606E1" w:rsidRDefault="005968EA">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8606E1" w:rsidRDefault="005968EA">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8606E1" w:rsidRDefault="005968EA">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8606E1" w:rsidRDefault="005968EA">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8606E1" w:rsidRDefault="005968EA">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8606E1" w:rsidRDefault="005968EA">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8606E1" w:rsidRDefault="005968EA">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8606E1" w:rsidRDefault="005968EA">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8606E1" w:rsidRDefault="005968EA">
      <w:pPr>
        <w:widowControl/>
        <w:spacing w:line="200" w:lineRule="exact"/>
        <w:ind w:firstLine="210"/>
        <w:rPr>
          <w:color w:val="3D3D3D"/>
          <w:kern w:val="0"/>
          <w:sz w:val="15"/>
          <w:szCs w:val="15"/>
        </w:rPr>
      </w:pPr>
      <w:r>
        <w:rPr>
          <w:rFonts w:hint="eastAsia"/>
          <w:color w:val="3D3D3D"/>
          <w:kern w:val="0"/>
          <w:sz w:val="15"/>
          <w:szCs w:val="15"/>
        </w:rPr>
        <w:t xml:space="preserve">         </w:t>
      </w:r>
    </w:p>
    <w:p w:rsidR="008606E1" w:rsidRDefault="008606E1">
      <w:pPr>
        <w:widowControl/>
        <w:spacing w:line="200" w:lineRule="exact"/>
        <w:ind w:firstLine="210"/>
        <w:rPr>
          <w:color w:val="3D3D3D"/>
          <w:kern w:val="0"/>
          <w:sz w:val="15"/>
          <w:szCs w:val="15"/>
        </w:rPr>
      </w:pPr>
    </w:p>
    <w:p w:rsidR="008606E1" w:rsidRDefault="005968EA">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606E1" w:rsidRDefault="008606E1">
      <w:pPr>
        <w:widowControl/>
        <w:spacing w:line="200" w:lineRule="exact"/>
        <w:ind w:firstLine="210"/>
        <w:rPr>
          <w:color w:val="3D3D3D"/>
          <w:kern w:val="0"/>
          <w:sz w:val="13"/>
          <w:szCs w:val="13"/>
        </w:rPr>
      </w:pPr>
    </w:p>
    <w:p w:rsidR="008606E1" w:rsidRDefault="008606E1">
      <w:pPr>
        <w:widowControl/>
        <w:spacing w:line="200" w:lineRule="exact"/>
        <w:ind w:firstLine="210"/>
        <w:jc w:val="left"/>
        <w:rPr>
          <w:color w:val="3D3D3D"/>
          <w:kern w:val="0"/>
          <w:sz w:val="13"/>
          <w:szCs w:val="13"/>
        </w:rPr>
      </w:pPr>
    </w:p>
    <w:p w:rsidR="008606E1" w:rsidRDefault="008606E1">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8606E1">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400" w:lineRule="exact"/>
              <w:jc w:val="center"/>
              <w:rPr>
                <w:b/>
                <w:sz w:val="15"/>
                <w:szCs w:val="15"/>
              </w:rPr>
            </w:pPr>
            <w:r>
              <w:rPr>
                <w:rFonts w:hint="eastAsia"/>
                <w:b/>
                <w:sz w:val="15"/>
                <w:szCs w:val="15"/>
              </w:rPr>
              <w:t>个人投资者</w:t>
            </w:r>
          </w:p>
        </w:tc>
      </w:tr>
      <w:tr w:rsidR="008606E1">
        <w:tc>
          <w:tcPr>
            <w:tcW w:w="9287" w:type="dxa"/>
            <w:tcBorders>
              <w:top w:val="single" w:sz="4" w:space="0" w:color="auto"/>
              <w:left w:val="single" w:sz="4" w:space="0" w:color="auto"/>
              <w:bottom w:val="single" w:sz="4" w:space="0" w:color="auto"/>
              <w:right w:val="single" w:sz="4" w:space="0" w:color="auto"/>
              <w:tl2br w:val="nil"/>
              <w:tr2bl w:val="nil"/>
            </w:tcBorders>
          </w:tcPr>
          <w:p w:rsidR="008606E1" w:rsidRDefault="005968EA">
            <w:pPr>
              <w:widowControl/>
              <w:spacing w:line="360" w:lineRule="auto"/>
              <w:rPr>
                <w:color w:val="3D3D3D"/>
                <w:kern w:val="0"/>
                <w:sz w:val="13"/>
                <w:szCs w:val="13"/>
              </w:rPr>
            </w:pPr>
            <w:r>
              <w:rPr>
                <w:rFonts w:hint="eastAsia"/>
                <w:sz w:val="15"/>
                <w:szCs w:val="15"/>
              </w:rPr>
              <w:t>签名：</w:t>
            </w:r>
          </w:p>
          <w:p w:rsidR="008606E1" w:rsidRDefault="005968EA">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606E1">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400" w:lineRule="exact"/>
              <w:jc w:val="center"/>
              <w:rPr>
                <w:sz w:val="15"/>
                <w:szCs w:val="15"/>
              </w:rPr>
            </w:pPr>
            <w:r>
              <w:rPr>
                <w:rFonts w:hint="eastAsia"/>
                <w:b/>
                <w:bCs/>
                <w:color w:val="3D3D3D"/>
                <w:kern w:val="0"/>
                <w:sz w:val="15"/>
                <w:szCs w:val="15"/>
              </w:rPr>
              <w:t>机构投资者</w:t>
            </w:r>
          </w:p>
        </w:tc>
      </w:tr>
      <w:tr w:rsidR="008606E1">
        <w:tc>
          <w:tcPr>
            <w:tcW w:w="9287" w:type="dxa"/>
            <w:tcBorders>
              <w:top w:val="single" w:sz="4" w:space="0" w:color="auto"/>
              <w:left w:val="single" w:sz="4" w:space="0" w:color="auto"/>
              <w:bottom w:val="single" w:sz="4" w:space="0" w:color="auto"/>
              <w:right w:val="single" w:sz="4" w:space="0" w:color="auto"/>
              <w:tl2br w:val="nil"/>
              <w:tr2bl w:val="nil"/>
            </w:tcBorders>
          </w:tcPr>
          <w:p w:rsidR="008606E1" w:rsidRDefault="008606E1">
            <w:pPr>
              <w:widowControl/>
              <w:spacing w:line="200" w:lineRule="exact"/>
              <w:jc w:val="left"/>
              <w:rPr>
                <w:b/>
                <w:bCs/>
                <w:color w:val="3D3D3D"/>
                <w:kern w:val="0"/>
                <w:sz w:val="15"/>
                <w:szCs w:val="15"/>
              </w:rPr>
            </w:pPr>
          </w:p>
          <w:p w:rsidR="008606E1" w:rsidRDefault="005968EA">
            <w:pPr>
              <w:widowControl/>
              <w:spacing w:line="200" w:lineRule="exact"/>
              <w:jc w:val="left"/>
              <w:rPr>
                <w:b/>
                <w:bCs/>
                <w:color w:val="3D3D3D"/>
                <w:kern w:val="0"/>
                <w:sz w:val="15"/>
                <w:szCs w:val="15"/>
              </w:rPr>
            </w:pPr>
            <w:r>
              <w:rPr>
                <w:rFonts w:hint="eastAsia"/>
                <w:b/>
                <w:bCs/>
                <w:color w:val="3D3D3D"/>
                <w:kern w:val="0"/>
                <w:sz w:val="15"/>
                <w:szCs w:val="15"/>
              </w:rPr>
              <w:t>盖章（公章）</w:t>
            </w:r>
          </w:p>
          <w:p w:rsidR="008606E1" w:rsidRDefault="008606E1">
            <w:pPr>
              <w:widowControl/>
              <w:spacing w:line="200" w:lineRule="exact"/>
              <w:jc w:val="left"/>
              <w:rPr>
                <w:b/>
                <w:bCs/>
                <w:color w:val="3D3D3D"/>
                <w:kern w:val="0"/>
                <w:sz w:val="15"/>
                <w:szCs w:val="15"/>
              </w:rPr>
            </w:pPr>
          </w:p>
          <w:p w:rsidR="008606E1" w:rsidRDefault="005968EA">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8606E1" w:rsidRDefault="008606E1">
            <w:pPr>
              <w:widowControl/>
              <w:spacing w:line="200" w:lineRule="exact"/>
              <w:jc w:val="left"/>
              <w:rPr>
                <w:color w:val="3D3D3D"/>
                <w:kern w:val="0"/>
                <w:sz w:val="13"/>
                <w:szCs w:val="13"/>
              </w:rPr>
            </w:pPr>
          </w:p>
          <w:p w:rsidR="008606E1" w:rsidRDefault="005968EA">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606E1">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8606E1">
        <w:tc>
          <w:tcPr>
            <w:tcW w:w="9287" w:type="dxa"/>
            <w:tcBorders>
              <w:top w:val="single" w:sz="4" w:space="0" w:color="auto"/>
              <w:left w:val="single" w:sz="4" w:space="0" w:color="auto"/>
              <w:bottom w:val="single" w:sz="4" w:space="0" w:color="auto"/>
              <w:right w:val="single" w:sz="4" w:space="0" w:color="auto"/>
              <w:tl2br w:val="nil"/>
              <w:tr2bl w:val="nil"/>
            </w:tcBorders>
          </w:tcPr>
          <w:p w:rsidR="008606E1" w:rsidRDefault="005968EA">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8606E1" w:rsidRDefault="005968EA">
      <w:r>
        <w:br w:type="page"/>
      </w:r>
    </w:p>
    <w:p w:rsidR="008606E1" w:rsidRDefault="005968EA">
      <w:pPr>
        <w:pStyle w:val="Normal14d1c669"/>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8606E1" w:rsidRDefault="005968EA">
      <w:pPr>
        <w:pStyle w:val="Normal14d1c66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606E1" w:rsidRDefault="005968EA">
      <w:pPr>
        <w:pStyle w:val="NormalWeb92a82d6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8606E1">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行稳半年</w:t>
            </w:r>
            <w:proofErr w:type="gramEnd"/>
            <w:r>
              <w:rPr>
                <w:rFonts w:hint="eastAsia"/>
                <w:kern w:val="0"/>
                <w:sz w:val="18"/>
                <w:szCs w:val="18"/>
              </w:rPr>
              <w:t>定开</w:t>
            </w:r>
            <w:r>
              <w:rPr>
                <w:rFonts w:hint="eastAsia"/>
                <w:kern w:val="0"/>
                <w:sz w:val="18"/>
                <w:szCs w:val="18"/>
              </w:rPr>
              <w:t>5M</w:t>
            </w:r>
            <w:r>
              <w:rPr>
                <w:rFonts w:hint="eastAsia"/>
                <w:kern w:val="0"/>
                <w:sz w:val="18"/>
                <w:szCs w:val="18"/>
              </w:rPr>
              <w:t>公募人民币理财产品</w:t>
            </w:r>
          </w:p>
        </w:tc>
      </w:tr>
      <w:tr w:rsidR="008606E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606E1" w:rsidRDefault="005968EA">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606E1" w:rsidRDefault="005968EA">
            <w:pPr>
              <w:widowControl/>
              <w:spacing w:line="200" w:lineRule="exact"/>
              <w:jc w:val="left"/>
              <w:rPr>
                <w:kern w:val="0"/>
                <w:sz w:val="18"/>
                <w:szCs w:val="18"/>
              </w:rPr>
            </w:pPr>
            <w:r>
              <w:rPr>
                <w:rFonts w:hint="eastAsia"/>
                <w:kern w:val="0"/>
                <w:sz w:val="18"/>
                <w:szCs w:val="18"/>
              </w:rPr>
              <w:t>定期开放式、固定收益类、公募、净值型</w:t>
            </w:r>
          </w:p>
        </w:tc>
      </w:tr>
      <w:tr w:rsidR="008606E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606E1" w:rsidRDefault="005968EA">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606E1" w:rsidRDefault="005968EA">
            <w:pPr>
              <w:widowControl/>
              <w:spacing w:line="200" w:lineRule="exact"/>
              <w:jc w:val="left"/>
              <w:rPr>
                <w:kern w:val="0"/>
                <w:sz w:val="18"/>
                <w:szCs w:val="18"/>
              </w:rPr>
            </w:pPr>
            <w:r>
              <w:rPr>
                <w:rFonts w:hint="eastAsia"/>
                <w:kern w:val="0"/>
                <w:sz w:val="18"/>
                <w:szCs w:val="18"/>
              </w:rPr>
              <w:t>公开募集</w:t>
            </w:r>
          </w:p>
        </w:tc>
      </w:tr>
      <w:tr w:rsidR="008606E1">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ZC108691844537</w:t>
            </w:r>
          </w:p>
        </w:tc>
      </w:tr>
      <w:tr w:rsidR="008606E1">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cs="宋体" w:hint="eastAsia"/>
                <w:kern w:val="0"/>
                <w:sz w:val="18"/>
                <w:szCs w:val="18"/>
              </w:rPr>
              <w:t>Z7003221000035(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8606E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widowControl/>
              <w:spacing w:line="200" w:lineRule="exact"/>
              <w:jc w:val="left"/>
              <w:textAlignment w:val="center"/>
              <w:rPr>
                <w:sz w:val="18"/>
                <w:szCs w:val="18"/>
              </w:rPr>
            </w:pPr>
            <w:r>
              <w:rPr>
                <w:rFonts w:hint="eastAsia"/>
                <w:kern w:val="0"/>
                <w:sz w:val="18"/>
                <w:szCs w:val="18"/>
              </w:rPr>
              <w:t>Z10015</w:t>
            </w:r>
          </w:p>
        </w:tc>
      </w:tr>
      <w:tr w:rsidR="008606E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8606E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全国</w:t>
            </w:r>
          </w:p>
        </w:tc>
      </w:tr>
      <w:tr w:rsidR="008606E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widowControl/>
              <w:spacing w:line="200" w:lineRule="exact"/>
              <w:jc w:val="left"/>
              <w:textAlignment w:val="center"/>
              <w:rPr>
                <w:kern w:val="0"/>
                <w:sz w:val="18"/>
                <w:szCs w:val="18"/>
              </w:rPr>
            </w:pPr>
            <w:r>
              <w:rPr>
                <w:rFonts w:hint="eastAsia"/>
                <w:kern w:val="0"/>
                <w:sz w:val="18"/>
                <w:szCs w:val="18"/>
              </w:rPr>
              <w:t>人民币</w:t>
            </w:r>
          </w:p>
        </w:tc>
      </w:tr>
      <w:tr w:rsidR="008606E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本理财产品规模上限为</w:t>
            </w:r>
            <w:r>
              <w:rPr>
                <w:rFonts w:cs="宋体"/>
                <w:sz w:val="18"/>
                <w:szCs w:val="18"/>
              </w:rPr>
              <w:t>200</w:t>
            </w:r>
            <w:r>
              <w:rPr>
                <w:rFonts w:cs="宋体"/>
                <w:sz w:val="18"/>
                <w:szCs w:val="18"/>
              </w:rPr>
              <w:t>亿元。理财产品管理人有权对上述规模上限根据实际业务需求进行调整。</w:t>
            </w:r>
          </w:p>
        </w:tc>
      </w:tr>
      <w:tr w:rsidR="008606E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8606E1" w:rsidRDefault="005968EA">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606E1">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color w:val="000000"/>
                <w:sz w:val="18"/>
                <w:szCs w:val="18"/>
              </w:rPr>
              <w:t>符合相关法律法规、监管规定要求的，经销售机构的风险承受能力评估体系评定为适合的个人和机构投资者。</w:t>
            </w:r>
          </w:p>
          <w:p w:rsidR="008606E1" w:rsidRDefault="008606E1">
            <w:pPr>
              <w:spacing w:line="200" w:lineRule="exact"/>
            </w:pPr>
          </w:p>
        </w:tc>
      </w:tr>
      <w:tr w:rsidR="008606E1">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606E1" w:rsidRDefault="005968EA">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606E1" w:rsidRDefault="005968EA">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8606E1" w:rsidRDefault="005968EA">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8606E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8606E1" w:rsidRDefault="005968EA">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8606E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color w:val="000000"/>
                <w:sz w:val="18"/>
                <w:szCs w:val="18"/>
              </w:rPr>
              <w:t>2018</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w:t>
            </w:r>
            <w:r>
              <w:rPr>
                <w:rFonts w:cs="宋体"/>
                <w:color w:val="000000"/>
                <w:sz w:val="18"/>
                <w:szCs w:val="18"/>
              </w:rPr>
              <w:t>09:00—2018</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8606E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8606E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本理财产品每期封闭期为半年，当期封闭期起止时间以公告为准。</w:t>
            </w:r>
          </w:p>
        </w:tc>
      </w:tr>
      <w:tr w:rsidR="008606E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rPr>
                <w:color w:val="000000"/>
                <w:kern w:val="0"/>
                <w:sz w:val="18"/>
                <w:szCs w:val="18"/>
              </w:rPr>
            </w:pPr>
            <w:r>
              <w:rPr>
                <w:rFonts w:hint="eastAsia"/>
                <w:color w:val="000000"/>
                <w:kern w:val="0"/>
                <w:sz w:val="18"/>
                <w:szCs w:val="18"/>
              </w:rPr>
              <w:t>同产品成立日</w:t>
            </w:r>
          </w:p>
        </w:tc>
      </w:tr>
      <w:tr w:rsidR="008606E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hint="eastAsia"/>
                <w:kern w:val="0"/>
                <w:sz w:val="18"/>
                <w:szCs w:val="18"/>
              </w:rPr>
              <w:t>2018</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25</w:t>
            </w:r>
            <w:r>
              <w:rPr>
                <w:rFonts w:hint="eastAsia"/>
                <w:kern w:val="0"/>
                <w:sz w:val="18"/>
                <w:szCs w:val="18"/>
              </w:rPr>
              <w:t>日</w:t>
            </w:r>
          </w:p>
        </w:tc>
      </w:tr>
      <w:tr w:rsidR="008606E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2018</w:t>
            </w:r>
            <w:r>
              <w:rPr>
                <w:rFonts w:cs="宋体"/>
                <w:sz w:val="18"/>
                <w:szCs w:val="18"/>
              </w:rPr>
              <w:t>年</w:t>
            </w:r>
            <w:r>
              <w:rPr>
                <w:rFonts w:cs="宋体"/>
                <w:sz w:val="18"/>
                <w:szCs w:val="18"/>
              </w:rPr>
              <w:t>05</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8606E1">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lastRenderedPageBreak/>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2028</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27</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8606E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申购，如遇节假日调整，申购开放日和申购确认日以公告为准。</w:t>
            </w:r>
          </w:p>
        </w:tc>
      </w:tr>
      <w:tr w:rsidR="008606E1">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8606E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8606E1" w:rsidRDefault="005968EA">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8606E1" w:rsidRDefault="005968EA">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8606E1" w:rsidRDefault="005968EA">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8606E1" w:rsidRDefault="005968EA">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8606E1">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8606E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8606E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8606E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8606E1" w:rsidRDefault="005968EA">
            <w:pPr>
              <w:spacing w:line="200" w:lineRule="exact"/>
            </w:pPr>
            <w:r>
              <w:rPr>
                <w:rFonts w:cs="宋体"/>
                <w:sz w:val="18"/>
                <w:szCs w:val="18"/>
              </w:rPr>
              <w:t>产品到期后，理财产品管理人和代销机构将根据理财资金所投资资产实际运作情况向投资者分配到期款项。</w:t>
            </w:r>
          </w:p>
        </w:tc>
      </w:tr>
      <w:tr w:rsidR="008606E1">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8606E1" w:rsidRDefault="005968EA">
            <w:pPr>
              <w:spacing w:line="200" w:lineRule="exact"/>
              <w:jc w:val="left"/>
            </w:pPr>
            <w:r>
              <w:rPr>
                <w:rFonts w:cs="宋体"/>
                <w:sz w:val="18"/>
                <w:szCs w:val="18"/>
              </w:rPr>
              <w:t>分红权益登记日指管理人确认投资者所持份额是否享受本次分红的日期。</w:t>
            </w:r>
          </w:p>
        </w:tc>
      </w:tr>
      <w:tr w:rsidR="008606E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jc w:val="left"/>
            </w:pPr>
            <w:r>
              <w:rPr>
                <w:rFonts w:cs="宋体"/>
                <w:sz w:val="18"/>
                <w:szCs w:val="18"/>
              </w:rPr>
              <w:t>本理财产品募集的资金投资于以下金融资产和金融工具，包括但不限于：</w:t>
            </w:r>
          </w:p>
          <w:p w:rsidR="008606E1" w:rsidRDefault="005968EA">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8606E1" w:rsidRDefault="005968EA">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8606E1" w:rsidRDefault="005968EA">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8606E1" w:rsidRDefault="005968EA">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8606E1" w:rsidRDefault="005968EA">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8606E1" w:rsidRDefault="005968EA">
            <w:pPr>
              <w:spacing w:line="200" w:lineRule="exact"/>
              <w:jc w:val="lef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8606E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8606E1" w:rsidRDefault="005968EA">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606E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本理财产品通过对宏观经济、政策环境、市场状况和资金供求的深入分析，对所投资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8606E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8606E1" w:rsidRDefault="005968EA">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8606E1" w:rsidRDefault="005968EA">
            <w:pPr>
              <w:spacing w:line="200" w:lineRule="exact"/>
            </w:pPr>
            <w:r>
              <w:rPr>
                <w:rFonts w:cs="宋体"/>
                <w:sz w:val="18"/>
                <w:szCs w:val="18"/>
              </w:rPr>
              <w:lastRenderedPageBreak/>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8606E1" w:rsidRDefault="005968EA">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8606E1" w:rsidRDefault="005968EA">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8606E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指数收益率。</w:t>
            </w:r>
          </w:p>
          <w:p w:rsidR="008606E1" w:rsidRDefault="005968EA">
            <w:pPr>
              <w:spacing w:line="200" w:lineRule="exact"/>
              <w:jc w:val="left"/>
            </w:pPr>
            <w:r>
              <w:rPr>
                <w:rFonts w:cs="宋体"/>
                <w:sz w:val="18"/>
                <w:szCs w:val="18"/>
              </w:rPr>
              <w:t>注：</w:t>
            </w:r>
          </w:p>
          <w:p w:rsidR="008606E1" w:rsidRDefault="005968EA">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8606E1" w:rsidRDefault="005968EA">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8606E1" w:rsidRDefault="005968EA">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8606E1" w:rsidRDefault="005968EA">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8606E1" w:rsidRDefault="005968EA">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w:t>
            </w:r>
            <w:r>
              <w:rPr>
                <w:rFonts w:cs="宋体"/>
                <w:sz w:val="18"/>
                <w:szCs w:val="18"/>
              </w:rPr>
              <w:t>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8606E1" w:rsidRDefault="005968EA">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8606E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8606E1" w:rsidRDefault="005968EA">
            <w:pPr>
              <w:spacing w:line="200" w:lineRule="exact"/>
            </w:pPr>
            <w:r>
              <w:rPr>
                <w:rFonts w:cs="宋体"/>
                <w:b/>
                <w:sz w:val="18"/>
                <w:szCs w:val="18"/>
              </w:rPr>
              <w:t>赎回费：本理财产品暂不收取赎回费。</w:t>
            </w:r>
          </w:p>
          <w:p w:rsidR="008606E1" w:rsidRDefault="005968EA">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8606E1" w:rsidRDefault="005968EA">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8606E1" w:rsidRDefault="005968EA">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8606E1" w:rsidRDefault="005968EA">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8606E1" w:rsidRDefault="005968EA">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8606E1" w:rsidRDefault="005968EA">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8606E1" w:rsidRDefault="005968EA">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w:t>
            </w:r>
            <w:r>
              <w:rPr>
                <w:rFonts w:cs="宋体"/>
                <w:b/>
                <w:sz w:val="18"/>
                <w:szCs w:val="18"/>
              </w:rPr>
              <w:t>资产组合收益（扣除销售费、固定管理费、托管费等相关费用）超过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收取业绩报酬。</w:t>
            </w:r>
          </w:p>
          <w:p w:rsidR="008606E1" w:rsidRDefault="005968EA">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8606E1" w:rsidRDefault="005968EA">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8606E1" w:rsidRDefault="005968EA">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8606E1" w:rsidRDefault="005968EA">
            <w:pPr>
              <w:spacing w:line="200" w:lineRule="exact"/>
            </w:pPr>
            <w:r>
              <w:rPr>
                <w:rFonts w:cs="宋体"/>
                <w:b/>
                <w:sz w:val="18"/>
                <w:szCs w:val="18"/>
              </w:rPr>
              <w:t>2.</w:t>
            </w:r>
            <w:r>
              <w:rPr>
                <w:rFonts w:cs="宋体"/>
                <w:b/>
                <w:sz w:val="18"/>
                <w:szCs w:val="18"/>
              </w:rPr>
              <w:t>产品存续期的每个估值日，如果产品各份</w:t>
            </w:r>
            <w:r>
              <w:rPr>
                <w:rFonts w:cs="宋体"/>
                <w:b/>
                <w:sz w:val="18"/>
                <w:szCs w:val="18"/>
              </w:rPr>
              <w:t>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8606E1" w:rsidRDefault="005968EA">
            <w:pPr>
              <w:spacing w:line="200" w:lineRule="exact"/>
            </w:pPr>
            <w:r>
              <w:rPr>
                <w:rFonts w:cs="宋体"/>
                <w:b/>
                <w:sz w:val="18"/>
                <w:szCs w:val="18"/>
              </w:rPr>
              <w:t>计算本区间业绩报酬的公式如下：</w:t>
            </w:r>
          </w:p>
          <w:p w:rsidR="008606E1" w:rsidRDefault="005968EA">
            <w:pPr>
              <w:spacing w:line="200" w:lineRule="exact"/>
            </w:pPr>
            <w:r>
              <w:rPr>
                <w:rFonts w:cs="宋体"/>
                <w:b/>
                <w:sz w:val="18"/>
                <w:szCs w:val="18"/>
              </w:rPr>
              <w:t>A={B-C*D*(1+E*F/365)}*G</w:t>
            </w:r>
            <w:r>
              <w:rPr>
                <w:rFonts w:cs="宋体"/>
                <w:b/>
                <w:sz w:val="18"/>
                <w:szCs w:val="18"/>
              </w:rPr>
              <w:t>。</w:t>
            </w:r>
          </w:p>
          <w:p w:rsidR="008606E1" w:rsidRDefault="005968EA">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w:t>
            </w:r>
            <w:r>
              <w:rPr>
                <w:rFonts w:cs="宋体"/>
                <w:b/>
                <w:sz w:val="18"/>
                <w:szCs w:val="18"/>
              </w:rPr>
              <w:t>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8606E1">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jc w:val="left"/>
            </w:pPr>
            <w:r>
              <w:rPr>
                <w:rFonts w:cs="宋体"/>
                <w:color w:val="000000"/>
                <w:sz w:val="18"/>
                <w:szCs w:val="18"/>
              </w:rPr>
              <w:t>具体参见本理财产品风险揭示书。</w:t>
            </w:r>
          </w:p>
          <w:p w:rsidR="008606E1" w:rsidRDefault="005968EA">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8606E1" w:rsidRDefault="005968EA">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8606E1" w:rsidRDefault="005968EA">
            <w:pPr>
              <w:spacing w:line="200" w:lineRule="exact"/>
              <w:jc w:val="left"/>
            </w:pPr>
            <w:r>
              <w:rPr>
                <w:rFonts w:cs="宋体"/>
                <w:color w:val="000000"/>
                <w:sz w:val="18"/>
                <w:szCs w:val="18"/>
              </w:rPr>
              <w:t>二是为应对投资者的赎回，被迫以不适当的价格卖出债券或赎回基金；</w:t>
            </w:r>
          </w:p>
          <w:p w:rsidR="008606E1" w:rsidRDefault="005968EA">
            <w:pPr>
              <w:spacing w:line="200" w:lineRule="exact"/>
              <w:jc w:val="left"/>
            </w:pPr>
            <w:r>
              <w:rPr>
                <w:rFonts w:cs="宋体"/>
                <w:color w:val="000000"/>
                <w:sz w:val="18"/>
                <w:szCs w:val="18"/>
              </w:rPr>
              <w:t>三是若投资资产包括非标准化债权类资产，可能由于资产缺少流动性而难以变现。</w:t>
            </w:r>
          </w:p>
          <w:p w:rsidR="008606E1" w:rsidRDefault="005968EA">
            <w:pPr>
              <w:spacing w:line="200" w:lineRule="exact"/>
              <w:jc w:val="left"/>
            </w:pPr>
            <w:r>
              <w:rPr>
                <w:rFonts w:cs="宋体"/>
                <w:color w:val="000000"/>
                <w:sz w:val="18"/>
                <w:szCs w:val="18"/>
              </w:rPr>
              <w:t>以上情形均可能使产品净值受到不利影响。</w:t>
            </w:r>
          </w:p>
        </w:tc>
      </w:tr>
      <w:tr w:rsidR="008606E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8606E1" w:rsidRDefault="005968EA">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8606E1" w:rsidRDefault="005968EA">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w:t>
            </w:r>
            <w:r>
              <w:rPr>
                <w:rFonts w:cs="宋体"/>
                <w:color w:val="000000"/>
                <w:sz w:val="18"/>
                <w:szCs w:val="18"/>
              </w:rPr>
              <w:t>，对理财产品进行评级；</w:t>
            </w:r>
          </w:p>
          <w:p w:rsidR="008606E1" w:rsidRDefault="005968EA">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8606E1" w:rsidRDefault="005968EA">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8606E1" w:rsidRDefault="005968EA">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8606E1" w:rsidRDefault="005968EA">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8606E1" w:rsidRDefault="005968EA">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8606E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jc w:val="left"/>
            </w:pPr>
            <w:r>
              <w:rPr>
                <w:rFonts w:cs="宋体"/>
                <w:sz w:val="18"/>
                <w:szCs w:val="18"/>
              </w:rPr>
              <w:t>本理财产品销售机构为南银理财有限责任公司、南京银行股份有限公司、青岛银行股份有限公司、泰安银行股份有限公司、齐鲁银行股份有限公司、深圳前海微众银行股份有限公司、九江银行股份有限公司、重庆富民银行股份有限公司、</w:t>
            </w:r>
            <w:proofErr w:type="gramStart"/>
            <w:r>
              <w:rPr>
                <w:rFonts w:cs="宋体"/>
                <w:sz w:val="18"/>
                <w:szCs w:val="18"/>
              </w:rPr>
              <w:t>互金平台</w:t>
            </w:r>
            <w:proofErr w:type="gramEnd"/>
            <w:r>
              <w:rPr>
                <w:rFonts w:cs="宋体"/>
                <w:sz w:val="18"/>
                <w:szCs w:val="18"/>
              </w:rPr>
              <w:t>、日照银行股份有限公司、无锡</w:t>
            </w:r>
            <w:proofErr w:type="gramStart"/>
            <w:r>
              <w:rPr>
                <w:rFonts w:cs="宋体"/>
                <w:sz w:val="18"/>
                <w:szCs w:val="18"/>
              </w:rPr>
              <w:t>锡</w:t>
            </w:r>
            <w:proofErr w:type="gramEnd"/>
            <w:r>
              <w:rPr>
                <w:rFonts w:cs="宋体"/>
                <w:sz w:val="18"/>
                <w:szCs w:val="18"/>
              </w:rPr>
              <w:t>商银行股份有限公司、江苏南通农村商业银行股份有限公司、江苏如皋农村商业银行股份有限公司、江苏句容农村商业银行股份有限公司、江苏江阴农村商业银行股份有限公司、北京中关村银行股份有限公司、昆山鹿城村镇银行股份有限公司。管理人有权调整本理财产品的销售机构并进行信息披露。</w:t>
            </w:r>
          </w:p>
          <w:p w:rsidR="008606E1" w:rsidRDefault="005968EA">
            <w:pPr>
              <w:spacing w:line="200" w:lineRule="exact"/>
              <w:jc w:val="left"/>
            </w:pPr>
            <w:r>
              <w:rPr>
                <w:rFonts w:cs="宋体"/>
                <w:sz w:val="18"/>
                <w:szCs w:val="18"/>
              </w:rPr>
              <w:t>销售机构主要职责如下：</w:t>
            </w:r>
          </w:p>
          <w:p w:rsidR="008606E1" w:rsidRDefault="005968EA">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8606E1" w:rsidRDefault="005968EA">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8606E1" w:rsidRDefault="005968EA">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8606E1" w:rsidRDefault="005968EA">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8606E1" w:rsidRDefault="005968EA">
            <w:pPr>
              <w:spacing w:line="200" w:lineRule="exact"/>
              <w:jc w:val="left"/>
            </w:pPr>
            <w:r>
              <w:rPr>
                <w:rFonts w:cs="宋体"/>
                <w:sz w:val="18"/>
                <w:szCs w:val="18"/>
              </w:rPr>
              <w:t>5.</w:t>
            </w:r>
            <w:r>
              <w:rPr>
                <w:rFonts w:cs="宋体"/>
                <w:sz w:val="18"/>
                <w:szCs w:val="18"/>
              </w:rPr>
              <w:t>建立健全投资者权益保护管理体系，加强投资者适当性管理；</w:t>
            </w:r>
          </w:p>
          <w:p w:rsidR="008606E1" w:rsidRDefault="005968EA">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8606E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本理财产品托管人为南京银行股份有限公司，主要职责如下：</w:t>
            </w:r>
          </w:p>
          <w:p w:rsidR="008606E1" w:rsidRDefault="005968EA">
            <w:pPr>
              <w:spacing w:line="200" w:lineRule="exact"/>
            </w:pPr>
            <w:r>
              <w:rPr>
                <w:rFonts w:cs="宋体"/>
                <w:sz w:val="18"/>
                <w:szCs w:val="18"/>
              </w:rPr>
              <w:t>1.</w:t>
            </w:r>
            <w:r>
              <w:rPr>
                <w:rFonts w:cs="宋体"/>
                <w:sz w:val="18"/>
                <w:szCs w:val="18"/>
              </w:rPr>
              <w:t>安全保管理财产品财产；</w:t>
            </w:r>
          </w:p>
          <w:p w:rsidR="008606E1" w:rsidRDefault="005968EA">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8606E1" w:rsidRDefault="005968EA">
            <w:pPr>
              <w:spacing w:line="200" w:lineRule="exact"/>
            </w:pPr>
            <w:r>
              <w:rPr>
                <w:rFonts w:cs="宋体"/>
                <w:sz w:val="18"/>
                <w:szCs w:val="18"/>
              </w:rPr>
              <w:t>3.</w:t>
            </w:r>
            <w:r>
              <w:rPr>
                <w:rFonts w:cs="宋体"/>
                <w:sz w:val="18"/>
                <w:szCs w:val="18"/>
              </w:rPr>
              <w:t>按照托管协议约定和管理人的投资指令，及时办理清算、交割事宜；</w:t>
            </w:r>
          </w:p>
          <w:p w:rsidR="008606E1" w:rsidRDefault="005968EA">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8606E1" w:rsidRDefault="005968EA">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8606E1" w:rsidRDefault="005968EA">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606E1" w:rsidRDefault="005968EA">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8606E1" w:rsidRDefault="005968EA">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8606E1" w:rsidRDefault="005968EA">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8606E1">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交银国际信托有限公司，上述投资合作机构主要职责对应如下，具体职责以管理人与投资合作机构签署的合同为准。</w:t>
            </w:r>
          </w:p>
          <w:p w:rsidR="008606E1" w:rsidRDefault="005968EA">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管理股份有限公司、华能贵诚信托有限公司、华鑫国际信托有限公司、建信保险资产管理有限公司、交银国际信托有限公司。</w:t>
            </w:r>
          </w:p>
          <w:p w:rsidR="008606E1" w:rsidRDefault="005968EA">
            <w:pPr>
              <w:spacing w:line="200" w:lineRule="exact"/>
            </w:pPr>
            <w:r>
              <w:rPr>
                <w:rFonts w:cs="宋体"/>
                <w:sz w:val="18"/>
                <w:szCs w:val="18"/>
              </w:rPr>
              <w:t>若上述合作机构及其职责发生调整，管理人将在本理财产品的定期报告中进行信息披露。</w:t>
            </w:r>
          </w:p>
          <w:p w:rsidR="008606E1" w:rsidRDefault="005968EA">
            <w:pPr>
              <w:spacing w:line="200" w:lineRule="exact"/>
            </w:pPr>
            <w:r>
              <w:rPr>
                <w:rFonts w:cs="宋体"/>
                <w:sz w:val="18"/>
                <w:szCs w:val="18"/>
              </w:rPr>
              <w:t>上述投资合作机构简介：</w:t>
            </w:r>
          </w:p>
          <w:p w:rsidR="008606E1" w:rsidRDefault="005968EA">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8606E1" w:rsidRDefault="005968EA">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w:t>
            </w:r>
            <w:r>
              <w:rPr>
                <w:rFonts w:cs="宋体"/>
                <w:sz w:val="18"/>
                <w:szCs w:val="18"/>
              </w:rPr>
              <w:t>金</w:t>
            </w:r>
            <w:r>
              <w:rPr>
                <w:rFonts w:cs="宋体"/>
                <w:sz w:val="18"/>
                <w:szCs w:val="18"/>
              </w:rPr>
              <w:t>6</w:t>
            </w:r>
            <w:r>
              <w:rPr>
                <w:rFonts w:cs="宋体"/>
                <w:sz w:val="18"/>
                <w:szCs w:val="18"/>
              </w:rPr>
              <w:t>亿元人民币。</w:t>
            </w:r>
          </w:p>
          <w:p w:rsidR="008606E1" w:rsidRDefault="005968EA">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8606E1" w:rsidRDefault="005968EA">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8606E1" w:rsidRDefault="005968EA">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8606E1" w:rsidRDefault="005968EA">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8606E1" w:rsidRDefault="005968EA">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tc>
      </w:tr>
      <w:tr w:rsidR="008606E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8606E1" w:rsidRDefault="005968EA">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8606E1" w:rsidRDefault="005968EA">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w:t>
            </w:r>
            <w:r>
              <w:rPr>
                <w:rFonts w:cs="宋体"/>
                <w:color w:val="000000"/>
                <w:sz w:val="18"/>
                <w:szCs w:val="18"/>
              </w:rPr>
              <w:t>理人可暂停接受或延期办理。</w:t>
            </w:r>
          </w:p>
          <w:p w:rsidR="008606E1" w:rsidRDefault="005968EA">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8606E1" w:rsidRDefault="005968EA">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8606E1" w:rsidRDefault="005968EA">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w:t>
            </w:r>
            <w:r>
              <w:rPr>
                <w:rFonts w:cs="宋体"/>
                <w:color w:val="000000"/>
                <w:sz w:val="18"/>
                <w:szCs w:val="18"/>
              </w:rPr>
              <w:t>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8606E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8606E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发生下列情形时，管理人可暂停接受投资者认申购申请：</w:t>
            </w:r>
          </w:p>
          <w:p w:rsidR="008606E1" w:rsidRDefault="005968EA">
            <w:pPr>
              <w:spacing w:line="200" w:lineRule="exact"/>
            </w:pPr>
            <w:r>
              <w:rPr>
                <w:rFonts w:cs="宋体"/>
                <w:sz w:val="18"/>
                <w:szCs w:val="18"/>
              </w:rPr>
              <w:t>1.</w:t>
            </w:r>
            <w:r>
              <w:rPr>
                <w:rFonts w:cs="宋体"/>
                <w:sz w:val="18"/>
                <w:szCs w:val="18"/>
              </w:rPr>
              <w:t>因不可抗力导致理财产品无法正常运作；</w:t>
            </w:r>
          </w:p>
          <w:p w:rsidR="008606E1" w:rsidRDefault="005968EA">
            <w:pPr>
              <w:spacing w:line="200" w:lineRule="exact"/>
            </w:pPr>
            <w:r>
              <w:rPr>
                <w:rFonts w:cs="宋体"/>
                <w:sz w:val="18"/>
                <w:szCs w:val="18"/>
              </w:rPr>
              <w:t>2.</w:t>
            </w:r>
            <w:r>
              <w:rPr>
                <w:rFonts w:cs="宋体"/>
                <w:sz w:val="18"/>
                <w:szCs w:val="18"/>
              </w:rPr>
              <w:t>因监管政策、市场发生重大变化，导致理财产品无法正常运作；</w:t>
            </w:r>
          </w:p>
          <w:p w:rsidR="008606E1" w:rsidRDefault="005968EA">
            <w:pPr>
              <w:spacing w:line="200" w:lineRule="exact"/>
            </w:pPr>
            <w:r>
              <w:rPr>
                <w:rFonts w:cs="宋体"/>
                <w:sz w:val="18"/>
                <w:szCs w:val="18"/>
              </w:rPr>
              <w:t>3.</w:t>
            </w:r>
            <w:r>
              <w:rPr>
                <w:rFonts w:cs="宋体"/>
                <w:sz w:val="18"/>
                <w:szCs w:val="18"/>
              </w:rPr>
              <w:t>管理人认为需要暂停认申购的其他情形。</w:t>
            </w:r>
          </w:p>
          <w:p w:rsidR="008606E1" w:rsidRDefault="005968EA">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8606E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8606E1" w:rsidRDefault="005968EA">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8606E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8606E1" w:rsidRDefault="005968EA">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8606E1" w:rsidRDefault="005968EA">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8606E1" w:rsidRDefault="005968EA">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8606E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606E1" w:rsidRDefault="005968EA">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606E1" w:rsidRDefault="005968EA">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606E1" w:rsidRDefault="005968EA">
      <w:pPr>
        <w:pStyle w:val="Normal14d1c66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606E1" w:rsidRDefault="005968EA">
      <w:pPr>
        <w:pStyle w:val="Normal2cdb68f92cdb68f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8606E1" w:rsidRDefault="005968EA">
      <w:pPr>
        <w:pStyle w:val="Normal2cdb68f92cdb68f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8606E1" w:rsidRDefault="005968EA">
      <w:pPr>
        <w:pStyle w:val="Normal2cdb68f92cdb68f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8606E1" w:rsidRDefault="005968EA">
      <w:pPr>
        <w:pStyle w:val="Normal2cdb68f92cdb68f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8606E1" w:rsidRDefault="005968EA">
      <w:pPr>
        <w:pStyle w:val="Normal2cdb68f92cdb68f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606E1" w:rsidRDefault="005968EA">
      <w:pPr>
        <w:pStyle w:val="Normal2cdb68f92cdb68f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8606E1" w:rsidRDefault="005968EA">
      <w:pPr>
        <w:pStyle w:val="Normal2cdb68f92cdb68f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8606E1" w:rsidRDefault="005968EA">
      <w:pPr>
        <w:pStyle w:val="Normal2cdb68f92cdb68f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行稳半年</w:t>
      </w:r>
      <w:proofErr w:type="gramEnd"/>
      <w:r>
        <w:rPr>
          <w:b/>
          <w:bCs/>
          <w:color w:val="3D3D3D"/>
          <w:kern w:val="0"/>
          <w:sz w:val="15"/>
          <w:szCs w:val="15"/>
        </w:rPr>
        <w:t>定开</w:t>
      </w:r>
      <w:r>
        <w:rPr>
          <w:b/>
          <w:bCs/>
          <w:color w:val="3D3D3D"/>
          <w:kern w:val="0"/>
          <w:sz w:val="15"/>
          <w:szCs w:val="15"/>
        </w:rPr>
        <w:t>5M</w:t>
      </w:r>
      <w:r>
        <w:rPr>
          <w:b/>
          <w:bCs/>
          <w:color w:val="3D3D3D"/>
          <w:kern w:val="0"/>
          <w:sz w:val="15"/>
          <w:szCs w:val="15"/>
        </w:rPr>
        <w:t>公募人民币理财产品</w:t>
      </w:r>
      <w:r>
        <w:rPr>
          <w:rFonts w:hint="eastAsia"/>
          <w:color w:val="3D3D3D"/>
          <w:kern w:val="0"/>
          <w:sz w:val="15"/>
          <w:szCs w:val="15"/>
        </w:rPr>
        <w:t>。</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8606E1" w:rsidRDefault="005968EA">
      <w:pPr>
        <w:pStyle w:val="Normal2cdb68f92cdb68f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8606E1" w:rsidRDefault="005968EA">
      <w:pPr>
        <w:pStyle w:val="Normal2cdb68f92cdb68f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8606E1" w:rsidRDefault="005968EA">
      <w:pPr>
        <w:pStyle w:val="Normal2cdb68f92cdb68f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8606E1" w:rsidRDefault="005968EA">
      <w:pPr>
        <w:pStyle w:val="Normal2cdb68f92cdb68f9"/>
        <w:widowControl/>
        <w:tabs>
          <w:tab w:val="left" w:pos="567"/>
        </w:tabs>
        <w:spacing w:line="200" w:lineRule="exact"/>
        <w:ind w:left="289"/>
        <w:rPr>
          <w:color w:val="3D3D3D"/>
          <w:kern w:val="0"/>
          <w:sz w:val="15"/>
          <w:szCs w:val="15"/>
        </w:rPr>
      </w:pPr>
      <w:r>
        <w:rPr>
          <w:color w:val="3D3D3D"/>
          <w:kern w:val="0"/>
          <w:sz w:val="15"/>
          <w:szCs w:val="15"/>
        </w:rPr>
        <w:lastRenderedPageBreak/>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8606E1" w:rsidRDefault="005968EA">
      <w:pPr>
        <w:pStyle w:val="1db376ed9db376e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8606E1" w:rsidRDefault="005968EA">
      <w:pPr>
        <w:pStyle w:val="1db376ed9db376e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606E1" w:rsidRDefault="005968EA">
      <w:pPr>
        <w:pStyle w:val="1db376ed9db376e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8606E1" w:rsidRDefault="005968EA">
      <w:pPr>
        <w:pStyle w:val="1db376ed9db376e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606E1" w:rsidRDefault="005968EA">
      <w:pPr>
        <w:pStyle w:val="1db376ed9db376e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606E1" w:rsidRDefault="005968EA">
      <w:pPr>
        <w:pStyle w:val="1db376ed9db376ed9"/>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8606E1" w:rsidRDefault="005968EA">
      <w:pPr>
        <w:pStyle w:val="Normal2cdb68f92cdb68f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8606E1" w:rsidRDefault="005968EA">
      <w:pPr>
        <w:pStyle w:val="Normal2cdb68f92cdb68f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8606E1" w:rsidRDefault="005968EA">
      <w:pPr>
        <w:pStyle w:val="Normal2cdb68f92cdb68f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606E1" w:rsidRDefault="005968EA">
      <w:pPr>
        <w:pStyle w:val="Normal14d1c66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8606E1" w:rsidRDefault="005968EA">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8606E1" w:rsidRDefault="005968EA">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8606E1" w:rsidRDefault="005968EA">
      <w:pPr>
        <w:spacing w:line="200" w:lineRule="exact"/>
        <w:ind w:firstLine="280"/>
        <w:jc w:val="left"/>
      </w:pPr>
      <w:r>
        <w:rPr>
          <w:rFonts w:cs="宋体"/>
          <w:sz w:val="15"/>
          <w:szCs w:val="20"/>
        </w:rPr>
        <w:t>情景示例二：产品实际到期日，扣除所有税费后（如有业绩报酬，已扣除）的赎回确认每份额净值为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8606E1" w:rsidRDefault="005968EA">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8606E1" w:rsidRDefault="005968EA">
      <w:pPr>
        <w:pStyle w:val="Normal14d1c669"/>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8606E1" w:rsidRDefault="005968EA">
      <w:pPr>
        <w:pStyle w:val="Normal14d1c669"/>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8606E1" w:rsidRDefault="005968EA">
      <w:pPr>
        <w:pStyle w:val="Normal14d1c66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8606E1" w:rsidRDefault="005968EA">
      <w:pPr>
        <w:spacing w:line="200" w:lineRule="exact"/>
        <w:ind w:firstLine="300"/>
      </w:pPr>
      <w:r>
        <w:rPr>
          <w:rFonts w:cs="宋体"/>
          <w:sz w:val="15"/>
          <w:szCs w:val="20"/>
        </w:rPr>
        <w:t>（一）估值日</w:t>
      </w:r>
    </w:p>
    <w:p w:rsidR="008606E1" w:rsidRDefault="005968EA">
      <w:pPr>
        <w:spacing w:line="200" w:lineRule="exact"/>
        <w:ind w:firstLine="300"/>
      </w:pPr>
      <w:r>
        <w:rPr>
          <w:rFonts w:cs="宋体"/>
          <w:sz w:val="15"/>
          <w:szCs w:val="20"/>
        </w:rPr>
        <w:t>本理财产品每个工作日进行估值。</w:t>
      </w:r>
    </w:p>
    <w:p w:rsidR="008606E1" w:rsidRDefault="005968EA">
      <w:pPr>
        <w:spacing w:line="200" w:lineRule="exact"/>
        <w:ind w:firstLine="300"/>
      </w:pPr>
      <w:r>
        <w:rPr>
          <w:rFonts w:cs="宋体"/>
          <w:sz w:val="15"/>
          <w:szCs w:val="20"/>
        </w:rPr>
        <w:t>（二）估值对象</w:t>
      </w:r>
    </w:p>
    <w:p w:rsidR="008606E1" w:rsidRDefault="005968EA">
      <w:pPr>
        <w:spacing w:line="200" w:lineRule="exact"/>
        <w:ind w:firstLine="300"/>
      </w:pPr>
      <w:r>
        <w:rPr>
          <w:rFonts w:cs="宋体"/>
          <w:sz w:val="15"/>
          <w:szCs w:val="20"/>
        </w:rPr>
        <w:t>本理财产品所拥有的所有资产及负债。</w:t>
      </w:r>
    </w:p>
    <w:p w:rsidR="008606E1" w:rsidRDefault="005968EA">
      <w:pPr>
        <w:spacing w:line="200" w:lineRule="exact"/>
        <w:ind w:firstLine="300"/>
      </w:pPr>
      <w:r>
        <w:rPr>
          <w:rFonts w:cs="宋体"/>
          <w:sz w:val="15"/>
          <w:szCs w:val="20"/>
        </w:rPr>
        <w:t>（三）估值目的</w:t>
      </w:r>
    </w:p>
    <w:p w:rsidR="008606E1" w:rsidRDefault="005968EA">
      <w:pPr>
        <w:spacing w:line="200" w:lineRule="exact"/>
        <w:ind w:firstLine="300"/>
      </w:pPr>
      <w:r>
        <w:rPr>
          <w:rFonts w:cs="宋体"/>
          <w:sz w:val="15"/>
          <w:szCs w:val="20"/>
        </w:rPr>
        <w:t>客观、准确反映理财产品的价值。</w:t>
      </w:r>
    </w:p>
    <w:p w:rsidR="008606E1" w:rsidRDefault="005968EA">
      <w:pPr>
        <w:spacing w:line="200" w:lineRule="exact"/>
        <w:ind w:firstLine="300"/>
      </w:pPr>
      <w:r>
        <w:rPr>
          <w:rFonts w:cs="宋体"/>
          <w:sz w:val="15"/>
          <w:szCs w:val="20"/>
        </w:rPr>
        <w:t>（四）估值原则</w:t>
      </w:r>
    </w:p>
    <w:p w:rsidR="008606E1" w:rsidRDefault="005968EA">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8606E1" w:rsidRDefault="005968EA">
      <w:pPr>
        <w:spacing w:line="200" w:lineRule="exact"/>
        <w:ind w:firstLine="300"/>
      </w:pPr>
      <w:r>
        <w:rPr>
          <w:rFonts w:cs="宋体"/>
          <w:sz w:val="15"/>
          <w:szCs w:val="20"/>
        </w:rPr>
        <w:t>（五）估值方法</w:t>
      </w:r>
    </w:p>
    <w:p w:rsidR="008606E1" w:rsidRDefault="005968EA">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8606E1" w:rsidRDefault="005968EA">
      <w:pPr>
        <w:spacing w:line="200" w:lineRule="exact"/>
        <w:ind w:firstLine="280"/>
        <w:jc w:val="left"/>
      </w:pPr>
      <w:r>
        <w:rPr>
          <w:rFonts w:cs="宋体"/>
          <w:sz w:val="15"/>
          <w:szCs w:val="20"/>
        </w:rPr>
        <w:t>1.</w:t>
      </w:r>
      <w:r>
        <w:rPr>
          <w:rFonts w:cs="宋体"/>
          <w:sz w:val="15"/>
          <w:szCs w:val="20"/>
        </w:rPr>
        <w:t>银行存款、回购等货币市场工具</w:t>
      </w:r>
    </w:p>
    <w:p w:rsidR="008606E1" w:rsidRDefault="005968EA">
      <w:pPr>
        <w:spacing w:line="200" w:lineRule="exact"/>
        <w:ind w:firstLine="280"/>
        <w:jc w:val="left"/>
      </w:pPr>
      <w:r>
        <w:rPr>
          <w:rFonts w:cs="宋体"/>
          <w:sz w:val="15"/>
          <w:szCs w:val="20"/>
        </w:rPr>
        <w:t>以本金列示，按商定的利率在实际持有期间内逐日计提。</w:t>
      </w:r>
    </w:p>
    <w:p w:rsidR="008606E1" w:rsidRDefault="005968EA">
      <w:pPr>
        <w:spacing w:line="200" w:lineRule="exact"/>
        <w:ind w:firstLine="280"/>
        <w:jc w:val="left"/>
      </w:pPr>
      <w:r>
        <w:rPr>
          <w:rFonts w:cs="宋体"/>
          <w:color w:val="3D3D3D"/>
          <w:sz w:val="15"/>
          <w:szCs w:val="20"/>
        </w:rPr>
        <w:t>2.</w:t>
      </w:r>
      <w:r>
        <w:rPr>
          <w:rFonts w:cs="宋体"/>
          <w:color w:val="3D3D3D"/>
          <w:sz w:val="15"/>
          <w:szCs w:val="20"/>
        </w:rPr>
        <w:t>债券类资产</w:t>
      </w:r>
    </w:p>
    <w:p w:rsidR="008606E1" w:rsidRDefault="005968EA">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8606E1" w:rsidRDefault="005968EA">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8606E1" w:rsidRDefault="005968EA">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8606E1" w:rsidRDefault="005968EA">
      <w:pPr>
        <w:spacing w:line="200" w:lineRule="exact"/>
        <w:ind w:firstLine="280"/>
        <w:jc w:val="left"/>
      </w:pPr>
      <w:r>
        <w:rPr>
          <w:rFonts w:cs="宋体"/>
          <w:color w:val="3D3D3D"/>
          <w:sz w:val="15"/>
          <w:szCs w:val="20"/>
        </w:rPr>
        <w:t>4.</w:t>
      </w:r>
      <w:r>
        <w:rPr>
          <w:rFonts w:cs="宋体"/>
          <w:color w:val="3D3D3D"/>
          <w:sz w:val="15"/>
          <w:szCs w:val="20"/>
        </w:rPr>
        <w:t>证券投资基金</w:t>
      </w:r>
    </w:p>
    <w:p w:rsidR="008606E1" w:rsidRDefault="005968EA">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8606E1" w:rsidRDefault="005968EA">
      <w:pPr>
        <w:spacing w:line="200" w:lineRule="exact"/>
        <w:ind w:firstLine="280"/>
        <w:jc w:val="left"/>
      </w:pPr>
      <w:r>
        <w:rPr>
          <w:rFonts w:cs="宋体"/>
          <w:color w:val="3D3D3D"/>
          <w:sz w:val="15"/>
          <w:szCs w:val="20"/>
        </w:rPr>
        <w:t>5.</w:t>
      </w:r>
      <w:r>
        <w:rPr>
          <w:rFonts w:cs="宋体"/>
          <w:color w:val="3D3D3D"/>
          <w:sz w:val="15"/>
          <w:szCs w:val="20"/>
        </w:rPr>
        <w:t>股权类资产</w:t>
      </w:r>
    </w:p>
    <w:p w:rsidR="008606E1" w:rsidRDefault="005968EA">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8606E1" w:rsidRDefault="005968EA">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8606E1" w:rsidRDefault="005968EA">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8606E1" w:rsidRDefault="005968EA">
      <w:pPr>
        <w:spacing w:line="200" w:lineRule="exact"/>
        <w:ind w:firstLine="280"/>
        <w:jc w:val="left"/>
      </w:pPr>
      <w:r>
        <w:rPr>
          <w:rFonts w:cs="宋体"/>
          <w:color w:val="3D3D3D"/>
          <w:sz w:val="15"/>
          <w:szCs w:val="20"/>
        </w:rPr>
        <w:t>7.</w:t>
      </w:r>
      <w:r>
        <w:rPr>
          <w:rFonts w:cs="宋体"/>
          <w:color w:val="3D3D3D"/>
          <w:sz w:val="15"/>
          <w:szCs w:val="20"/>
        </w:rPr>
        <w:t>其他资产</w:t>
      </w:r>
    </w:p>
    <w:p w:rsidR="008606E1" w:rsidRDefault="005968EA">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8606E1" w:rsidRDefault="005968EA">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8606E1" w:rsidRDefault="005968EA">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8606E1" w:rsidRDefault="005968EA">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8606E1" w:rsidRDefault="005968EA">
      <w:pPr>
        <w:spacing w:line="200" w:lineRule="exact"/>
        <w:ind w:firstLine="300"/>
      </w:pPr>
      <w:r>
        <w:rPr>
          <w:rFonts w:cs="宋体"/>
          <w:sz w:val="15"/>
          <w:szCs w:val="20"/>
        </w:rPr>
        <w:t>（六）估值错误及暂停估值</w:t>
      </w:r>
    </w:p>
    <w:p w:rsidR="008606E1" w:rsidRDefault="005968EA">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8606E1" w:rsidRDefault="005968EA">
      <w:pPr>
        <w:pStyle w:val="Normal14d1c66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8606E1" w:rsidRDefault="005968EA">
      <w:pPr>
        <w:pStyle w:val="Normal14d1c669"/>
        <w:widowControl/>
        <w:numPr>
          <w:ilvl w:val="0"/>
          <w:numId w:val="3"/>
        </w:numPr>
        <w:spacing w:line="200" w:lineRule="exact"/>
        <w:ind w:left="0" w:firstLineChars="200" w:firstLine="301"/>
        <w:rPr>
          <w:b/>
          <w:bCs/>
          <w:kern w:val="0"/>
          <w:sz w:val="15"/>
          <w:szCs w:val="15"/>
        </w:rPr>
      </w:pPr>
      <w:r>
        <w:rPr>
          <w:rFonts w:hint="eastAsia"/>
          <w:b/>
          <w:bCs/>
          <w:kern w:val="0"/>
          <w:sz w:val="15"/>
          <w:szCs w:val="15"/>
        </w:rPr>
        <w:lastRenderedPageBreak/>
        <w:t>信息披露渠道</w:t>
      </w:r>
    </w:p>
    <w:p w:rsidR="008606E1" w:rsidRDefault="005968EA">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8606E1" w:rsidRDefault="005968EA">
      <w:pPr>
        <w:pStyle w:val="Normal14d1c66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8606E1" w:rsidRDefault="005968EA">
      <w:pPr>
        <w:pStyle w:val="Normal14d1c66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8606E1" w:rsidRDefault="005968EA">
      <w:pPr>
        <w:pStyle w:val="Normal14d1c66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8606E1" w:rsidRDefault="005968EA">
      <w:pPr>
        <w:pStyle w:val="Normal14d1c6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8606E1" w:rsidRDefault="005968EA">
      <w:pPr>
        <w:pStyle w:val="Normal14d1c669"/>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8606E1" w:rsidRDefault="005968EA">
      <w:pPr>
        <w:pStyle w:val="Normal14d1c6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8606E1" w:rsidRDefault="005968EA">
      <w:pPr>
        <w:pStyle w:val="Normal14d1c66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8606E1" w:rsidRDefault="005968EA">
      <w:pPr>
        <w:pStyle w:val="Normal14d1c6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8606E1" w:rsidRDefault="005968EA">
      <w:pPr>
        <w:pStyle w:val="Normal14d1c66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8606E1" w:rsidRDefault="005968EA">
      <w:pPr>
        <w:pStyle w:val="Normal14d1c6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8606E1" w:rsidRDefault="005968EA">
      <w:pPr>
        <w:pStyle w:val="Normal14d1c66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8606E1" w:rsidRDefault="005968EA">
      <w:pPr>
        <w:pStyle w:val="Normal14d1c6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8606E1" w:rsidRDefault="005968EA">
      <w:pPr>
        <w:pStyle w:val="Normal14d1c66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8606E1" w:rsidRDefault="005968EA">
      <w:pPr>
        <w:pStyle w:val="Normal14d1c6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8606E1" w:rsidRDefault="005968EA">
      <w:pPr>
        <w:pStyle w:val="Normal14d1c66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8606E1" w:rsidRDefault="005968EA">
      <w:pPr>
        <w:pStyle w:val="Normal14d1c66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8606E1" w:rsidRDefault="005968EA">
      <w:pPr>
        <w:pStyle w:val="Normal14d1c669"/>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8606E1" w:rsidRDefault="005968EA">
      <w:pPr>
        <w:pStyle w:val="Normal14d1c66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8606E1" w:rsidRDefault="005968EA">
      <w:pPr>
        <w:pStyle w:val="Normal14d1c66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606E1" w:rsidRDefault="005968EA">
      <w:pPr>
        <w:pStyle w:val="Normal14d1c66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8606E1" w:rsidRDefault="005968EA">
      <w:pPr>
        <w:pStyle w:val="Normal14d1c66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8606E1" w:rsidRDefault="005968EA">
      <w:pPr>
        <w:pStyle w:val="Normal14d1c66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8606E1" w:rsidRDefault="005968EA">
      <w:pPr>
        <w:pStyle w:val="Normal14d1c66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8606E1" w:rsidRDefault="005968EA">
      <w:pPr>
        <w:pStyle w:val="Normal14d1c66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606E1" w:rsidRDefault="005968EA">
      <w:pPr>
        <w:pStyle w:val="Normal14d1c66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606E1" w:rsidRDefault="005968EA">
      <w:pPr>
        <w:pStyle w:val="Normal14d1c66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8606E1" w:rsidRDefault="005968EA">
      <w:pPr>
        <w:pStyle w:val="Normal14d1c66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8606E1" w:rsidRDefault="005968EA">
      <w:pPr>
        <w:pStyle w:val="Normal14d1c66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8606E1" w:rsidRDefault="005968EA">
      <w:pPr>
        <w:pStyle w:val="Normal14d1c66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8606E1" w:rsidRDefault="005968EA">
      <w:pPr>
        <w:pStyle w:val="Normal14d1c66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8606E1" w:rsidRDefault="005968EA">
      <w:pPr>
        <w:pStyle w:val="Normal14d1c66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8606E1" w:rsidRDefault="005968EA">
      <w:pPr>
        <w:pStyle w:val="Normal14d1c669"/>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8606E1" w:rsidRDefault="008606E1">
      <w:pPr>
        <w:pStyle w:val="Normal14d1c669"/>
        <w:widowControl/>
        <w:rPr>
          <w:b/>
          <w:bCs/>
          <w:color w:val="3D3D3D"/>
          <w:kern w:val="0"/>
          <w:sz w:val="15"/>
          <w:szCs w:val="15"/>
        </w:rPr>
      </w:pPr>
    </w:p>
    <w:p w:rsidR="008606E1" w:rsidRDefault="005968EA">
      <w:pPr>
        <w:pStyle w:val="Normal14d1c669"/>
        <w:widowControl/>
        <w:rPr>
          <w:b/>
          <w:bCs/>
          <w:color w:val="3D3D3D"/>
          <w:kern w:val="0"/>
          <w:sz w:val="15"/>
          <w:szCs w:val="15"/>
        </w:rPr>
      </w:pPr>
      <w:r>
        <w:rPr>
          <w:rFonts w:hint="eastAsia"/>
          <w:b/>
          <w:bCs/>
          <w:color w:val="3D3D3D"/>
          <w:kern w:val="0"/>
          <w:sz w:val="15"/>
          <w:szCs w:val="15"/>
        </w:rPr>
        <w:t>风险提示：</w:t>
      </w:r>
    </w:p>
    <w:p w:rsidR="008606E1" w:rsidRDefault="005968EA">
      <w:pPr>
        <w:pStyle w:val="Normal14d1c669"/>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2A556A" w:rsidRDefault="002A556A" w:rsidP="002A556A">
      <w:pPr>
        <w:pStyle w:val="10"/>
      </w:pPr>
    </w:p>
    <w:p w:rsidR="002A556A" w:rsidRDefault="002A556A" w:rsidP="002A556A"/>
    <w:p w:rsidR="002A556A" w:rsidRDefault="002A556A" w:rsidP="002A556A"/>
    <w:p w:rsidR="002A556A" w:rsidRDefault="002A556A" w:rsidP="002A556A"/>
    <w:p w:rsidR="002A556A" w:rsidRDefault="002A556A" w:rsidP="002A556A"/>
    <w:p w:rsidR="002A556A" w:rsidRDefault="002A556A" w:rsidP="002A556A"/>
    <w:p w:rsidR="002A556A" w:rsidRDefault="002A556A" w:rsidP="002A556A"/>
    <w:p w:rsidR="002A556A" w:rsidRDefault="002A556A" w:rsidP="002A556A"/>
    <w:p w:rsidR="002A556A" w:rsidRDefault="002A556A" w:rsidP="002A556A"/>
    <w:p w:rsidR="002A556A" w:rsidRDefault="002A556A" w:rsidP="002A556A"/>
    <w:p w:rsidR="002A556A" w:rsidRDefault="002A556A" w:rsidP="002A556A"/>
    <w:p w:rsidR="002A556A" w:rsidRDefault="002A556A" w:rsidP="002A556A"/>
    <w:p w:rsidR="002A556A" w:rsidRDefault="002A556A" w:rsidP="002A556A"/>
    <w:p w:rsidR="002A556A" w:rsidRDefault="002A556A" w:rsidP="002A556A"/>
    <w:p w:rsidR="002A556A" w:rsidRDefault="002A556A" w:rsidP="002A556A">
      <w:pPr>
        <w:rPr>
          <w:rFonts w:hint="eastAsia"/>
        </w:rPr>
      </w:pPr>
      <w:bookmarkStart w:id="0" w:name="_GoBack"/>
      <w:bookmarkEnd w:id="0"/>
    </w:p>
    <w:p w:rsidR="002A556A" w:rsidRDefault="002A556A" w:rsidP="002A556A">
      <w:pPr>
        <w:jc w:val="center"/>
        <w:rPr>
          <w:rFonts w:ascii="黑体" w:eastAsia="黑体" w:hAnsi="宋体"/>
          <w:b/>
          <w:bCs/>
          <w:sz w:val="24"/>
          <w:szCs w:val="15"/>
        </w:rPr>
      </w:pPr>
      <w:r>
        <w:rPr>
          <w:rFonts w:ascii="黑体" w:eastAsia="黑体" w:hAnsi="宋体" w:hint="eastAsia"/>
          <w:b/>
          <w:bCs/>
          <w:sz w:val="24"/>
          <w:szCs w:val="15"/>
        </w:rPr>
        <w:t>投资者权益须知</w:t>
      </w:r>
    </w:p>
    <w:p w:rsidR="002A556A" w:rsidRDefault="002A556A" w:rsidP="002A556A">
      <w:pPr>
        <w:ind w:firstLineChars="200" w:firstLine="321"/>
        <w:jc w:val="center"/>
        <w:rPr>
          <w:rFonts w:ascii="宋体" w:hAnsi="宋体"/>
          <w:b/>
          <w:i/>
          <w:sz w:val="16"/>
          <w:szCs w:val="15"/>
          <w:u w:val="single"/>
        </w:rPr>
      </w:pPr>
    </w:p>
    <w:p w:rsidR="002A556A" w:rsidRDefault="002A556A" w:rsidP="002A556A">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2A556A" w:rsidRDefault="002A556A" w:rsidP="002A556A">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2A556A" w:rsidRDefault="002A556A" w:rsidP="002A556A">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2A556A" w:rsidRDefault="002A556A" w:rsidP="002A556A">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2A556A" w:rsidRDefault="002A556A" w:rsidP="002A556A">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2A556A" w:rsidRDefault="002A556A" w:rsidP="002A556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2A556A" w:rsidRDefault="002A556A" w:rsidP="002A556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2A556A" w:rsidRDefault="002A556A" w:rsidP="002A556A">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2A556A" w:rsidRDefault="002A556A" w:rsidP="002A556A">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2A556A" w:rsidRDefault="002A556A" w:rsidP="002A556A">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2A556A" w:rsidRDefault="002A556A" w:rsidP="002A556A">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2A556A" w:rsidRDefault="002A556A" w:rsidP="002A556A">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2A556A" w:rsidRDefault="002A556A" w:rsidP="002A556A">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2A556A" w:rsidRDefault="002A556A" w:rsidP="002A556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2A556A" w:rsidRDefault="002A556A" w:rsidP="002A556A">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2A556A" w:rsidRDefault="002A556A" w:rsidP="002A556A">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2A556A" w:rsidRDefault="002A556A" w:rsidP="002A556A">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2A556A" w:rsidRDefault="002A556A" w:rsidP="002A556A">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2A556A" w:rsidRDefault="002A556A" w:rsidP="002A556A">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2A556A" w:rsidRDefault="002A556A" w:rsidP="002A556A">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2A556A" w:rsidRDefault="002A556A" w:rsidP="002A556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2A556A" w:rsidRDefault="002A556A" w:rsidP="002A556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2A556A" w:rsidRDefault="002A556A" w:rsidP="002A556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2A556A" w:rsidRDefault="002A556A" w:rsidP="002A556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2A556A" w:rsidRDefault="002A556A" w:rsidP="002A556A">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2A556A" w:rsidRPr="009807FC" w:rsidRDefault="002A556A" w:rsidP="002A556A">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2A556A" w:rsidRPr="009807FC" w:rsidRDefault="002A556A" w:rsidP="002A556A">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2A556A" w:rsidRPr="009807FC" w:rsidRDefault="002A556A" w:rsidP="002A556A">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2A556A" w:rsidRPr="009807FC" w:rsidRDefault="002A556A" w:rsidP="002A556A">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2A556A" w:rsidRPr="009807FC" w:rsidRDefault="002A556A" w:rsidP="002A556A">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2A556A" w:rsidRPr="009807FC" w:rsidRDefault="002A556A" w:rsidP="002A556A">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2A556A" w:rsidRDefault="002A556A" w:rsidP="002A556A">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2A556A" w:rsidRDefault="002A556A" w:rsidP="002A556A">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2A556A" w:rsidRDefault="002A556A" w:rsidP="002A556A">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2A556A" w:rsidRDefault="002A556A" w:rsidP="002A556A">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2A556A" w:rsidRDefault="002A556A" w:rsidP="002A556A">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2A556A" w:rsidRDefault="002A556A" w:rsidP="002A556A">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2A556A" w:rsidRDefault="002A556A" w:rsidP="002A556A">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2A556A" w:rsidRDefault="002A556A" w:rsidP="002A556A">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2A556A" w:rsidRDefault="002A556A" w:rsidP="002A556A">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2A556A" w:rsidRDefault="002A556A" w:rsidP="002A556A">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2A556A" w:rsidRDefault="002A556A" w:rsidP="002A556A">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2A556A" w:rsidRDefault="002A556A" w:rsidP="002A556A">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2A556A" w:rsidRDefault="002A556A" w:rsidP="002A556A">
      <w:pPr>
        <w:pStyle w:val="ab"/>
        <w:spacing w:before="0" w:after="0" w:line="240" w:lineRule="auto"/>
        <w:ind w:firstLineChars="198" w:firstLine="338"/>
        <w:jc w:val="both"/>
        <w:rPr>
          <w:b/>
          <w:bCs/>
          <w:spacing w:val="10"/>
          <w:kern w:val="2"/>
          <w:sz w:val="15"/>
          <w:szCs w:val="15"/>
        </w:rPr>
      </w:pPr>
    </w:p>
    <w:p w:rsidR="002A556A" w:rsidRDefault="002A556A" w:rsidP="002A556A">
      <w:pPr>
        <w:pStyle w:val="ab"/>
        <w:spacing w:before="0" w:after="0" w:line="240" w:lineRule="auto"/>
        <w:ind w:firstLineChars="198" w:firstLine="338"/>
        <w:jc w:val="both"/>
        <w:rPr>
          <w:b/>
          <w:bCs/>
          <w:spacing w:val="10"/>
          <w:kern w:val="2"/>
          <w:sz w:val="15"/>
          <w:szCs w:val="15"/>
        </w:rPr>
      </w:pPr>
    </w:p>
    <w:p w:rsidR="002A556A" w:rsidRDefault="002A556A" w:rsidP="002A556A">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2A556A" w:rsidTr="008E4FFA">
        <w:trPr>
          <w:trHeight w:val="178"/>
          <w:jc w:val="center"/>
        </w:trPr>
        <w:tc>
          <w:tcPr>
            <w:tcW w:w="1866" w:type="dxa"/>
            <w:vMerge w:val="restart"/>
            <w:tcBorders>
              <w:top w:val="single" w:sz="4" w:space="0" w:color="auto"/>
              <w:left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2A556A" w:rsidTr="008E4FFA">
        <w:trPr>
          <w:trHeight w:val="735"/>
          <w:jc w:val="center"/>
        </w:trPr>
        <w:tc>
          <w:tcPr>
            <w:tcW w:w="1866" w:type="dxa"/>
            <w:vMerge/>
            <w:tcBorders>
              <w:left w:val="single" w:sz="4" w:space="0" w:color="auto"/>
              <w:bottom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2A556A" w:rsidTr="008E4FFA">
        <w:trPr>
          <w:trHeight w:val="270"/>
          <w:jc w:val="center"/>
        </w:trPr>
        <w:tc>
          <w:tcPr>
            <w:tcW w:w="1866" w:type="dxa"/>
            <w:tcBorders>
              <w:top w:val="nil"/>
              <w:left w:val="single" w:sz="4" w:space="0" w:color="auto"/>
              <w:bottom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r>
      <w:tr w:rsidR="002A556A" w:rsidTr="008E4FFA">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A556A" w:rsidRDefault="002A556A" w:rsidP="008E4FFA">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r>
      <w:tr w:rsidR="002A556A" w:rsidTr="008E4FFA">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A556A" w:rsidRDefault="002A556A" w:rsidP="008E4FFA">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r>
      <w:tr w:rsidR="002A556A" w:rsidTr="008E4FFA">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r>
      <w:tr w:rsidR="002A556A" w:rsidTr="008E4FFA">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A556A" w:rsidRDefault="002A556A" w:rsidP="008E4FFA">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A556A" w:rsidRDefault="002A556A" w:rsidP="008E4FFA">
            <w:pPr>
              <w:widowControl/>
              <w:snapToGrid w:val="0"/>
              <w:jc w:val="center"/>
              <w:rPr>
                <w:rFonts w:ascii="宋体" w:hAnsi="宋体" w:cs="宋体"/>
                <w:kern w:val="0"/>
                <w:sz w:val="15"/>
                <w:szCs w:val="15"/>
              </w:rPr>
            </w:pPr>
            <w:r>
              <w:rPr>
                <w:rFonts w:hint="eastAsia"/>
                <w:spacing w:val="10"/>
                <w:sz w:val="15"/>
                <w:szCs w:val="15"/>
              </w:rPr>
              <w:t>×</w:t>
            </w:r>
          </w:p>
        </w:tc>
      </w:tr>
    </w:tbl>
    <w:p w:rsidR="002A556A" w:rsidRDefault="002A556A" w:rsidP="002A556A">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2A556A" w:rsidRDefault="002A556A" w:rsidP="002A556A">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2A556A" w:rsidRDefault="002A556A" w:rsidP="002A556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2A556A" w:rsidRDefault="002A556A" w:rsidP="002A556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2A556A" w:rsidRDefault="002A556A" w:rsidP="002A556A">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2A556A" w:rsidRDefault="002A556A" w:rsidP="002A556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2A556A" w:rsidRDefault="002A556A" w:rsidP="002A556A">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2A556A" w:rsidRDefault="002A556A" w:rsidP="002A556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2A556A" w:rsidRDefault="002A556A" w:rsidP="002A556A">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2A556A" w:rsidRDefault="002A556A" w:rsidP="002A556A">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2A556A" w:rsidRDefault="002A556A" w:rsidP="002A556A">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2A556A" w:rsidRDefault="002A556A" w:rsidP="002A556A">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2A556A" w:rsidRDefault="002A556A" w:rsidP="002A556A">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2A556A" w:rsidRDefault="002A556A" w:rsidP="002A556A">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2A556A" w:rsidRDefault="002A556A" w:rsidP="002A556A">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2A556A" w:rsidRDefault="002A556A" w:rsidP="002A556A">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2A556A" w:rsidRDefault="002A556A" w:rsidP="002A556A">
      <w:pPr>
        <w:pStyle w:val="ab"/>
        <w:spacing w:before="0" w:after="0" w:line="240" w:lineRule="auto"/>
        <w:ind w:firstLineChars="200" w:firstLine="341"/>
        <w:rPr>
          <w:b/>
          <w:spacing w:val="10"/>
          <w:kern w:val="2"/>
          <w:sz w:val="15"/>
          <w:szCs w:val="15"/>
        </w:rPr>
      </w:pPr>
    </w:p>
    <w:p w:rsidR="002A556A" w:rsidRDefault="002A556A" w:rsidP="002A556A">
      <w:pPr>
        <w:pStyle w:val="ab"/>
        <w:spacing w:before="0" w:after="0" w:line="240" w:lineRule="auto"/>
        <w:ind w:firstLine="0"/>
        <w:jc w:val="both"/>
        <w:rPr>
          <w:b/>
          <w:spacing w:val="10"/>
          <w:kern w:val="2"/>
          <w:sz w:val="15"/>
          <w:szCs w:val="15"/>
          <w:u w:val="single"/>
        </w:rPr>
      </w:pPr>
    </w:p>
    <w:p w:rsidR="002A556A" w:rsidRDefault="002A556A" w:rsidP="002A556A">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2A556A" w:rsidRDefault="002A556A" w:rsidP="002A556A">
      <w:pPr>
        <w:ind w:firstLineChars="200" w:firstLine="341"/>
        <w:rPr>
          <w:b/>
          <w:spacing w:val="10"/>
          <w:sz w:val="15"/>
          <w:szCs w:val="15"/>
          <w:u w:val="single"/>
        </w:rPr>
        <w:sectPr w:rsidR="002A556A">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r>
        <w:rPr>
          <w:rFonts w:eastAsia="黑体"/>
          <w:b/>
          <w:bCs/>
          <w:sz w:val="24"/>
          <w:szCs w:val="15"/>
        </w:rPr>
        <w:t>理财产品销售协议书</w:t>
      </w:r>
    </w:p>
    <w:p w:rsidR="002A556A" w:rsidRDefault="002A556A" w:rsidP="002A556A">
      <w:pPr>
        <w:tabs>
          <w:tab w:val="left" w:pos="0"/>
        </w:tabs>
        <w:jc w:val="center"/>
      </w:pPr>
    </w:p>
    <w:p w:rsidR="002A556A" w:rsidRDefault="002A556A" w:rsidP="002A556A">
      <w:pPr>
        <w:tabs>
          <w:tab w:val="left" w:pos="0"/>
        </w:tabs>
        <w:jc w:val="center"/>
      </w:pPr>
    </w:p>
    <w:p w:rsidR="002A556A" w:rsidRDefault="002A556A" w:rsidP="002A556A">
      <w:pPr>
        <w:tabs>
          <w:tab w:val="left" w:pos="0"/>
        </w:tabs>
        <w:jc w:val="center"/>
      </w:pPr>
    </w:p>
    <w:p w:rsidR="002A556A" w:rsidRDefault="002A556A" w:rsidP="002A556A">
      <w:pPr>
        <w:tabs>
          <w:tab w:val="left" w:pos="0"/>
        </w:tabs>
        <w:jc w:val="center"/>
      </w:pPr>
    </w:p>
    <w:p w:rsidR="002A556A" w:rsidRDefault="002A556A" w:rsidP="002A556A">
      <w:pPr>
        <w:tabs>
          <w:tab w:val="left" w:pos="0"/>
        </w:tabs>
        <w:jc w:val="center"/>
      </w:pPr>
    </w:p>
    <w:p w:rsidR="002A556A" w:rsidRDefault="002A556A" w:rsidP="002A556A">
      <w:pPr>
        <w:tabs>
          <w:tab w:val="left" w:pos="0"/>
        </w:tabs>
        <w:jc w:val="center"/>
      </w:pPr>
    </w:p>
    <w:p w:rsidR="002A556A" w:rsidRDefault="002A556A" w:rsidP="002A556A">
      <w:pPr>
        <w:tabs>
          <w:tab w:val="left" w:pos="0"/>
        </w:tabs>
        <w:jc w:val="center"/>
      </w:pPr>
    </w:p>
    <w:p w:rsidR="002A556A" w:rsidRDefault="002A556A" w:rsidP="002A556A">
      <w:pPr>
        <w:tabs>
          <w:tab w:val="left" w:pos="0"/>
        </w:tabs>
        <w:jc w:val="center"/>
      </w:pPr>
    </w:p>
    <w:p w:rsidR="002A556A" w:rsidRDefault="002A556A" w:rsidP="002A556A">
      <w:pPr>
        <w:tabs>
          <w:tab w:val="left" w:pos="0"/>
        </w:tabs>
        <w:jc w:val="center"/>
      </w:pPr>
      <w:r>
        <w:t>编制单位：</w:t>
      </w:r>
      <w:r>
        <w:rPr>
          <w:u w:val="single"/>
        </w:rPr>
        <w:t>南银理财有限责任公司</w:t>
      </w:r>
    </w:p>
    <w:p w:rsidR="002A556A" w:rsidRDefault="002A556A" w:rsidP="002A556A">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2A556A" w:rsidRDefault="002A556A" w:rsidP="002A556A">
      <w:pPr>
        <w:adjustRightInd w:val="0"/>
        <w:snapToGrid w:val="0"/>
        <w:spacing w:line="0" w:lineRule="atLeast"/>
        <w:rPr>
          <w:b/>
          <w:bCs/>
        </w:rPr>
      </w:pPr>
      <w:r>
        <w:rPr>
          <w:b/>
          <w:bCs/>
        </w:rPr>
        <w:lastRenderedPageBreak/>
        <w:t>风险提示：</w:t>
      </w:r>
    </w:p>
    <w:p w:rsidR="002A556A" w:rsidRDefault="002A556A" w:rsidP="002A556A">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2A556A" w:rsidRDefault="002A556A" w:rsidP="002A556A">
      <w:pPr>
        <w:tabs>
          <w:tab w:val="left" w:pos="7920"/>
          <w:tab w:val="left" w:pos="8100"/>
        </w:tabs>
        <w:spacing w:line="0" w:lineRule="atLeast"/>
        <w:rPr>
          <w:b/>
          <w:bCs/>
        </w:rPr>
      </w:pPr>
    </w:p>
    <w:p w:rsidR="002A556A" w:rsidRDefault="002A556A" w:rsidP="002A556A">
      <w:pPr>
        <w:spacing w:line="0" w:lineRule="atLeast"/>
        <w:jc w:val="center"/>
        <w:rPr>
          <w:rFonts w:eastAsia="黑体"/>
          <w:b/>
          <w:bCs/>
          <w:sz w:val="24"/>
          <w:szCs w:val="15"/>
        </w:rPr>
      </w:pPr>
    </w:p>
    <w:p w:rsidR="002A556A" w:rsidRDefault="002A556A" w:rsidP="002A556A">
      <w:pPr>
        <w:spacing w:line="0" w:lineRule="atLeast"/>
        <w:jc w:val="center"/>
        <w:rPr>
          <w:rFonts w:eastAsia="黑体"/>
          <w:b/>
          <w:bCs/>
          <w:sz w:val="24"/>
          <w:szCs w:val="15"/>
        </w:rPr>
      </w:pPr>
      <w:r>
        <w:rPr>
          <w:rFonts w:eastAsia="黑体"/>
          <w:b/>
          <w:bCs/>
          <w:sz w:val="24"/>
          <w:szCs w:val="15"/>
        </w:rPr>
        <w:t>理财产品销售协议书</w:t>
      </w:r>
    </w:p>
    <w:p w:rsidR="002A556A" w:rsidRDefault="002A556A" w:rsidP="002A556A">
      <w:pPr>
        <w:spacing w:line="200" w:lineRule="exact"/>
        <w:ind w:firstLineChars="200" w:firstLine="300"/>
        <w:rPr>
          <w:rFonts w:eastAsia="方正细黑一简体"/>
          <w:sz w:val="15"/>
          <w:szCs w:val="15"/>
        </w:rPr>
      </w:pPr>
    </w:p>
    <w:p w:rsidR="002A556A" w:rsidRDefault="002A556A" w:rsidP="002A556A">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2A556A" w:rsidRDefault="002A556A" w:rsidP="002A556A">
      <w:pPr>
        <w:numPr>
          <w:ilvl w:val="0"/>
          <w:numId w:val="6"/>
        </w:numPr>
        <w:spacing w:line="200" w:lineRule="exact"/>
        <w:ind w:firstLineChars="200" w:firstLine="341"/>
        <w:rPr>
          <w:b/>
          <w:bCs/>
          <w:spacing w:val="10"/>
          <w:sz w:val="15"/>
          <w:szCs w:val="15"/>
        </w:rPr>
      </w:pPr>
      <w:r>
        <w:rPr>
          <w:b/>
          <w:bCs/>
          <w:spacing w:val="10"/>
          <w:sz w:val="15"/>
          <w:szCs w:val="15"/>
        </w:rPr>
        <w:t>名词释义</w:t>
      </w:r>
    </w:p>
    <w:p w:rsidR="002A556A" w:rsidRDefault="002A556A" w:rsidP="002A556A">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2A556A" w:rsidRDefault="002A556A" w:rsidP="002A556A">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2A556A" w:rsidRDefault="002A556A" w:rsidP="002A556A">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2A556A" w:rsidRDefault="002A556A" w:rsidP="002A556A">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2A556A" w:rsidRDefault="002A556A" w:rsidP="002A556A">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2A556A" w:rsidRDefault="002A556A" w:rsidP="002A556A">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2A556A" w:rsidRDefault="002A556A" w:rsidP="002A556A">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2A556A" w:rsidRDefault="002A556A" w:rsidP="002A556A">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2A556A" w:rsidRDefault="002A556A" w:rsidP="002A556A">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2A556A" w:rsidRDefault="002A556A" w:rsidP="002A556A">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2A556A" w:rsidRDefault="002A556A" w:rsidP="002A556A">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2A556A" w:rsidRDefault="002A556A" w:rsidP="002A556A">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2A556A" w:rsidRDefault="002A556A" w:rsidP="002A556A">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2A556A" w:rsidRDefault="002A556A" w:rsidP="002A556A">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2A556A" w:rsidRDefault="002A556A" w:rsidP="002A556A">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2A556A" w:rsidRDefault="002A556A" w:rsidP="002A556A">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2A556A" w:rsidRDefault="002A556A" w:rsidP="002A556A">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2A556A" w:rsidRDefault="002A556A" w:rsidP="002A556A">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2A556A" w:rsidRDefault="002A556A" w:rsidP="002A556A">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2A556A" w:rsidRDefault="002A556A" w:rsidP="002A556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2A556A" w:rsidRDefault="002A556A" w:rsidP="002A556A">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2A556A" w:rsidRDefault="002A556A" w:rsidP="002A556A">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2A556A" w:rsidRDefault="002A556A" w:rsidP="002A556A">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2A556A" w:rsidRDefault="002A556A" w:rsidP="002A556A">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2A556A" w:rsidRDefault="002A556A" w:rsidP="002A556A">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2A556A" w:rsidRDefault="002A556A" w:rsidP="002A556A">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2A556A" w:rsidRDefault="002A556A" w:rsidP="002A556A">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2A556A" w:rsidRDefault="002A556A" w:rsidP="002A556A">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2A556A" w:rsidRDefault="002A556A" w:rsidP="002A556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2A556A" w:rsidRDefault="002A556A" w:rsidP="002A556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2A556A" w:rsidRDefault="002A556A" w:rsidP="002A556A">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2A556A" w:rsidRDefault="002A556A" w:rsidP="002A556A">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2A556A" w:rsidRDefault="002A556A" w:rsidP="002A556A">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2A556A" w:rsidRDefault="002A556A" w:rsidP="002A556A">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2A556A" w:rsidRDefault="002A556A" w:rsidP="002A556A">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A556A" w:rsidRDefault="002A556A" w:rsidP="002A556A">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2A556A" w:rsidRDefault="002A556A" w:rsidP="002A556A">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2A556A" w:rsidRDefault="002A556A" w:rsidP="002A556A">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2A556A" w:rsidRDefault="002A556A" w:rsidP="002A556A">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2A556A" w:rsidRDefault="002A556A" w:rsidP="002A556A">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2A556A" w:rsidRDefault="002A556A" w:rsidP="002A556A">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2A556A" w:rsidRDefault="002A556A" w:rsidP="002A556A">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2A556A" w:rsidRDefault="002A556A" w:rsidP="002A556A">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2A556A" w:rsidRDefault="002A556A" w:rsidP="002A556A">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2A556A" w:rsidRDefault="002A556A" w:rsidP="002A556A">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2A556A" w:rsidRDefault="002A556A" w:rsidP="002A556A">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2A556A" w:rsidRDefault="002A556A" w:rsidP="002A556A">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2A556A" w:rsidRDefault="002A556A" w:rsidP="002A556A">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2A556A" w:rsidRDefault="002A556A" w:rsidP="002A556A">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2A556A" w:rsidRDefault="002A556A" w:rsidP="002A556A">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2A556A" w:rsidRDefault="002A556A" w:rsidP="002A556A">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2A556A" w:rsidRDefault="002A556A" w:rsidP="002A556A">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2A556A" w:rsidRDefault="002A556A" w:rsidP="002A556A">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2A556A" w:rsidRDefault="002A556A" w:rsidP="002A556A">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2A556A" w:rsidRDefault="002A556A" w:rsidP="002A556A">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2A556A" w:rsidRDefault="002A556A" w:rsidP="002A556A">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2A556A" w:rsidRDefault="002A556A" w:rsidP="002A556A">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2A556A" w:rsidRDefault="002A556A" w:rsidP="002A556A">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2A556A" w:rsidRDefault="002A556A" w:rsidP="002A556A">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2A556A" w:rsidRDefault="002A556A" w:rsidP="002A556A">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2A556A" w:rsidRDefault="002A556A" w:rsidP="002A556A">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2A556A" w:rsidRDefault="002A556A" w:rsidP="002A556A">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2A556A" w:rsidRDefault="002A556A" w:rsidP="002A556A">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2A556A" w:rsidRDefault="002A556A" w:rsidP="002A556A">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2A556A" w:rsidRDefault="002A556A" w:rsidP="002A556A">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2A556A" w:rsidRDefault="002A556A" w:rsidP="002A556A">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2A556A" w:rsidRDefault="002A556A" w:rsidP="002A556A">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2A556A" w:rsidRDefault="002A556A" w:rsidP="002A556A">
      <w:pPr>
        <w:spacing w:line="200" w:lineRule="exact"/>
        <w:ind w:firstLineChars="200" w:firstLine="341"/>
        <w:rPr>
          <w:b/>
          <w:spacing w:val="10"/>
          <w:sz w:val="15"/>
          <w:szCs w:val="15"/>
        </w:rPr>
      </w:pPr>
      <w:r>
        <w:rPr>
          <w:rFonts w:hint="eastAsia"/>
          <w:b/>
          <w:spacing w:val="10"/>
          <w:sz w:val="15"/>
          <w:szCs w:val="15"/>
        </w:rPr>
        <w:t xml:space="preserve">7.产品资产的清算 </w:t>
      </w:r>
    </w:p>
    <w:p w:rsidR="002A556A" w:rsidRDefault="002A556A" w:rsidP="002A556A">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2A556A" w:rsidRDefault="002A556A" w:rsidP="002A556A">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2A556A" w:rsidRDefault="002A556A" w:rsidP="002A556A">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2A556A" w:rsidRDefault="002A556A" w:rsidP="002A556A">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2A556A" w:rsidRDefault="002A556A" w:rsidP="002A556A">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2A556A" w:rsidRDefault="002A556A" w:rsidP="002A556A">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A556A" w:rsidRPr="00996FE5" w:rsidRDefault="002A556A" w:rsidP="002A556A">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2A556A" w:rsidRPr="00996FE5" w:rsidRDefault="002A556A" w:rsidP="002A556A">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2A556A" w:rsidRPr="00996FE5" w:rsidRDefault="002A556A" w:rsidP="002A556A">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2A556A" w:rsidRPr="00996FE5" w:rsidRDefault="002A556A" w:rsidP="002A556A">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2A556A" w:rsidRPr="00996FE5" w:rsidRDefault="002A556A" w:rsidP="002A556A">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2A556A" w:rsidRDefault="002A556A" w:rsidP="002A556A">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2A556A" w:rsidRDefault="002A556A" w:rsidP="002A556A">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2A556A" w:rsidRDefault="002A556A" w:rsidP="002A556A">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2A556A" w:rsidRDefault="002A556A" w:rsidP="002A556A">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2A556A" w:rsidRDefault="002A556A" w:rsidP="002A556A">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2A556A" w:rsidRDefault="002A556A" w:rsidP="002A556A">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2A556A" w:rsidRDefault="002A556A" w:rsidP="002A556A">
      <w:pPr>
        <w:numPr>
          <w:ilvl w:val="0"/>
          <w:numId w:val="12"/>
        </w:numPr>
        <w:spacing w:line="200" w:lineRule="exact"/>
        <w:ind w:firstLineChars="200" w:firstLine="340"/>
        <w:rPr>
          <w:spacing w:val="10"/>
          <w:sz w:val="15"/>
          <w:szCs w:val="15"/>
        </w:rPr>
      </w:pPr>
      <w:r>
        <w:rPr>
          <w:bCs/>
          <w:spacing w:val="10"/>
          <w:sz w:val="15"/>
          <w:szCs w:val="15"/>
        </w:rPr>
        <w:t>弃权</w:t>
      </w:r>
    </w:p>
    <w:p w:rsidR="002A556A" w:rsidRDefault="002A556A" w:rsidP="002A556A">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2A556A" w:rsidRDefault="002A556A" w:rsidP="002A556A">
      <w:pPr>
        <w:numPr>
          <w:ilvl w:val="0"/>
          <w:numId w:val="12"/>
        </w:numPr>
        <w:spacing w:line="200" w:lineRule="exact"/>
        <w:ind w:firstLineChars="200" w:firstLine="340"/>
        <w:rPr>
          <w:spacing w:val="10"/>
          <w:sz w:val="15"/>
          <w:szCs w:val="15"/>
        </w:rPr>
      </w:pPr>
      <w:r>
        <w:rPr>
          <w:spacing w:val="10"/>
          <w:sz w:val="15"/>
          <w:szCs w:val="15"/>
        </w:rPr>
        <w:t>可分割性</w:t>
      </w:r>
    </w:p>
    <w:p w:rsidR="002A556A" w:rsidRDefault="002A556A" w:rsidP="002A556A">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2A556A" w:rsidRDefault="002A556A" w:rsidP="002A556A">
      <w:pPr>
        <w:numPr>
          <w:ilvl w:val="0"/>
          <w:numId w:val="12"/>
        </w:numPr>
        <w:spacing w:line="200" w:lineRule="exact"/>
        <w:ind w:firstLineChars="200" w:firstLine="340"/>
        <w:rPr>
          <w:spacing w:val="10"/>
          <w:sz w:val="15"/>
          <w:szCs w:val="15"/>
        </w:rPr>
      </w:pPr>
      <w:r>
        <w:rPr>
          <w:spacing w:val="10"/>
          <w:sz w:val="15"/>
          <w:szCs w:val="15"/>
        </w:rPr>
        <w:t>税收条款</w:t>
      </w:r>
    </w:p>
    <w:p w:rsidR="002A556A" w:rsidRDefault="002A556A" w:rsidP="002A556A">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2A556A" w:rsidRDefault="002A556A" w:rsidP="002A556A">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2A556A" w:rsidRDefault="002A556A" w:rsidP="002A556A">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2A556A" w:rsidRDefault="002A556A" w:rsidP="002A556A">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2A556A" w:rsidRDefault="002A556A" w:rsidP="002A556A">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2A556A" w:rsidRDefault="002A556A" w:rsidP="002A556A">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2A556A" w:rsidRDefault="002A556A" w:rsidP="002A556A">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2A556A" w:rsidRDefault="002A556A" w:rsidP="002A556A">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2A556A" w:rsidRDefault="002A556A" w:rsidP="002A556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2A556A" w:rsidRDefault="002A556A" w:rsidP="002A556A">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2A556A" w:rsidRDefault="002A556A" w:rsidP="002A556A">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2A556A" w:rsidRDefault="002A556A" w:rsidP="002A556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2A556A" w:rsidRDefault="002A556A" w:rsidP="002A556A">
      <w:pPr>
        <w:spacing w:line="200" w:lineRule="exact"/>
        <w:ind w:firstLineChars="200" w:firstLine="340"/>
        <w:rPr>
          <w:spacing w:val="10"/>
          <w:sz w:val="15"/>
          <w:szCs w:val="15"/>
        </w:rPr>
      </w:pPr>
    </w:p>
    <w:p w:rsidR="002A556A" w:rsidRDefault="002A556A" w:rsidP="002A556A">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2A556A" w:rsidTr="008E4FFA">
        <w:trPr>
          <w:jc w:val="center"/>
        </w:trPr>
        <w:tc>
          <w:tcPr>
            <w:tcW w:w="4812" w:type="dxa"/>
          </w:tcPr>
          <w:p w:rsidR="002A556A" w:rsidRDefault="002A556A" w:rsidP="008E4FFA">
            <w:pPr>
              <w:spacing w:line="200" w:lineRule="exact"/>
              <w:rPr>
                <w:spacing w:val="10"/>
                <w:sz w:val="15"/>
                <w:szCs w:val="15"/>
              </w:rPr>
            </w:pPr>
            <w:r>
              <w:rPr>
                <w:spacing w:val="10"/>
                <w:sz w:val="15"/>
                <w:szCs w:val="15"/>
              </w:rPr>
              <w:t>个人投资者（如适用）：</w:t>
            </w:r>
          </w:p>
        </w:tc>
        <w:tc>
          <w:tcPr>
            <w:tcW w:w="4713" w:type="dxa"/>
          </w:tcPr>
          <w:p w:rsidR="002A556A" w:rsidRDefault="002A556A" w:rsidP="008E4FFA">
            <w:pPr>
              <w:spacing w:line="200" w:lineRule="exact"/>
              <w:rPr>
                <w:spacing w:val="10"/>
                <w:sz w:val="15"/>
                <w:szCs w:val="15"/>
              </w:rPr>
            </w:pPr>
            <w:r>
              <w:rPr>
                <w:spacing w:val="10"/>
                <w:sz w:val="15"/>
                <w:szCs w:val="15"/>
              </w:rPr>
              <w:t>机构投资者（如适用）：</w:t>
            </w:r>
          </w:p>
        </w:tc>
      </w:tr>
      <w:tr w:rsidR="002A556A" w:rsidTr="008E4FFA">
        <w:trPr>
          <w:jc w:val="center"/>
        </w:trPr>
        <w:tc>
          <w:tcPr>
            <w:tcW w:w="4812" w:type="dxa"/>
          </w:tcPr>
          <w:p w:rsidR="002A556A" w:rsidRDefault="002A556A" w:rsidP="008E4FFA">
            <w:pPr>
              <w:spacing w:line="200" w:lineRule="exact"/>
              <w:ind w:firstLineChars="200" w:firstLine="340"/>
              <w:rPr>
                <w:spacing w:val="10"/>
                <w:sz w:val="15"/>
                <w:szCs w:val="15"/>
              </w:rPr>
            </w:pPr>
          </w:p>
          <w:p w:rsidR="002A556A" w:rsidRDefault="002A556A" w:rsidP="008E4FFA">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2A556A" w:rsidRDefault="002A556A" w:rsidP="008E4FFA">
            <w:pPr>
              <w:spacing w:line="200" w:lineRule="exact"/>
              <w:ind w:firstLineChars="400" w:firstLine="680"/>
              <w:rPr>
                <w:spacing w:val="10"/>
                <w:sz w:val="15"/>
                <w:szCs w:val="15"/>
              </w:rPr>
            </w:pPr>
          </w:p>
          <w:p w:rsidR="002A556A" w:rsidRDefault="002A556A" w:rsidP="008E4FFA">
            <w:pPr>
              <w:spacing w:line="200" w:lineRule="exact"/>
              <w:ind w:firstLineChars="500" w:firstLine="850"/>
              <w:rPr>
                <w:spacing w:val="10"/>
                <w:sz w:val="15"/>
                <w:szCs w:val="15"/>
              </w:rPr>
            </w:pPr>
          </w:p>
          <w:p w:rsidR="002A556A" w:rsidRDefault="002A556A" w:rsidP="008E4FFA">
            <w:pPr>
              <w:spacing w:line="200" w:lineRule="exact"/>
              <w:ind w:firstLineChars="500" w:firstLine="850"/>
              <w:rPr>
                <w:spacing w:val="10"/>
                <w:sz w:val="15"/>
                <w:szCs w:val="15"/>
              </w:rPr>
            </w:pPr>
            <w:r>
              <w:rPr>
                <w:spacing w:val="10"/>
                <w:sz w:val="15"/>
                <w:szCs w:val="15"/>
              </w:rPr>
              <w:t>年月日</w:t>
            </w:r>
          </w:p>
        </w:tc>
        <w:tc>
          <w:tcPr>
            <w:tcW w:w="4713" w:type="dxa"/>
          </w:tcPr>
          <w:p w:rsidR="002A556A" w:rsidRDefault="002A556A" w:rsidP="008E4FFA">
            <w:pPr>
              <w:spacing w:line="200" w:lineRule="exact"/>
              <w:ind w:firstLineChars="200" w:firstLine="340"/>
              <w:rPr>
                <w:spacing w:val="10"/>
                <w:sz w:val="15"/>
                <w:szCs w:val="15"/>
              </w:rPr>
            </w:pPr>
          </w:p>
          <w:p w:rsidR="002A556A" w:rsidRDefault="002A556A" w:rsidP="008E4FFA">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2A556A" w:rsidRDefault="002A556A" w:rsidP="008E4FFA">
            <w:pPr>
              <w:spacing w:line="200" w:lineRule="exact"/>
              <w:rPr>
                <w:spacing w:val="10"/>
                <w:sz w:val="15"/>
                <w:szCs w:val="15"/>
              </w:rPr>
            </w:pPr>
          </w:p>
          <w:p w:rsidR="002A556A" w:rsidRDefault="002A556A" w:rsidP="008E4FFA">
            <w:pPr>
              <w:spacing w:line="200" w:lineRule="exact"/>
              <w:rPr>
                <w:spacing w:val="10"/>
                <w:sz w:val="15"/>
                <w:szCs w:val="15"/>
              </w:rPr>
            </w:pPr>
          </w:p>
          <w:p w:rsidR="002A556A" w:rsidRDefault="002A556A" w:rsidP="008E4FFA">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2A556A" w:rsidRDefault="002A556A" w:rsidP="008E4FFA">
            <w:pPr>
              <w:spacing w:line="200" w:lineRule="exact"/>
              <w:ind w:firstLineChars="400" w:firstLine="680"/>
              <w:rPr>
                <w:spacing w:val="10"/>
                <w:sz w:val="15"/>
                <w:szCs w:val="15"/>
              </w:rPr>
            </w:pPr>
          </w:p>
          <w:p w:rsidR="002A556A" w:rsidRDefault="002A556A" w:rsidP="008E4FFA">
            <w:pPr>
              <w:spacing w:line="200" w:lineRule="exact"/>
              <w:ind w:firstLineChars="400" w:firstLine="680"/>
              <w:rPr>
                <w:spacing w:val="10"/>
                <w:sz w:val="15"/>
                <w:szCs w:val="15"/>
              </w:rPr>
            </w:pPr>
            <w:r>
              <w:rPr>
                <w:spacing w:val="10"/>
                <w:sz w:val="15"/>
                <w:szCs w:val="15"/>
              </w:rPr>
              <w:t>年月日</w:t>
            </w:r>
          </w:p>
        </w:tc>
      </w:tr>
    </w:tbl>
    <w:p w:rsidR="002A556A" w:rsidRDefault="002A556A" w:rsidP="002A556A">
      <w:pPr>
        <w:spacing w:line="200" w:lineRule="exact"/>
        <w:rPr>
          <w:spacing w:val="10"/>
          <w:sz w:val="15"/>
          <w:szCs w:val="15"/>
        </w:rPr>
      </w:pPr>
    </w:p>
    <w:p w:rsidR="002A556A" w:rsidRDefault="002A556A" w:rsidP="002A556A">
      <w:pPr>
        <w:pStyle w:val="12"/>
        <w:spacing w:line="360" w:lineRule="auto"/>
        <w:ind w:firstLineChars="0" w:firstLine="0"/>
        <w:jc w:val="center"/>
        <w:sectPr w:rsidR="002A556A">
          <w:headerReference w:type="default" r:id="rId7"/>
          <w:footerReference w:type="default" r:id="rId8"/>
          <w:pgSz w:w="11906" w:h="16838"/>
          <w:pgMar w:top="720" w:right="720" w:bottom="720" w:left="720" w:header="851" w:footer="992" w:gutter="0"/>
          <w:cols w:space="720"/>
          <w:docGrid w:type="lines" w:linePitch="312"/>
        </w:sectPr>
      </w:pPr>
    </w:p>
    <w:p w:rsidR="002A556A" w:rsidRDefault="002A556A" w:rsidP="002A556A">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2A556A" w:rsidRDefault="002A556A" w:rsidP="002A556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2A556A" w:rsidRDefault="002A556A" w:rsidP="002A556A">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2A556A" w:rsidRPr="002C6027" w:rsidRDefault="002A556A" w:rsidP="002A556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2A556A" w:rsidRDefault="002A556A" w:rsidP="002A556A">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2A556A" w:rsidRDefault="002A556A" w:rsidP="002A556A">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2A556A" w:rsidRDefault="002A556A" w:rsidP="002A556A">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A556A" w:rsidRDefault="002A556A" w:rsidP="002A556A">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2A556A" w:rsidRDefault="002A556A" w:rsidP="002A556A">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2A556A" w:rsidRDefault="002A556A" w:rsidP="002A556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A556A" w:rsidRDefault="002A556A" w:rsidP="002A556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A556A" w:rsidRDefault="002A556A" w:rsidP="002A556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2A556A" w:rsidRDefault="002A556A" w:rsidP="002A556A">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2A556A" w:rsidRDefault="002A556A" w:rsidP="002A556A">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2A556A" w:rsidRDefault="002A556A" w:rsidP="002A556A">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2A556A" w:rsidRDefault="002A556A" w:rsidP="002A556A">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2A556A" w:rsidRDefault="002A556A" w:rsidP="002A556A">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2A556A" w:rsidRDefault="002A556A" w:rsidP="002A556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2A556A" w:rsidRDefault="002A556A" w:rsidP="002A556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2A556A" w:rsidRDefault="002A556A" w:rsidP="002A556A">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2A556A" w:rsidRDefault="002A556A" w:rsidP="002A556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A556A" w:rsidRDefault="002A556A" w:rsidP="002A556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2A556A" w:rsidRDefault="002A556A" w:rsidP="002A556A">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2A556A" w:rsidRDefault="002A556A" w:rsidP="002A556A">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lastRenderedPageBreak/>
        <w:t>（三）乙方购买理财产品失败、甲方提前终止对应期次理财产品以及对应期次理财产品到期并结清后，本协议自动终止。</w:t>
      </w:r>
    </w:p>
    <w:p w:rsidR="002A556A" w:rsidRPr="00832DA9" w:rsidRDefault="002A556A" w:rsidP="002A556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2A556A" w:rsidRPr="00832DA9" w:rsidRDefault="002A556A" w:rsidP="002A556A">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2A556A" w:rsidRPr="00832DA9" w:rsidRDefault="002A556A" w:rsidP="002A556A">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2A556A" w:rsidRPr="00832DA9" w:rsidRDefault="002A556A" w:rsidP="002A556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2A556A" w:rsidRPr="00832DA9" w:rsidRDefault="002A556A" w:rsidP="002A556A">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2A556A" w:rsidRDefault="002A556A" w:rsidP="002A556A">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2A556A" w:rsidRDefault="002A556A" w:rsidP="002A556A">
      <w:pPr>
        <w:pStyle w:val="12"/>
        <w:spacing w:line="360" w:lineRule="auto"/>
        <w:ind w:firstLine="400"/>
        <w:rPr>
          <w:rFonts w:ascii="宋体" w:hAnsi="宋体" w:cs="宋体"/>
          <w:sz w:val="20"/>
          <w:szCs w:val="21"/>
        </w:rPr>
      </w:pPr>
    </w:p>
    <w:p w:rsidR="002A556A" w:rsidRDefault="002A556A" w:rsidP="002A556A">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2A556A" w:rsidRDefault="002A556A" w:rsidP="002A556A">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2A556A" w:rsidRDefault="002A556A" w:rsidP="002A556A">
      <w:pPr>
        <w:pStyle w:val="12"/>
        <w:spacing w:line="360" w:lineRule="auto"/>
        <w:ind w:firstLine="400"/>
        <w:rPr>
          <w:rFonts w:ascii="宋体" w:hAnsi="宋体" w:cs="宋体"/>
          <w:sz w:val="20"/>
          <w:szCs w:val="21"/>
        </w:rPr>
      </w:pPr>
    </w:p>
    <w:p w:rsidR="002A556A" w:rsidRDefault="002A556A" w:rsidP="002A556A">
      <w:pPr>
        <w:spacing w:line="360" w:lineRule="auto"/>
        <w:rPr>
          <w:rStyle w:val="fontstyle01"/>
          <w:rFonts w:hint="default"/>
          <w:sz w:val="20"/>
        </w:rPr>
      </w:pPr>
      <w:r>
        <w:rPr>
          <w:rStyle w:val="fontstyle01"/>
          <w:rFonts w:hint="default"/>
          <w:sz w:val="20"/>
        </w:rPr>
        <w:t>个人投资者（如适用）：                   机构投资者（如适用）：</w:t>
      </w:r>
    </w:p>
    <w:p w:rsidR="002A556A" w:rsidRDefault="002A556A" w:rsidP="002A556A">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2A556A" w:rsidRDefault="002A556A" w:rsidP="002A556A">
      <w:pPr>
        <w:spacing w:line="360" w:lineRule="auto"/>
        <w:rPr>
          <w:rStyle w:val="fontstyle01"/>
          <w:rFonts w:hint="default"/>
          <w:sz w:val="20"/>
        </w:rPr>
      </w:pPr>
      <w:r>
        <w:rPr>
          <w:rStyle w:val="fontstyle01"/>
          <w:rFonts w:hint="default"/>
          <w:sz w:val="20"/>
        </w:rPr>
        <w:t xml:space="preserve">   年  月  日                           法定代表人或授权代理人：（签名或盖章）</w:t>
      </w:r>
    </w:p>
    <w:p w:rsidR="002A556A" w:rsidRDefault="002A556A" w:rsidP="002A556A">
      <w:pPr>
        <w:widowControl/>
        <w:jc w:val="left"/>
      </w:pPr>
      <w:r>
        <w:rPr>
          <w:rStyle w:val="fontstyle01"/>
          <w:rFonts w:hint="default"/>
          <w:sz w:val="20"/>
        </w:rPr>
        <w:t xml:space="preserve">                                            年    月   日</w:t>
      </w:r>
    </w:p>
    <w:p w:rsidR="002A556A" w:rsidRDefault="002A556A" w:rsidP="002A556A">
      <w:pPr>
        <w:pStyle w:val="a8"/>
        <w:ind w:firstLineChars="0" w:firstLine="0"/>
        <w:rPr>
          <w:b/>
          <w:kern w:val="0"/>
          <w:sz w:val="15"/>
          <w:szCs w:val="11"/>
        </w:rPr>
      </w:pPr>
    </w:p>
    <w:p w:rsidR="002A556A" w:rsidRDefault="002A556A" w:rsidP="002A556A">
      <w:pPr>
        <w:pStyle w:val="a8"/>
        <w:ind w:firstLine="301"/>
        <w:rPr>
          <w:rFonts w:ascii="宋体"/>
          <w:b/>
          <w:bCs/>
          <w:color w:val="3D3D3D"/>
          <w:kern w:val="0"/>
          <w:sz w:val="15"/>
          <w:szCs w:val="15"/>
        </w:rPr>
      </w:pPr>
    </w:p>
    <w:p w:rsidR="002A556A" w:rsidRDefault="002A556A" w:rsidP="002A556A"/>
    <w:p w:rsidR="002A556A" w:rsidRPr="002A556A" w:rsidRDefault="002A556A" w:rsidP="002A556A">
      <w:pPr>
        <w:rPr>
          <w:rFonts w:hint="eastAsia"/>
        </w:rPr>
      </w:pPr>
    </w:p>
    <w:sectPr w:rsidR="002A556A" w:rsidRPr="002A556A">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EA" w:rsidRDefault="005968EA">
      <w:r>
        <w:separator/>
      </w:r>
    </w:p>
  </w:endnote>
  <w:endnote w:type="continuationSeparator" w:id="0">
    <w:p w:rsidR="005968EA" w:rsidRDefault="0059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6A" w:rsidRDefault="002A556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EA" w:rsidRDefault="005968EA">
      <w:r>
        <w:separator/>
      </w:r>
    </w:p>
  </w:footnote>
  <w:footnote w:type="continuationSeparator" w:id="0">
    <w:p w:rsidR="005968EA" w:rsidRDefault="0059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6A" w:rsidRDefault="002A556A">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6E1" w:rsidRDefault="005968EA">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7C2B"/>
    <w:multiLevelType w:val="hybridMultilevel"/>
    <w:tmpl w:val="9EF00000"/>
    <w:lvl w:ilvl="0" w:tplc="5532CA14">
      <w:start w:val="1"/>
      <w:numFmt w:val="decimal"/>
      <w:lvlRestart w:val="0"/>
      <w:lvlText w:val="%1."/>
      <w:lvlJc w:val="left"/>
      <w:pPr>
        <w:tabs>
          <w:tab w:val="num" w:pos="0"/>
        </w:tabs>
        <w:ind w:left="660" w:hanging="360"/>
      </w:pPr>
      <w:rPr>
        <w:rFonts w:ascii="方正黑体_GBK" w:eastAsia="方正黑体_GBK" w:hAnsi="方正黑体_GBK" w:hint="default"/>
      </w:rPr>
    </w:lvl>
    <w:lvl w:ilvl="1" w:tplc="1138101C">
      <w:start w:val="1"/>
      <w:numFmt w:val="lowerLetter"/>
      <w:lvlText w:val="%2)"/>
      <w:lvlJc w:val="left"/>
      <w:pPr>
        <w:tabs>
          <w:tab w:val="num" w:pos="0"/>
        </w:tabs>
        <w:ind w:left="1140" w:hanging="420"/>
      </w:pPr>
      <w:rPr>
        <w:rFonts w:ascii="方正黑体_GBK" w:eastAsia="方正黑体_GBK" w:hAnsi="方正黑体_GBK" w:hint="default"/>
      </w:rPr>
    </w:lvl>
    <w:lvl w:ilvl="2" w:tplc="8550C900">
      <w:start w:val="1"/>
      <w:numFmt w:val="decimal"/>
      <w:lvlText w:val="%3."/>
      <w:lvlJc w:val="right"/>
      <w:pPr>
        <w:tabs>
          <w:tab w:val="num" w:pos="0"/>
        </w:tabs>
        <w:ind w:left="1560" w:hanging="420"/>
      </w:pPr>
      <w:rPr>
        <w:rFonts w:ascii="方正黑体_GBK" w:eastAsia="方正黑体_GBK" w:hAnsi="方正黑体_GBK" w:hint="default"/>
      </w:rPr>
    </w:lvl>
    <w:lvl w:ilvl="3" w:tplc="9348BE48">
      <w:start w:val="1"/>
      <w:numFmt w:val="decimal"/>
      <w:lvlText w:val="%4."/>
      <w:lvlJc w:val="left"/>
      <w:pPr>
        <w:tabs>
          <w:tab w:val="num" w:pos="0"/>
        </w:tabs>
        <w:ind w:left="1980" w:hanging="420"/>
      </w:pPr>
      <w:rPr>
        <w:rFonts w:ascii="方正黑体_GBK" w:eastAsia="方正黑体_GBK" w:hAnsi="方正黑体_GBK" w:hint="default"/>
      </w:rPr>
    </w:lvl>
    <w:lvl w:ilvl="4" w:tplc="63EE08F4">
      <w:start w:val="1"/>
      <w:numFmt w:val="lowerLetter"/>
      <w:lvlText w:val="%5)"/>
      <w:lvlJc w:val="left"/>
      <w:pPr>
        <w:tabs>
          <w:tab w:val="num" w:pos="0"/>
        </w:tabs>
        <w:ind w:left="2400" w:hanging="420"/>
      </w:pPr>
      <w:rPr>
        <w:rFonts w:ascii="方正黑体_GBK" w:eastAsia="方正黑体_GBK" w:hAnsi="方正黑体_GBK" w:hint="default"/>
      </w:rPr>
    </w:lvl>
    <w:lvl w:ilvl="5" w:tplc="D0B89A9E">
      <w:start w:val="1"/>
      <w:numFmt w:val="decimal"/>
      <w:lvlText w:val="%6."/>
      <w:lvlJc w:val="right"/>
      <w:pPr>
        <w:tabs>
          <w:tab w:val="num" w:pos="0"/>
        </w:tabs>
        <w:ind w:left="2820" w:hanging="420"/>
      </w:pPr>
      <w:rPr>
        <w:rFonts w:ascii="方正黑体_GBK" w:eastAsia="方正黑体_GBK" w:hAnsi="方正黑体_GBK" w:hint="default"/>
      </w:rPr>
    </w:lvl>
    <w:lvl w:ilvl="6" w:tplc="2E40A204">
      <w:start w:val="1"/>
      <w:numFmt w:val="decimal"/>
      <w:lvlText w:val="%7."/>
      <w:lvlJc w:val="left"/>
      <w:pPr>
        <w:tabs>
          <w:tab w:val="num" w:pos="0"/>
        </w:tabs>
        <w:ind w:left="3240" w:hanging="420"/>
      </w:pPr>
      <w:rPr>
        <w:rFonts w:ascii="方正黑体_GBK" w:eastAsia="方正黑体_GBK" w:hAnsi="方正黑体_GBK" w:hint="default"/>
      </w:rPr>
    </w:lvl>
    <w:lvl w:ilvl="7" w:tplc="E26A8352">
      <w:start w:val="1"/>
      <w:numFmt w:val="lowerLetter"/>
      <w:lvlText w:val="%8)"/>
      <w:lvlJc w:val="left"/>
      <w:pPr>
        <w:tabs>
          <w:tab w:val="num" w:pos="0"/>
        </w:tabs>
        <w:ind w:left="3660" w:hanging="420"/>
      </w:pPr>
      <w:rPr>
        <w:rFonts w:ascii="方正黑体_GBK" w:eastAsia="方正黑体_GBK" w:hAnsi="方正黑体_GBK" w:hint="default"/>
      </w:rPr>
    </w:lvl>
    <w:lvl w:ilvl="8" w:tplc="5A44593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486397D"/>
    <w:multiLevelType w:val="hybridMultilevel"/>
    <w:tmpl w:val="840C518A"/>
    <w:lvl w:ilvl="0" w:tplc="9CE6CD4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F5B236D6">
      <w:start w:val="1"/>
      <w:numFmt w:val="lowerLetter"/>
      <w:lvlText w:val="%2)"/>
      <w:lvlJc w:val="left"/>
      <w:pPr>
        <w:tabs>
          <w:tab w:val="num" w:pos="0"/>
        </w:tabs>
        <w:ind w:left="1141" w:hanging="420"/>
      </w:pPr>
      <w:rPr>
        <w:rFonts w:ascii="方正黑体_GBK" w:eastAsia="方正黑体_GBK" w:hAnsi="方正黑体_GBK" w:hint="default"/>
      </w:rPr>
    </w:lvl>
    <w:lvl w:ilvl="2" w:tplc="1CC05766">
      <w:start w:val="1"/>
      <w:numFmt w:val="decimal"/>
      <w:lvlText w:val="%3."/>
      <w:lvlJc w:val="right"/>
      <w:pPr>
        <w:tabs>
          <w:tab w:val="num" w:pos="0"/>
        </w:tabs>
        <w:ind w:left="1561" w:hanging="420"/>
      </w:pPr>
      <w:rPr>
        <w:rFonts w:ascii="方正黑体_GBK" w:eastAsia="方正黑体_GBK" w:hAnsi="方正黑体_GBK" w:hint="default"/>
      </w:rPr>
    </w:lvl>
    <w:lvl w:ilvl="3" w:tplc="405EE9E4">
      <w:start w:val="1"/>
      <w:numFmt w:val="decimal"/>
      <w:lvlText w:val="%4."/>
      <w:lvlJc w:val="left"/>
      <w:pPr>
        <w:tabs>
          <w:tab w:val="num" w:pos="0"/>
        </w:tabs>
        <w:ind w:left="1981" w:hanging="420"/>
      </w:pPr>
      <w:rPr>
        <w:rFonts w:ascii="方正黑体_GBK" w:eastAsia="方正黑体_GBK" w:hAnsi="方正黑体_GBK" w:hint="default"/>
      </w:rPr>
    </w:lvl>
    <w:lvl w:ilvl="4" w:tplc="8586C8DC">
      <w:start w:val="1"/>
      <w:numFmt w:val="lowerLetter"/>
      <w:lvlText w:val="%5)"/>
      <w:lvlJc w:val="left"/>
      <w:pPr>
        <w:tabs>
          <w:tab w:val="num" w:pos="0"/>
        </w:tabs>
        <w:ind w:left="2401" w:hanging="420"/>
      </w:pPr>
      <w:rPr>
        <w:rFonts w:ascii="方正黑体_GBK" w:eastAsia="方正黑体_GBK" w:hAnsi="方正黑体_GBK" w:hint="default"/>
      </w:rPr>
    </w:lvl>
    <w:lvl w:ilvl="5" w:tplc="40EE443A">
      <w:start w:val="1"/>
      <w:numFmt w:val="decimal"/>
      <w:lvlText w:val="%6."/>
      <w:lvlJc w:val="right"/>
      <w:pPr>
        <w:tabs>
          <w:tab w:val="num" w:pos="0"/>
        </w:tabs>
        <w:ind w:left="2821" w:hanging="420"/>
      </w:pPr>
      <w:rPr>
        <w:rFonts w:ascii="方正黑体_GBK" w:eastAsia="方正黑体_GBK" w:hAnsi="方正黑体_GBK" w:hint="default"/>
      </w:rPr>
    </w:lvl>
    <w:lvl w:ilvl="6" w:tplc="F496C280">
      <w:start w:val="1"/>
      <w:numFmt w:val="decimal"/>
      <w:lvlText w:val="%7."/>
      <w:lvlJc w:val="left"/>
      <w:pPr>
        <w:tabs>
          <w:tab w:val="num" w:pos="0"/>
        </w:tabs>
        <w:ind w:left="3241" w:hanging="420"/>
      </w:pPr>
      <w:rPr>
        <w:rFonts w:ascii="方正黑体_GBK" w:eastAsia="方正黑体_GBK" w:hAnsi="方正黑体_GBK" w:hint="default"/>
      </w:rPr>
    </w:lvl>
    <w:lvl w:ilvl="7" w:tplc="64C68606">
      <w:start w:val="1"/>
      <w:numFmt w:val="lowerLetter"/>
      <w:lvlText w:val="%8)"/>
      <w:lvlJc w:val="left"/>
      <w:pPr>
        <w:tabs>
          <w:tab w:val="num" w:pos="0"/>
        </w:tabs>
        <w:ind w:left="3661" w:hanging="420"/>
      </w:pPr>
      <w:rPr>
        <w:rFonts w:ascii="方正黑体_GBK" w:eastAsia="方正黑体_GBK" w:hAnsi="方正黑体_GBK" w:hint="default"/>
      </w:rPr>
    </w:lvl>
    <w:lvl w:ilvl="8" w:tplc="092C41A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E771415"/>
    <w:multiLevelType w:val="multilevel"/>
    <w:tmpl w:val="5DF04A0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3F857FF3"/>
    <w:multiLevelType w:val="multilevel"/>
    <w:tmpl w:val="9FB8F8D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7"/>
  </w:num>
  <w:num w:numId="2">
    <w:abstractNumId w:val="5"/>
  </w:num>
  <w:num w:numId="3">
    <w:abstractNumId w:val="2"/>
  </w:num>
  <w:num w:numId="4">
    <w:abstractNumId w:val="0"/>
  </w:num>
  <w:num w:numId="5">
    <w:abstractNumId w:val="6"/>
  </w:num>
  <w:num w:numId="6">
    <w:abstractNumId w:val="10"/>
  </w:num>
  <w:num w:numId="7">
    <w:abstractNumId w:val="11"/>
  </w:num>
  <w:num w:numId="8">
    <w:abstractNumId w:val="12"/>
  </w:num>
  <w:num w:numId="9">
    <w:abstractNumId w:val="8"/>
  </w:num>
  <w:num w:numId="10">
    <w:abstractNumId w:val="9"/>
  </w:num>
  <w:num w:numId="11">
    <w:abstractNumId w:val="4"/>
  </w:num>
  <w:num w:numId="12">
    <w:abstractNumId w:val="14"/>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E1"/>
    <w:rsid w:val="002A556A"/>
    <w:rsid w:val="005968EA"/>
    <w:rsid w:val="0086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ABC66"/>
  <w15:docId w15:val="{9838CD1A-C7A4-49A5-A0AA-C5E63470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58f72d63">
    <w:name w:val="Normal58f72d63"/>
    <w:pPr>
      <w:widowControl w:val="0"/>
      <w:jc w:val="both"/>
    </w:pPr>
    <w:rPr>
      <w:rFonts w:ascii="方正黑体_GBK" w:eastAsia="方正黑体_GBK" w:hAnsi="方正黑体_GBK" w:cs="Times New Roman"/>
      <w:szCs w:val="21"/>
    </w:rPr>
  </w:style>
  <w:style w:type="paragraph" w:customStyle="1" w:styleId="heading1bf713930">
    <w:name w:val="heading 1bf713930"/>
    <w:basedOn w:val="Normal58f72d63"/>
    <w:next w:val="a"/>
    <w:pPr>
      <w:keepNext/>
      <w:keepLines/>
      <w:spacing w:before="340" w:after="330" w:line="578" w:lineRule="auto"/>
      <w:outlineLvl w:val="0"/>
    </w:pPr>
    <w:rPr>
      <w:b/>
      <w:bCs/>
      <w:kern w:val="44"/>
      <w:sz w:val="44"/>
    </w:rPr>
  </w:style>
  <w:style w:type="paragraph" w:customStyle="1" w:styleId="heading2c593da3f">
    <w:name w:val="heading 2c593da3f"/>
    <w:basedOn w:val="Normal58f72d63"/>
    <w:next w:val="a"/>
    <w:pPr>
      <w:keepNext/>
      <w:keepLines/>
      <w:spacing w:before="260" w:after="260" w:line="415" w:lineRule="auto"/>
      <w:outlineLvl w:val="1"/>
    </w:pPr>
    <w:rPr>
      <w:b/>
      <w:sz w:val="32"/>
    </w:rPr>
  </w:style>
  <w:style w:type="paragraph" w:customStyle="1" w:styleId="heading383e7395d">
    <w:name w:val="heading 383e7395d"/>
    <w:basedOn w:val="Normal58f72d63"/>
    <w:next w:val="a"/>
    <w:pPr>
      <w:keepNext/>
      <w:keepLines/>
      <w:spacing w:before="260" w:after="260" w:line="415" w:lineRule="auto"/>
      <w:outlineLvl w:val="2"/>
    </w:pPr>
    <w:rPr>
      <w:b/>
      <w:sz w:val="32"/>
    </w:rPr>
  </w:style>
  <w:style w:type="character" w:customStyle="1" w:styleId="DefaultParagraphFonte7b53ff4">
    <w:name w:val="Default Paragraph Fonte7b53ff4"/>
  </w:style>
  <w:style w:type="paragraph" w:customStyle="1" w:styleId="toc1b6e8eb99">
    <w:name w:val="toc 1b6e8eb99"/>
    <w:basedOn w:val="Normal58f72d63"/>
    <w:next w:val="a"/>
    <w:autoRedefine/>
  </w:style>
  <w:style w:type="paragraph" w:customStyle="1" w:styleId="toc2054207ab">
    <w:name w:val="toc 2054207ab"/>
    <w:basedOn w:val="Normal58f72d63"/>
    <w:next w:val="a"/>
    <w:autoRedefine/>
    <w:pPr>
      <w:ind w:left="420"/>
    </w:pPr>
  </w:style>
  <w:style w:type="paragraph" w:customStyle="1" w:styleId="toc3a9fdb928">
    <w:name w:val="toc 3a9fdb928"/>
    <w:basedOn w:val="Normal58f72d63"/>
    <w:next w:val="a"/>
    <w:autoRedefine/>
    <w:pPr>
      <w:ind w:left="840"/>
    </w:pPr>
  </w:style>
  <w:style w:type="paragraph" w:customStyle="1" w:styleId="toc4b9cf3828">
    <w:name w:val="toc 4b9cf3828"/>
    <w:basedOn w:val="Normal58f72d63"/>
    <w:next w:val="a"/>
    <w:autoRedefine/>
    <w:pPr>
      <w:ind w:left="1260"/>
    </w:pPr>
  </w:style>
  <w:style w:type="paragraph" w:customStyle="1" w:styleId="toc54e896381">
    <w:name w:val="toc 54e896381"/>
    <w:basedOn w:val="Normal58f72d63"/>
    <w:next w:val="a"/>
    <w:autoRedefine/>
    <w:pPr>
      <w:ind w:left="1680"/>
    </w:pPr>
  </w:style>
  <w:style w:type="paragraph" w:customStyle="1" w:styleId="header44307287">
    <w:name w:val="header44307287"/>
    <w:basedOn w:val="Normal58f72d63"/>
    <w:pPr>
      <w:pBdr>
        <w:bottom w:val="single" w:sz="6" w:space="1" w:color="auto"/>
      </w:pBdr>
      <w:tabs>
        <w:tab w:val="center" w:pos="4153"/>
        <w:tab w:val="right" w:pos="8307"/>
      </w:tabs>
      <w:snapToGrid w:val="0"/>
      <w:jc w:val="center"/>
    </w:pPr>
    <w:rPr>
      <w:sz w:val="18"/>
    </w:rPr>
  </w:style>
  <w:style w:type="paragraph" w:customStyle="1" w:styleId="footer68c86033">
    <w:name w:val="footer68c86033"/>
    <w:basedOn w:val="Normal58f72d63"/>
    <w:pPr>
      <w:tabs>
        <w:tab w:val="center" w:pos="4153"/>
        <w:tab w:val="right" w:pos="8307"/>
      </w:tabs>
      <w:snapToGrid w:val="0"/>
      <w:jc w:val="left"/>
    </w:pPr>
    <w:rPr>
      <w:sz w:val="18"/>
    </w:rPr>
  </w:style>
  <w:style w:type="character" w:customStyle="1" w:styleId="Strong25c34b23">
    <w:name w:val="Strong25c34b23"/>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4d1c669">
    <w:name w:val="Normal14d1c669"/>
    <w:next w:val="10"/>
    <w:pPr>
      <w:widowControl w:val="0"/>
      <w:jc w:val="both"/>
    </w:pPr>
    <w:rPr>
      <w:rFonts w:ascii="方正黑体_GBK" w:eastAsia="方正黑体_GBK" w:hAnsi="方正黑体_GBK" w:cs="Times New Roman"/>
      <w:sz w:val="18"/>
      <w:szCs w:val="18"/>
    </w:rPr>
  </w:style>
  <w:style w:type="paragraph" w:customStyle="1" w:styleId="heading15a4572bf">
    <w:name w:val="heading 15a4572bf"/>
    <w:basedOn w:val="Normal14d1c669"/>
    <w:next w:val="a"/>
    <w:pPr>
      <w:keepNext/>
      <w:keepLines/>
      <w:spacing w:before="340" w:after="330" w:line="578" w:lineRule="auto"/>
      <w:outlineLvl w:val="0"/>
    </w:pPr>
    <w:rPr>
      <w:b/>
      <w:bCs/>
      <w:kern w:val="44"/>
      <w:sz w:val="44"/>
    </w:rPr>
  </w:style>
  <w:style w:type="paragraph" w:customStyle="1" w:styleId="heading27b3017ce">
    <w:name w:val="heading 27b3017ce"/>
    <w:basedOn w:val="Normal14d1c669"/>
    <w:next w:val="a"/>
    <w:pPr>
      <w:keepNext/>
      <w:keepLines/>
      <w:spacing w:before="260" w:after="260" w:line="415" w:lineRule="auto"/>
      <w:outlineLvl w:val="1"/>
    </w:pPr>
    <w:rPr>
      <w:b/>
      <w:sz w:val="32"/>
    </w:rPr>
  </w:style>
  <w:style w:type="paragraph" w:customStyle="1" w:styleId="heading3d74ea165">
    <w:name w:val="heading 3d74ea165"/>
    <w:basedOn w:val="Normal14d1c669"/>
    <w:next w:val="a"/>
    <w:pPr>
      <w:keepNext/>
      <w:keepLines/>
      <w:spacing w:before="260" w:after="260" w:line="415" w:lineRule="auto"/>
      <w:outlineLvl w:val="2"/>
    </w:pPr>
    <w:rPr>
      <w:b/>
      <w:sz w:val="32"/>
    </w:rPr>
  </w:style>
  <w:style w:type="character" w:customStyle="1" w:styleId="DefaultParagraphFont8073813a">
    <w:name w:val="Default Paragraph Font8073813a"/>
  </w:style>
  <w:style w:type="paragraph" w:customStyle="1" w:styleId="NormalIndentabbf271b">
    <w:name w:val="Normal Indentabbf271b"/>
    <w:basedOn w:val="Normal14d1c669"/>
    <w:pPr>
      <w:ind w:firstLineChars="200" w:firstLine="200"/>
    </w:pPr>
  </w:style>
  <w:style w:type="paragraph" w:customStyle="1" w:styleId="toc54d458c64">
    <w:name w:val="toc 54d458c64"/>
    <w:basedOn w:val="Normal14d1c669"/>
    <w:next w:val="a"/>
    <w:pPr>
      <w:ind w:left="1680"/>
    </w:pPr>
  </w:style>
  <w:style w:type="paragraph" w:customStyle="1" w:styleId="toc36c72507e">
    <w:name w:val="toc 36c72507e"/>
    <w:basedOn w:val="Normal14d1c669"/>
    <w:next w:val="a"/>
    <w:pPr>
      <w:ind w:left="840"/>
    </w:pPr>
  </w:style>
  <w:style w:type="paragraph" w:customStyle="1" w:styleId="footer86186bd7">
    <w:name w:val="footer86186bd7"/>
    <w:basedOn w:val="Normal14d1c669"/>
    <w:pPr>
      <w:tabs>
        <w:tab w:val="center" w:pos="4153"/>
        <w:tab w:val="right" w:pos="8307"/>
      </w:tabs>
      <w:snapToGrid w:val="0"/>
      <w:jc w:val="left"/>
    </w:pPr>
  </w:style>
  <w:style w:type="paragraph" w:customStyle="1" w:styleId="headerf5e3614d">
    <w:name w:val="headerf5e3614d"/>
    <w:basedOn w:val="Normal14d1c669"/>
    <w:pPr>
      <w:pBdr>
        <w:bottom w:val="single" w:sz="6" w:space="1" w:color="auto"/>
      </w:pBdr>
      <w:tabs>
        <w:tab w:val="center" w:pos="4153"/>
        <w:tab w:val="right" w:pos="8307"/>
      </w:tabs>
      <w:snapToGrid w:val="0"/>
      <w:jc w:val="center"/>
    </w:pPr>
  </w:style>
  <w:style w:type="paragraph" w:customStyle="1" w:styleId="toc1130d00d2">
    <w:name w:val="toc 1130d00d2"/>
    <w:basedOn w:val="Normal14d1c669"/>
    <w:next w:val="a"/>
  </w:style>
  <w:style w:type="paragraph" w:customStyle="1" w:styleId="toc45b6d0652">
    <w:name w:val="toc 45b6d0652"/>
    <w:basedOn w:val="Normal14d1c669"/>
    <w:next w:val="a"/>
    <w:pPr>
      <w:ind w:left="1260"/>
    </w:pPr>
  </w:style>
  <w:style w:type="paragraph" w:customStyle="1" w:styleId="toc24fe7ab97">
    <w:name w:val="toc 24fe7ab97"/>
    <w:basedOn w:val="Normal14d1c669"/>
    <w:next w:val="a"/>
    <w:pPr>
      <w:ind w:left="420"/>
    </w:pPr>
  </w:style>
  <w:style w:type="paragraph" w:customStyle="1" w:styleId="NormalWeb92a82d67">
    <w:name w:val="Normal (Web)92a82d6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2cdb68f92cdb68f9">
    <w:name w:val="Normal2cdb68f92cdb68f9"/>
    <w:next w:val="10"/>
    <w:pPr>
      <w:widowControl w:val="0"/>
      <w:jc w:val="both"/>
    </w:pPr>
    <w:rPr>
      <w:rFonts w:ascii="方正黑体_GBK" w:eastAsia="方正黑体_GBK" w:hAnsi="方正黑体_GBK" w:cs="Times New Roman"/>
      <w:szCs w:val="21"/>
    </w:rPr>
  </w:style>
  <w:style w:type="paragraph" w:customStyle="1" w:styleId="heading12e182c392e182c39">
    <w:name w:val="heading 12e182c392e182c39"/>
    <w:basedOn w:val="Normal2cdb68f92cdb68f9"/>
    <w:next w:val="a"/>
    <w:pPr>
      <w:keepNext/>
      <w:keepLines/>
      <w:spacing w:before="340" w:after="330" w:line="578" w:lineRule="auto"/>
      <w:outlineLvl w:val="0"/>
    </w:pPr>
    <w:rPr>
      <w:b/>
      <w:bCs/>
      <w:kern w:val="44"/>
      <w:sz w:val="44"/>
    </w:rPr>
  </w:style>
  <w:style w:type="paragraph" w:customStyle="1" w:styleId="heading2da64de54da64de54">
    <w:name w:val="heading 2da64de54da64de54"/>
    <w:basedOn w:val="Normal2cdb68f92cdb68f9"/>
    <w:next w:val="a"/>
    <w:pPr>
      <w:keepNext/>
      <w:keepLines/>
      <w:spacing w:before="260" w:after="260" w:line="415" w:lineRule="auto"/>
      <w:outlineLvl w:val="1"/>
    </w:pPr>
    <w:rPr>
      <w:b/>
      <w:sz w:val="32"/>
    </w:rPr>
  </w:style>
  <w:style w:type="paragraph" w:customStyle="1" w:styleId="heading39ebad7fb9ebad7fb">
    <w:name w:val="heading 39ebad7fb9ebad7fb"/>
    <w:basedOn w:val="Normal2cdb68f92cdb68f9"/>
    <w:next w:val="a"/>
    <w:pPr>
      <w:keepNext/>
      <w:keepLines/>
      <w:spacing w:before="260" w:after="260" w:line="415" w:lineRule="auto"/>
      <w:outlineLvl w:val="2"/>
    </w:pPr>
    <w:rPr>
      <w:b/>
      <w:sz w:val="32"/>
    </w:rPr>
  </w:style>
  <w:style w:type="character" w:customStyle="1" w:styleId="DefaultParagraphFont8143c7f68143c7f6">
    <w:name w:val="Default Paragraph Font8143c7f68143c7f6"/>
  </w:style>
  <w:style w:type="paragraph" w:customStyle="1" w:styleId="1983e3797983e3797">
    <w:name w:val="引文目录1983e3797983e3797"/>
    <w:basedOn w:val="Normal2cdb68f92cdb68f9"/>
    <w:next w:val="a"/>
    <w:pPr>
      <w:ind w:leftChars="200" w:left="200"/>
    </w:pPr>
  </w:style>
  <w:style w:type="paragraph" w:customStyle="1" w:styleId="toc50561ea810561ea81">
    <w:name w:val="toc 50561ea810561ea81"/>
    <w:basedOn w:val="Normal2cdb68f92cdb68f9"/>
    <w:next w:val="a"/>
    <w:pPr>
      <w:ind w:left="1680"/>
    </w:pPr>
  </w:style>
  <w:style w:type="paragraph" w:customStyle="1" w:styleId="toc3dd3c0f01dd3c0f01">
    <w:name w:val="toc 3dd3c0f01dd3c0f01"/>
    <w:basedOn w:val="Normal2cdb68f92cdb68f9"/>
    <w:next w:val="a"/>
    <w:pPr>
      <w:ind w:left="840"/>
    </w:pPr>
  </w:style>
  <w:style w:type="paragraph" w:customStyle="1" w:styleId="footer631b54ce631b54ce">
    <w:name w:val="footer631b54ce631b54ce"/>
    <w:basedOn w:val="Normal2cdb68f92cdb68f9"/>
    <w:pPr>
      <w:tabs>
        <w:tab w:val="center" w:pos="4153"/>
        <w:tab w:val="right" w:pos="8307"/>
      </w:tabs>
      <w:snapToGrid w:val="0"/>
      <w:jc w:val="left"/>
    </w:pPr>
    <w:rPr>
      <w:sz w:val="18"/>
    </w:rPr>
  </w:style>
  <w:style w:type="paragraph" w:customStyle="1" w:styleId="headerb53f1652b53f1652">
    <w:name w:val="headerb53f1652b53f1652"/>
    <w:basedOn w:val="Normal2cdb68f92cdb68f9"/>
    <w:pPr>
      <w:pBdr>
        <w:bottom w:val="single" w:sz="6" w:space="1" w:color="auto"/>
      </w:pBdr>
      <w:tabs>
        <w:tab w:val="center" w:pos="4153"/>
        <w:tab w:val="right" w:pos="8307"/>
      </w:tabs>
      <w:snapToGrid w:val="0"/>
      <w:jc w:val="center"/>
    </w:pPr>
    <w:rPr>
      <w:sz w:val="18"/>
    </w:rPr>
  </w:style>
  <w:style w:type="paragraph" w:customStyle="1" w:styleId="toc13a77166b3a77166b">
    <w:name w:val="toc 13a77166b3a77166b"/>
    <w:basedOn w:val="Normal2cdb68f92cdb68f9"/>
    <w:next w:val="a"/>
  </w:style>
  <w:style w:type="paragraph" w:customStyle="1" w:styleId="toc4e6e1313ae6e1313a">
    <w:name w:val="toc 4e6e1313ae6e1313a"/>
    <w:basedOn w:val="Normal2cdb68f92cdb68f9"/>
    <w:next w:val="a"/>
    <w:pPr>
      <w:ind w:left="1260"/>
    </w:pPr>
  </w:style>
  <w:style w:type="paragraph" w:customStyle="1" w:styleId="toc2aa3d4058aa3d4058">
    <w:name w:val="toc 2aa3d4058aa3d4058"/>
    <w:basedOn w:val="Normal2cdb68f92cdb68f9"/>
    <w:next w:val="a"/>
    <w:pPr>
      <w:ind w:left="420"/>
    </w:pPr>
  </w:style>
  <w:style w:type="paragraph" w:customStyle="1" w:styleId="1db376ed9db376ed9">
    <w:name w:val="列出段落1db376ed9db376ed9"/>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2A556A"/>
    <w:rPr>
      <w:rFonts w:ascii="方正黑体_GBK" w:eastAsia="方正黑体_GBK" w:hAnsi="方正黑体_GBK" w:cs="Times New Roman"/>
      <w:sz w:val="18"/>
      <w:szCs w:val="21"/>
    </w:rPr>
  </w:style>
  <w:style w:type="character" w:customStyle="1" w:styleId="a6">
    <w:name w:val="页脚 字符"/>
    <w:basedOn w:val="a0"/>
    <w:link w:val="a5"/>
    <w:rsid w:val="002A556A"/>
    <w:rPr>
      <w:rFonts w:ascii="方正黑体_GBK" w:eastAsia="方正黑体_GBK" w:hAnsi="方正黑体_GBK" w:cs="Times New Roman"/>
      <w:sz w:val="18"/>
      <w:szCs w:val="21"/>
    </w:rPr>
  </w:style>
  <w:style w:type="paragraph" w:styleId="a8">
    <w:name w:val="Normal Indent"/>
    <w:basedOn w:val="a"/>
    <w:qFormat/>
    <w:rsid w:val="002A556A"/>
    <w:pPr>
      <w:ind w:firstLineChars="200" w:firstLine="200"/>
    </w:pPr>
    <w:rPr>
      <w:rFonts w:ascii="Times New Roman" w:eastAsia="宋体" w:hAnsi="Times New Roman"/>
      <w:sz w:val="18"/>
      <w:szCs w:val="18"/>
    </w:rPr>
  </w:style>
  <w:style w:type="paragraph" w:styleId="a9">
    <w:name w:val="annotation text"/>
    <w:basedOn w:val="a"/>
    <w:link w:val="aa"/>
    <w:rsid w:val="002A556A"/>
    <w:pPr>
      <w:jc w:val="left"/>
    </w:pPr>
    <w:rPr>
      <w:rFonts w:ascii="Times New Roman" w:eastAsia="宋体" w:hAnsi="Times New Roman"/>
      <w:sz w:val="18"/>
      <w:szCs w:val="18"/>
    </w:rPr>
  </w:style>
  <w:style w:type="character" w:customStyle="1" w:styleId="aa">
    <w:name w:val="批注文字 字符"/>
    <w:basedOn w:val="a0"/>
    <w:link w:val="a9"/>
    <w:rsid w:val="002A556A"/>
    <w:rPr>
      <w:rFonts w:ascii="Times New Roman" w:eastAsia="宋体" w:hAnsi="Times New Roman" w:cs="Times New Roman"/>
      <w:sz w:val="18"/>
      <w:szCs w:val="18"/>
    </w:rPr>
  </w:style>
  <w:style w:type="paragraph" w:styleId="ab">
    <w:name w:val="Normal (Web)"/>
    <w:next w:val="10"/>
    <w:qFormat/>
    <w:rsid w:val="002A556A"/>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2A556A"/>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2A556A"/>
    <w:pPr>
      <w:ind w:firstLineChars="200" w:firstLine="420"/>
    </w:pPr>
    <w:rPr>
      <w:rFonts w:ascii="Times New Roman" w:eastAsia="宋体" w:hAnsi="Times New Roman"/>
      <w:sz w:val="18"/>
      <w:szCs w:val="18"/>
    </w:rPr>
  </w:style>
  <w:style w:type="character" w:customStyle="1" w:styleId="fontstyle01">
    <w:name w:val="fontstyle01"/>
    <w:qFormat/>
    <w:rsid w:val="002A556A"/>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6212</Words>
  <Characters>35413</Characters>
  <Application>Microsoft Office Word</Application>
  <DocSecurity>0</DocSecurity>
  <Lines>295</Lines>
  <Paragraphs>83</Paragraphs>
  <ScaleCrop>false</ScaleCrop>
  <Company>P R C</Company>
  <LinksUpToDate>false</LinksUpToDate>
  <CharactersWithSpaces>41542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2024-11-29T02:20:00Z</dcterms:created>
  <dcterms:modified xsi:type="dcterms:W3CDTF">2024-11-29T02:20:00Z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