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D6BU79UQ0V9GQAR8DL097NL0OYPRQE06NJDWXGPRTQCTNRBRVC0PFYYTPDIRAXMX5OL9ZHK78PXJEFFTVFFW89QMWHCB8FOORHB3AFB25358C97AE01F1ECAF2B3BF787509" Type="http://schemas.microsoft.com/office/2006/relationships/officeDocumentMain" Target="docProps/core.xml"/><Relationship Id="DPWMR6BW7R9Q059GQZRNRL057ZCMOSGREJ0XXJDWXFFRTGLTN0BRVC0QFY5TP8RRBFM6SOL0ZI678IJJQJFTPFFN8RZ0WICB8UOO0HB370A878A1B447CC11C381178F843844A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南银理财珠联璧合鑫逸稳一年192期封闭式公募人民币理财产品发行公告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南银理财珠联璧合鑫逸稳一年192期封闭式公募人民币理财产品（产品登记编码：Z7003224000234）已于2024年11月19日结束募集，符合产品成立条件，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于2024年11月20日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成立。该产品募集金额1,389,928,205.00元，理财资金将按产品说明书约定进行投资。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2024年11月21日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CYWFD6BU79UQ0V9GQAR8DL097NL0OYPRQE06NJDWXGPRTQCTNRBRVC0PFYYTPDIRAXMX5OL9ZHK78PXJEFFTVFFW89QMWHCB8FOORHB3AFB25358C97AE01F1ECAF2B3BF787509</vt:lpwstr>
  </property>
  <property fmtid="{D5CDD505-2E9C-101B-9397-08002B2CF9AE}" pid="5" name="_KSOProductBuildSID">
    <vt:lpwstr>90BCDAB0BD3246A98E95BB5925182671</vt:lpwstr>
  </property>
</Properties>
</file>