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M86GH797Q0V9G9ZR8KLJN7NZ0OYPR9J06FJDWXFBRTQCT6DBRVC0CFSVHPC6RBXM65OZGZH5D8MJJQSFARFFZ89D0WILB8SOD0HB32F32ED03659FF24E5D19EBBA11DD1688" Type="http://schemas.microsoft.com/office/2006/relationships/officeDocumentMain" Target="docProps/core.xml"/><Relationship Id="DPWM06BV796A00TGQARNKL0R7NL0OAGRES06FJDWXFFRTFWTN0BJQCJFFSVHPDRRXFM65OZGZIWD8IXJQSFTYF8H89D0WL5B8UOD0HB3765B19B36A3519EB6334A2F81D98FBA2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南银理财珠联璧合鑫逸稳一年187期封闭式公募人民币理财产品发行公告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南银理财珠联璧合鑫逸稳一年187期封闭式公募人民币理财产品（产品登记编码：Z7003224000210）已于2024年10月15日结束募集，符合产品成立条件，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于2024年10月16日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成立。该产品募集金额1,014,050,476.00元，理财资金将按产品说明书约定进行投资。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2024年10月17日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DPWM86GH797Q0V9G9ZR8KLJN7NZ0OYPR9J06FJDWXFBRTQCT6DBRVC0CFSVHPC6RBXM65OZGZH5D8MJJQSFARFFZ89D0WILB8SOD0HB32F32ED03659FF24E5D19EBBA11DD1688</vt:lpwstr>
  </property>
  <property fmtid="{D5CDD505-2E9C-101B-9397-08002B2CF9AE}" pid="5" name="_KSOProductBuildSID">
    <vt:lpwstr>DPWM06BV796A00TGQARNKL0R7NL0OAGRES06FJDWXFFRTFWTN0BJQCJFFSVHPDRRXFM65OZGZIWD8IXJQSFTYF8H89D0WL5B8UOD0HB3765B19B36A3519EB6334A2F81D98FBA2</vt:lpwstr>
  </property>
</Properties>
</file>