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sz w:val="24"/>
        </w:rPr>
      </w:pPr>
      <w:r>
        <w:rPr>
          <w:rFonts w:hint="eastAsia" w:ascii="方正黑体_GBK" w:hAnsi="方正黑体_GBK" w:eastAsia="方正黑体_GBK" w:cs="方正黑体_GBK"/>
          <w:b/>
          <w:sz w:val="24"/>
        </w:rPr>
        <w:t>关于南银理财</w:t>
      </w:r>
      <w:r>
        <w:rPr>
          <w:rFonts w:hint="eastAsia" w:ascii="方正黑体_GBK" w:hAnsi="方正黑体_GBK" w:eastAsia="方正黑体_GBK" w:cs="方正黑体_GBK"/>
          <w:b/>
          <w:sz w:val="24"/>
          <w:lang w:eastAsia="zh-CN"/>
        </w:rPr>
        <w:t>盈瑞灵活价值精选两年定开</w:t>
      </w:r>
      <w:r>
        <w:rPr>
          <w:rFonts w:hint="eastAsia" w:ascii="方正黑体_GBK" w:hAnsi="方正黑体_GBK" w:eastAsia="方正黑体_GBK" w:cs="方正黑体_GBK"/>
          <w:b/>
          <w:sz w:val="24"/>
          <w:lang w:val="en-US" w:eastAsia="zh-CN"/>
        </w:rPr>
        <w:t>2022第1期</w:t>
      </w:r>
      <w:r>
        <w:rPr>
          <w:rFonts w:hint="eastAsia" w:ascii="方正黑体_GBK" w:hAnsi="方正黑体_GBK" w:eastAsia="方正黑体_GBK" w:cs="方正黑体_GBK"/>
          <w:b/>
          <w:sz w:val="24"/>
          <w:lang w:eastAsia="zh-CN"/>
        </w:rPr>
        <w:t>公募</w:t>
      </w:r>
      <w:r>
        <w:rPr>
          <w:rFonts w:hint="eastAsia" w:ascii="方正黑体_GBK" w:hAnsi="方正黑体_GBK" w:eastAsia="方正黑体_GBK" w:cs="方正黑体_GBK"/>
          <w:b/>
          <w:sz w:val="24"/>
        </w:rPr>
        <w:t>人民币理财产品</w:t>
      </w:r>
    </w:p>
    <w:p>
      <w:pPr>
        <w:jc w:val="center"/>
        <w:rPr>
          <w:rFonts w:hint="default" w:ascii="方正黑体_GBK" w:hAnsi="方正黑体_GBK" w:eastAsia="方正黑体_GBK" w:cs="方正黑体_GBK"/>
          <w:b/>
          <w:sz w:val="24"/>
          <w:lang w:val="en-US"/>
        </w:rPr>
      </w:pPr>
      <w:r>
        <w:rPr>
          <w:rFonts w:hint="eastAsia" w:ascii="方正黑体_GBK" w:hAnsi="方正黑体_GBK" w:eastAsia="方正黑体_GBK" w:cs="方正黑体_GBK"/>
          <w:b/>
          <w:sz w:val="24"/>
        </w:rPr>
        <w:t>要素调整</w:t>
      </w:r>
      <w:r>
        <w:rPr>
          <w:rFonts w:hint="eastAsia" w:ascii="方正黑体_GBK" w:hAnsi="方正黑体_GBK" w:eastAsia="方正黑体_GBK" w:cs="方正黑体_GBK"/>
          <w:b/>
          <w:sz w:val="24"/>
          <w:lang w:val="en-US" w:eastAsia="zh-CN"/>
        </w:rPr>
        <w:t>等事项的公告</w:t>
      </w:r>
    </w:p>
    <w:p>
      <w:pPr>
        <w:spacing w:after="240" w:line="288" w:lineRule="auto"/>
        <w:ind w:firstLine="420"/>
        <w:rPr>
          <w:rFonts w:ascii="方正黑体_GBK" w:hAnsi="方正黑体_GBK" w:eastAsia="方正黑体_GBK" w:cs="方正黑体_GBK"/>
          <w:szCs w:val="21"/>
        </w:rPr>
      </w:pPr>
      <w:r>
        <w:rPr>
          <w:rFonts w:hint="eastAsia" w:ascii="方正黑体_GBK" w:hAnsi="方正黑体_GBK" w:eastAsia="方正黑体_GBK" w:cs="方正黑体_GBK"/>
          <w:szCs w:val="21"/>
        </w:rPr>
        <w:t>尊敬的投资者：</w:t>
      </w:r>
    </w:p>
    <w:p>
      <w:pPr>
        <w:numPr>
          <w:ilvl w:val="0"/>
          <w:numId w:val="0"/>
        </w:numPr>
        <w:spacing w:after="0" w:line="360" w:lineRule="auto"/>
        <w:ind w:firstLine="420"/>
        <w:rPr>
          <w:rFonts w:hint="eastAsia" w:ascii="方正黑体_GBK" w:hAnsi="方正黑体_GBK" w:eastAsia="方正黑体_GBK" w:cs="方正黑体_GBK"/>
          <w:szCs w:val="21"/>
          <w:lang w:val="en-US" w:eastAsia="zh-CN"/>
        </w:rPr>
      </w:pPr>
      <w:r>
        <w:rPr>
          <w:rFonts w:hint="eastAsia" w:ascii="方正黑体_GBK" w:hAnsi="方正黑体_GBK" w:eastAsia="方正黑体_GBK" w:cs="方正黑体_GBK"/>
          <w:b/>
          <w:bCs/>
          <w:kern w:val="2"/>
          <w:sz w:val="21"/>
          <w:szCs w:val="21"/>
          <w:lang w:val="en-US" w:eastAsia="zh-CN" w:bidi="ar-SA"/>
        </w:rPr>
        <w:t>一、</w:t>
      </w:r>
      <w:r>
        <w:rPr>
          <w:rFonts w:hint="eastAsia" w:ascii="方正黑体_GBK" w:hAnsi="方正黑体_GBK" w:eastAsia="方正黑体_GBK" w:cs="方正黑体_GBK"/>
          <w:b/>
          <w:bCs/>
          <w:szCs w:val="21"/>
          <w:lang w:val="en-US" w:eastAsia="zh-CN"/>
        </w:rPr>
        <w:t>要素调整</w:t>
      </w:r>
    </w:p>
    <w:p>
      <w:pPr>
        <w:numPr>
          <w:ilvl w:val="-1"/>
          <w:numId w:val="0"/>
        </w:numPr>
        <w:spacing w:after="0" w:line="360" w:lineRule="auto"/>
        <w:ind w:firstLine="420" w:firstLineChars="200"/>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根据理财产品说明书的相关约定，本公司将于2024年</w:t>
      </w:r>
      <w:r>
        <w:rPr>
          <w:rFonts w:hint="eastAsia" w:ascii="方正黑体_GBK" w:hAnsi="方正黑体_GBK" w:eastAsia="方正黑体_GBK" w:cs="方正黑体_GBK"/>
          <w:szCs w:val="21"/>
          <w:lang w:val="en-US" w:eastAsia="zh-CN"/>
        </w:rPr>
        <w:t>9</w:t>
      </w:r>
      <w:r>
        <w:rPr>
          <w:rFonts w:hint="eastAsia" w:ascii="方正黑体_GBK" w:hAnsi="方正黑体_GBK" w:eastAsia="方正黑体_GBK" w:cs="方正黑体_GBK"/>
          <w:szCs w:val="21"/>
        </w:rPr>
        <w:t>月2</w:t>
      </w:r>
      <w:r>
        <w:rPr>
          <w:rFonts w:hint="eastAsia" w:ascii="方正黑体_GBK" w:hAnsi="方正黑体_GBK" w:eastAsia="方正黑体_GBK" w:cs="方正黑体_GBK"/>
          <w:szCs w:val="21"/>
          <w:lang w:val="en-US" w:eastAsia="zh-CN"/>
        </w:rPr>
        <w:t>0</w:t>
      </w:r>
      <w:r>
        <w:rPr>
          <w:rFonts w:hint="eastAsia" w:ascii="方正黑体_GBK" w:hAnsi="方正黑体_GBK" w:eastAsia="方正黑体_GBK" w:cs="方正黑体_GBK"/>
          <w:szCs w:val="21"/>
        </w:rPr>
        <w:t>日起对南银理财</w:t>
      </w:r>
      <w:r>
        <w:rPr>
          <w:rFonts w:hint="eastAsia" w:ascii="方正黑体_GBK" w:hAnsi="方正黑体_GBK" w:eastAsia="方正黑体_GBK" w:cs="方正黑体_GBK"/>
          <w:szCs w:val="21"/>
          <w:lang w:eastAsia="zh-CN"/>
        </w:rPr>
        <w:t>盈瑞灵活价值精选两年定开</w:t>
      </w:r>
      <w:r>
        <w:rPr>
          <w:rFonts w:hint="eastAsia" w:ascii="方正黑体_GBK" w:hAnsi="方正黑体_GBK" w:eastAsia="方正黑体_GBK" w:cs="方正黑体_GBK"/>
          <w:szCs w:val="21"/>
          <w:lang w:val="en-US" w:eastAsia="zh-CN"/>
        </w:rPr>
        <w:t>2022第1期</w:t>
      </w:r>
      <w:r>
        <w:rPr>
          <w:rFonts w:hint="eastAsia" w:ascii="方正黑体_GBK" w:hAnsi="方正黑体_GBK" w:eastAsia="方正黑体_GBK" w:cs="方正黑体_GBK"/>
          <w:szCs w:val="21"/>
          <w:lang w:eastAsia="zh-CN"/>
        </w:rPr>
        <w:t>公募</w:t>
      </w:r>
      <w:r>
        <w:rPr>
          <w:rFonts w:hint="eastAsia" w:ascii="方正黑体_GBK" w:hAnsi="方正黑体_GBK" w:eastAsia="方正黑体_GBK" w:cs="方正黑体_GBK"/>
          <w:szCs w:val="21"/>
        </w:rPr>
        <w:t>人民币理财产品（产品登记编码：</w:t>
      </w:r>
      <w:r>
        <w:rPr>
          <w:rFonts w:hint="eastAsia" w:ascii="方正黑体_GBK" w:hAnsi="方正黑体_GBK" w:eastAsia="方正黑体_GBK" w:cs="方正黑体_GBK"/>
          <w:szCs w:val="21"/>
          <w:lang w:val="en-US" w:eastAsia="zh-CN"/>
        </w:rPr>
        <w:t>Z7003222000056</w:t>
      </w:r>
      <w:r>
        <w:rPr>
          <w:rFonts w:hint="eastAsia" w:ascii="方正黑体_GBK" w:hAnsi="方正黑体_GBK" w:eastAsia="方正黑体_GBK" w:cs="方正黑体_GBK"/>
          <w:szCs w:val="21"/>
        </w:rPr>
        <w:t>）的</w:t>
      </w:r>
      <w:r>
        <w:rPr>
          <w:rFonts w:hint="eastAsia" w:ascii="方正黑体_GBK" w:hAnsi="方正黑体_GBK" w:eastAsia="方正黑体_GBK" w:cs="方正黑体_GBK"/>
          <w:szCs w:val="21"/>
          <w:lang w:val="en-US" w:eastAsia="zh-CN"/>
        </w:rPr>
        <w:t>投资范围、业绩比较基准、业绩报酬计提基准、</w:t>
      </w:r>
      <w:r>
        <w:rPr>
          <w:rFonts w:hint="eastAsia" w:ascii="方正黑体_GBK" w:hAnsi="方正黑体_GBK" w:eastAsia="方正黑体_GBK" w:cs="方正黑体_GBK"/>
          <w:szCs w:val="21"/>
        </w:rPr>
        <w:t>估值条款表述</w:t>
      </w:r>
      <w:r>
        <w:rPr>
          <w:rFonts w:hint="eastAsia" w:ascii="方正黑体_GBK" w:hAnsi="方正黑体_GBK" w:eastAsia="方正黑体_GBK" w:cs="方正黑体_GBK"/>
          <w:szCs w:val="21"/>
          <w:lang w:val="en-US" w:eastAsia="zh-CN"/>
        </w:rPr>
        <w:t>等</w:t>
      </w:r>
      <w:r>
        <w:rPr>
          <w:rFonts w:hint="eastAsia" w:ascii="方正黑体_GBK" w:hAnsi="方正黑体_GBK" w:eastAsia="方正黑体_GBK" w:cs="方正黑体_GBK"/>
          <w:szCs w:val="21"/>
        </w:rPr>
        <w:t>进行调整，内容具体如下：</w:t>
      </w:r>
    </w:p>
    <w:tbl>
      <w:tblPr>
        <w:tblStyle w:val="8"/>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67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要素</w:t>
            </w:r>
          </w:p>
        </w:tc>
        <w:tc>
          <w:tcPr>
            <w:tcW w:w="3673"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优化前</w:t>
            </w:r>
          </w:p>
        </w:tc>
        <w:tc>
          <w:tcPr>
            <w:tcW w:w="4819"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优化后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jc w:val="center"/>
              <w:rPr>
                <w:rFonts w:hint="eastAsia" w:ascii="方正黑体_GBK" w:hAnsi="方正黑体_GBK" w:eastAsia="方正黑体_GBK" w:cs="方正黑体_GBK"/>
                <w:bCs/>
                <w:kern w:val="0"/>
                <w:sz w:val="18"/>
                <w:szCs w:val="18"/>
                <w:lang w:eastAsia="zh-CN"/>
              </w:rPr>
            </w:pPr>
            <w:r>
              <w:rPr>
                <w:rFonts w:hint="eastAsia" w:ascii="方正黑体_GBK" w:hAnsi="方正黑体_GBK" w:eastAsia="方正黑体_GBK" w:cs="方正黑体_GBK"/>
                <w:kern w:val="0"/>
                <w:sz w:val="18"/>
                <w:szCs w:val="18"/>
              </w:rPr>
              <w:t>投资范围</w:t>
            </w:r>
          </w:p>
        </w:tc>
        <w:tc>
          <w:tcPr>
            <w:tcW w:w="3673" w:type="dxa"/>
            <w:vAlign w:val="center"/>
          </w:tcPr>
          <w:p>
            <w:pPr>
              <w:widowControl/>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rPr>
              <w:t>本理财产品募集的资金投资于以下金融资产和金融工具，包括但不限于：</w:t>
            </w:r>
          </w:p>
          <w:p>
            <w:pPr>
              <w:widowControl/>
              <w:numPr>
                <w:ilvl w:val="0"/>
                <w:numId w:val="0"/>
              </w:numPr>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lang w:val="en-US" w:eastAsia="zh-CN"/>
              </w:rPr>
              <w:t>1.</w:t>
            </w:r>
            <w:r>
              <w:rPr>
                <w:rFonts w:hint="eastAsia" w:ascii="方正黑体_GBK" w:hAnsi="方正黑体_GBK" w:eastAsia="方正黑体_GBK" w:cs="方正黑体_GBK"/>
                <w:bCs/>
                <w:kern w:val="0"/>
                <w:sz w:val="18"/>
                <w:szCs w:val="18"/>
                <w:highlight w:val="none"/>
              </w:rPr>
              <w:t>现金、银行存款、银行承兑汇票、同业存款、大额存单、同业存单、债券回购、货币基金等货币市场工具；</w:t>
            </w:r>
          </w:p>
          <w:p>
            <w:pPr>
              <w:widowControl/>
              <w:numPr>
                <w:ilvl w:val="0"/>
                <w:numId w:val="0"/>
              </w:numPr>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widowControl/>
              <w:numPr>
                <w:ilvl w:val="0"/>
                <w:numId w:val="0"/>
              </w:numPr>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rPr>
              <w:t>3.理财直接融资工具、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widowControl/>
              <w:numPr>
                <w:ilvl w:val="0"/>
                <w:numId w:val="0"/>
              </w:numPr>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rPr>
              <w:t>4.股票、公募混合型或股票型证券投资基金等权益类资产；</w:t>
            </w:r>
          </w:p>
          <w:p>
            <w:pPr>
              <w:widowControl/>
              <w:numPr>
                <w:ilvl w:val="0"/>
                <w:numId w:val="0"/>
              </w:numPr>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rPr>
              <w:t>5.公开募集基础设施证券投资基金等符合监管要求的公募证券投资基金；</w:t>
            </w:r>
          </w:p>
          <w:p>
            <w:pPr>
              <w:widowControl/>
              <w:numPr>
                <w:ilvl w:val="0"/>
                <w:numId w:val="0"/>
              </w:numPr>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rPr>
              <w:t>6.投资范围为上述资产的信托计划、资产管理计划等资产管理产品；</w:t>
            </w:r>
          </w:p>
          <w:p>
            <w:pPr>
              <w:widowControl/>
              <w:numPr>
                <w:ilvl w:val="0"/>
                <w:numId w:val="0"/>
              </w:numPr>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rPr>
              <w:t>7.法律法规或监管机构允许投资的符合本理财产品投资性质的其他金融工具；</w:t>
            </w:r>
          </w:p>
          <w:p>
            <w:pPr>
              <w:widowControl/>
              <w:spacing w:line="200" w:lineRule="exact"/>
              <w:ind w:firstLine="0" w:firstLineChars="0"/>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highlight w:val="none"/>
              </w:rPr>
              <w:t>8.如存在法律法规或监管机构以后允许投资的其他品种或法律法规或监管政策出现调整，管理人在履行本理财产品销售文件规定的适当程序后，有权调整以上品种</w:t>
            </w:r>
            <w:r>
              <w:rPr>
                <w:rFonts w:hint="eastAsia" w:ascii="方正黑体_GBK" w:hAnsi="方正黑体_GBK" w:eastAsia="方正黑体_GBK" w:cs="方正黑体_GBK"/>
                <w:bCs/>
                <w:kern w:val="0"/>
                <w:sz w:val="18"/>
                <w:szCs w:val="18"/>
                <w:lang w:eastAsia="zh-CN"/>
              </w:rPr>
              <w:t>。</w:t>
            </w:r>
          </w:p>
          <w:p>
            <w:pPr>
              <w:widowControl/>
              <w:spacing w:line="200" w:lineRule="exact"/>
              <w:rPr>
                <w:rFonts w:hint="eastAsia" w:ascii="方正黑体_GBK" w:hAnsi="方正黑体_GBK" w:eastAsia="方正黑体_GBK" w:cs="方正黑体_GBK"/>
                <w:b/>
                <w:bCs w:val="0"/>
                <w:kern w:val="0"/>
                <w:sz w:val="18"/>
                <w:szCs w:val="18"/>
              </w:rPr>
            </w:pPr>
          </w:p>
        </w:tc>
        <w:tc>
          <w:tcPr>
            <w:tcW w:w="4819" w:type="dxa"/>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szCs w:val="18"/>
              </w:rPr>
              <w:t>本理财产品募集的资金投资于以下金融资产和金融工具，包括但不限于：</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szCs w:val="18"/>
              </w:rPr>
              <w:t>1.现金、银行存款、银行承兑汇票、同业存款、大额存单、同业存单、债券回购、货币基金等货币市场工具；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szCs w:val="18"/>
              </w:rPr>
              <w:t>4.股票、公募混合型或股票型证券投资基金等权益类资产；</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szCs w:val="18"/>
              </w:rPr>
              <w:t>5.公开募集基础设施证券投资基金等符合监管要求的公募证券投资基金；</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szCs w:val="18"/>
              </w:rPr>
              <w:t>6.投资范围为上述资产的信托计划、资产管理计划等资产管理产品；</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sz w:val="18"/>
                <w:szCs w:val="18"/>
              </w:rPr>
              <w:t>7.法律法规或监管机构允许投资的符合本理财产品投资性质的其他金融工具；</w:t>
            </w:r>
          </w:p>
          <w:p>
            <w:pPr>
              <w:spacing w:line="200" w:lineRule="exact"/>
              <w:rPr>
                <w:rFonts w:hint="eastAsia" w:ascii="方正黑体_GBK" w:hAnsi="方正黑体_GBK" w:eastAsia="方正黑体_GBK" w:cs="方正黑体_GBK"/>
                <w:kern w:val="2"/>
                <w:sz w:val="21"/>
                <w:szCs w:val="24"/>
                <w:lang w:val="en-US" w:eastAsia="zh-CN" w:bidi="ar-SA"/>
              </w:rPr>
            </w:pPr>
            <w:r>
              <w:rPr>
                <w:rFonts w:hint="eastAsia" w:ascii="方正黑体_GBK" w:hAnsi="方正黑体_GBK" w:eastAsia="方正黑体_GBK" w:cs="方正黑体_GBK"/>
                <w:sz w:val="18"/>
                <w:szCs w:val="18"/>
              </w:rPr>
              <w:t>8.如存在法律法规或监管机构以后允许投资的其他品种或法律法规或监管政策出现调整，管理人在履行本理财产品销售文件规定的适当程序后，有权调整以上品种。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bCs/>
                <w:kern w:val="0"/>
                <w:sz w:val="18"/>
                <w:szCs w:val="18"/>
                <w:lang w:eastAsia="zh-CN"/>
              </w:rPr>
              <w:t>业绩比较基准</w:t>
            </w:r>
          </w:p>
        </w:tc>
        <w:tc>
          <w:tcPr>
            <w:tcW w:w="3673" w:type="dxa"/>
            <w:vAlign w:val="center"/>
          </w:tcPr>
          <w:p>
            <w:pPr>
              <w:widowControl/>
              <w:spacing w:line="200" w:lineRule="exact"/>
              <w:jc w:val="left"/>
              <w:rPr>
                <w:rFonts w:hint="eastAsia" w:ascii="方正黑体_GBK" w:hAnsi="方正黑体_GBK" w:eastAsia="方正黑体_GBK" w:cs="方正黑体_GBK"/>
                <w:bCs/>
                <w:kern w:val="0"/>
                <w:sz w:val="18"/>
                <w:szCs w:val="18"/>
              </w:rPr>
            </w:pPr>
            <w:r>
              <w:rPr>
                <w:rFonts w:hint="eastAsia" w:ascii="方正黑体_GBK" w:hAnsi="方正黑体_GBK" w:eastAsia="方正黑体_GBK" w:cs="方正黑体_GBK"/>
                <w:bCs/>
                <w:kern w:val="0"/>
                <w:sz w:val="18"/>
                <w:szCs w:val="18"/>
              </w:rPr>
              <w:t>本理财产品的业绩比较基准为</w:t>
            </w:r>
            <w:r>
              <w:rPr>
                <w:rFonts w:hint="eastAsia" w:ascii="方正黑体_GBK" w:hAnsi="方正黑体_GBK" w:eastAsia="方正黑体_GBK" w:cs="方正黑体_GBK"/>
                <w:bCs/>
                <w:kern w:val="0"/>
                <w:sz w:val="18"/>
                <w:szCs w:val="18"/>
                <w:lang w:val="en-US" w:eastAsia="zh-CN"/>
              </w:rPr>
              <w:t>5.5</w:t>
            </w:r>
            <w:r>
              <w:rPr>
                <w:rFonts w:hint="eastAsia" w:ascii="方正黑体_GBK" w:hAnsi="方正黑体_GBK" w:eastAsia="方正黑体_GBK" w:cs="方正黑体_GBK"/>
                <w:bCs/>
                <w:kern w:val="0"/>
                <w:sz w:val="18"/>
                <w:szCs w:val="18"/>
              </w:rPr>
              <w:t>%（年化）。</w:t>
            </w:r>
          </w:p>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本理财产品业绩比较基准是管理人基于过往投资经验、对产品存续期拟投资标的和相应投资市场波动的预判设定的投资目标。</w:t>
            </w:r>
            <w:r>
              <w:rPr>
                <w:rFonts w:hint="eastAsia" w:ascii="方正黑体_GBK" w:hAnsi="方正黑体_GBK" w:eastAsia="方正黑体_GBK" w:cs="方正黑体_GBK"/>
                <w:bCs/>
                <w:kern w:val="0"/>
                <w:sz w:val="18"/>
                <w:szCs w:val="18"/>
              </w:rPr>
              <w:t>本理财产品</w:t>
            </w:r>
            <w:r>
              <w:rPr>
                <w:rFonts w:hint="eastAsia" w:ascii="方正黑体_GBK" w:hAnsi="方正黑体_GBK" w:eastAsia="方正黑体_GBK" w:cs="方正黑体_GBK"/>
                <w:bCs/>
                <w:kern w:val="0"/>
                <w:sz w:val="18"/>
                <w:szCs w:val="18"/>
                <w:lang w:eastAsia="zh-CN"/>
              </w:rPr>
              <w:t>投资于</w:t>
            </w:r>
            <w:r>
              <w:rPr>
                <w:rFonts w:hint="eastAsia" w:ascii="方正黑体_GBK" w:hAnsi="方正黑体_GBK" w:eastAsia="方正黑体_GBK" w:cs="方正黑体_GBK"/>
                <w:bCs/>
                <w:kern w:val="0"/>
                <w:sz w:val="18"/>
                <w:szCs w:val="18"/>
              </w:rPr>
              <w:t>固定收益类资产的比例</w:t>
            </w:r>
            <w:r>
              <w:rPr>
                <w:rFonts w:hint="eastAsia" w:ascii="方正黑体_GBK" w:hAnsi="方正黑体_GBK" w:eastAsia="方正黑体_GBK" w:cs="方正黑体_GBK"/>
                <w:bCs/>
                <w:kern w:val="0"/>
                <w:sz w:val="18"/>
                <w:szCs w:val="18"/>
                <w:lang w:eastAsia="zh-CN"/>
              </w:rPr>
              <w:t>低于</w:t>
            </w:r>
            <w:r>
              <w:rPr>
                <w:rFonts w:hint="eastAsia" w:ascii="方正黑体_GBK" w:hAnsi="方正黑体_GBK" w:eastAsia="方正黑体_GBK" w:cs="方正黑体_GBK"/>
                <w:bCs/>
                <w:kern w:val="0"/>
                <w:sz w:val="18"/>
                <w:szCs w:val="18"/>
              </w:rPr>
              <w:t>80%</w:t>
            </w:r>
            <w:r>
              <w:rPr>
                <w:rFonts w:hint="eastAsia" w:ascii="方正黑体_GBK" w:hAnsi="方正黑体_GBK" w:eastAsia="方正黑体_GBK" w:cs="方正黑体_GBK"/>
                <w:bCs/>
                <w:kern w:val="0"/>
                <w:sz w:val="18"/>
                <w:szCs w:val="18"/>
                <w:lang w:eastAsia="zh-CN"/>
              </w:rPr>
              <w:t>，投资于</w:t>
            </w:r>
            <w:r>
              <w:rPr>
                <w:rFonts w:hint="eastAsia" w:ascii="方正黑体_GBK" w:hAnsi="方正黑体_GBK" w:eastAsia="方正黑体_GBK" w:cs="方正黑体_GBK"/>
                <w:bCs/>
                <w:kern w:val="0"/>
                <w:sz w:val="18"/>
                <w:szCs w:val="18"/>
              </w:rPr>
              <w:t>非标准化债权类资产的比例不</w:t>
            </w:r>
            <w:r>
              <w:rPr>
                <w:rFonts w:hint="eastAsia" w:ascii="方正黑体_GBK" w:hAnsi="方正黑体_GBK" w:eastAsia="方正黑体_GBK" w:cs="方正黑体_GBK"/>
                <w:bCs/>
                <w:kern w:val="0"/>
                <w:sz w:val="18"/>
                <w:szCs w:val="18"/>
                <w:lang w:eastAsia="zh-CN"/>
              </w:rPr>
              <w:t>高于</w:t>
            </w:r>
            <w:r>
              <w:rPr>
                <w:rFonts w:hint="eastAsia" w:ascii="方正黑体_GBK" w:hAnsi="方正黑体_GBK" w:eastAsia="方正黑体_GBK" w:cs="方正黑体_GBK"/>
                <w:bCs/>
                <w:kern w:val="0"/>
                <w:sz w:val="18"/>
                <w:szCs w:val="18"/>
              </w:rPr>
              <w:t>50%，</w:t>
            </w:r>
            <w:r>
              <w:rPr>
                <w:rFonts w:hint="eastAsia" w:ascii="方正黑体_GBK" w:hAnsi="方正黑体_GBK" w:eastAsia="方正黑体_GBK" w:cs="方正黑体_GBK"/>
                <w:bCs/>
                <w:kern w:val="0"/>
                <w:sz w:val="18"/>
                <w:szCs w:val="18"/>
                <w:lang w:eastAsia="zh-CN"/>
              </w:rPr>
              <w:t>投资于</w:t>
            </w:r>
            <w:r>
              <w:rPr>
                <w:rFonts w:hint="eastAsia" w:ascii="方正黑体_GBK" w:hAnsi="方正黑体_GBK" w:eastAsia="方正黑体_GBK" w:cs="方正黑体_GBK"/>
                <w:bCs/>
                <w:kern w:val="0"/>
                <w:sz w:val="18"/>
                <w:szCs w:val="18"/>
              </w:rPr>
              <w:t>权益类资产的比例不</w:t>
            </w:r>
            <w:r>
              <w:rPr>
                <w:rFonts w:hint="eastAsia" w:ascii="方正黑体_GBK" w:hAnsi="方正黑体_GBK" w:eastAsia="方正黑体_GBK" w:cs="方正黑体_GBK"/>
                <w:bCs/>
                <w:kern w:val="0"/>
                <w:sz w:val="18"/>
                <w:szCs w:val="18"/>
                <w:lang w:eastAsia="zh-CN"/>
              </w:rPr>
              <w:t>高于</w:t>
            </w:r>
            <w:r>
              <w:rPr>
                <w:rFonts w:hint="eastAsia" w:ascii="方正黑体_GBK" w:hAnsi="方正黑体_GBK" w:eastAsia="方正黑体_GBK" w:cs="方正黑体_GBK"/>
                <w:bCs/>
                <w:kern w:val="0"/>
                <w:sz w:val="18"/>
                <w:szCs w:val="18"/>
                <w:lang w:val="en-US" w:eastAsia="zh-CN"/>
              </w:rPr>
              <w:t>50</w:t>
            </w:r>
            <w:r>
              <w:rPr>
                <w:rFonts w:hint="eastAsia" w:ascii="方正黑体_GBK" w:hAnsi="方正黑体_GBK" w:eastAsia="方正黑体_GBK" w:cs="方正黑体_GBK"/>
                <w:bCs/>
                <w:kern w:val="0"/>
                <w:sz w:val="18"/>
                <w:szCs w:val="18"/>
              </w:rPr>
              <w:t>%。</w:t>
            </w:r>
            <w:r>
              <w:rPr>
                <w:rFonts w:hint="eastAsia" w:ascii="方正黑体_GBK" w:hAnsi="方正黑体_GBK" w:eastAsia="方正黑体_GBK" w:cs="方正黑体_GBK"/>
                <w:kern w:val="0"/>
                <w:sz w:val="18"/>
                <w:szCs w:val="18"/>
              </w:rPr>
              <w:t>基于本理财产品以权益资产配置为核心，</w:t>
            </w:r>
            <w:r>
              <w:rPr>
                <w:rFonts w:hint="eastAsia" w:ascii="方正黑体_GBK" w:hAnsi="方正黑体_GBK" w:eastAsia="方正黑体_GBK" w:cs="方正黑体_GBK"/>
                <w:color w:val="auto"/>
                <w:kern w:val="0"/>
                <w:sz w:val="18"/>
                <w:szCs w:val="18"/>
              </w:rPr>
              <w:t>固收类资产主要投放优质非标资产，结合权益类资产和固收类资产的投资比例及两类资产的收益和波动水平预判</w:t>
            </w:r>
            <w:r>
              <w:rPr>
                <w:rFonts w:hint="eastAsia" w:ascii="方正黑体_GBK" w:hAnsi="方正黑体_GBK" w:eastAsia="方正黑体_GBK" w:cs="方正黑体_GBK"/>
                <w:kern w:val="0"/>
                <w:sz w:val="18"/>
                <w:szCs w:val="18"/>
              </w:rPr>
              <w:t>，管理人设定了本理财产品投资周期内业绩比较基准为</w:t>
            </w:r>
            <w:r>
              <w:rPr>
                <w:rFonts w:hint="eastAsia" w:ascii="方正黑体_GBK" w:hAnsi="方正黑体_GBK" w:eastAsia="方正黑体_GBK" w:cs="方正黑体_GBK"/>
                <w:bCs w:val="0"/>
                <w:kern w:val="0"/>
                <w:sz w:val="18"/>
                <w:szCs w:val="18"/>
                <w:lang w:val="en-US" w:eastAsia="zh-CN"/>
              </w:rPr>
              <w:t>5.5%</w:t>
            </w:r>
            <w:r>
              <w:rPr>
                <w:rFonts w:hint="eastAsia" w:ascii="方正黑体_GBK" w:hAnsi="方正黑体_GBK" w:eastAsia="方正黑体_GBK" w:cs="方正黑体_GBK"/>
                <w:bCs w:val="0"/>
                <w:kern w:val="0"/>
                <w:sz w:val="18"/>
                <w:szCs w:val="18"/>
                <w:lang w:eastAsia="zh-CN"/>
              </w:rPr>
              <w:t>（年化）</w:t>
            </w:r>
            <w:r>
              <w:rPr>
                <w:rFonts w:hint="eastAsia" w:ascii="方正黑体_GBK" w:hAnsi="方正黑体_GBK" w:eastAsia="方正黑体_GBK" w:cs="方正黑体_GBK"/>
                <w:kern w:val="0"/>
                <w:sz w:val="18"/>
                <w:szCs w:val="18"/>
              </w:rPr>
              <w:t>。</w:t>
            </w:r>
          </w:p>
          <w:p>
            <w:pPr>
              <w:widowControl/>
              <w:spacing w:line="200" w:lineRule="exact"/>
              <w:jc w:val="left"/>
              <w:rPr>
                <w:rFonts w:hint="eastAsia" w:ascii="方正黑体_GBK" w:hAnsi="方正黑体_GBK" w:eastAsia="方正黑体_GBK" w:cs="方正黑体_GBK"/>
                <w:kern w:val="0"/>
                <w:sz w:val="18"/>
                <w:szCs w:val="18"/>
              </w:rPr>
            </w:pPr>
          </w:p>
          <w:p>
            <w:pPr>
              <w:widowControl/>
              <w:spacing w:line="240" w:lineRule="exact"/>
              <w:jc w:val="left"/>
              <w:rPr>
                <w:rFonts w:hint="eastAsia" w:ascii="方正黑体_GBK" w:hAnsi="方正黑体_GBK" w:eastAsia="方正黑体_GBK" w:cs="方正黑体_GBK"/>
                <w:kern w:val="0"/>
                <w:sz w:val="18"/>
                <w:szCs w:val="18"/>
                <w:highlight w:val="none"/>
                <w:shd w:val="clear" w:color="auto" w:fill="auto"/>
                <w:lang w:eastAsia="zh-CN"/>
              </w:rPr>
            </w:pPr>
            <w:r>
              <w:rPr>
                <w:rFonts w:hint="eastAsia" w:ascii="方正黑体_GBK" w:hAnsi="方正黑体_GBK" w:eastAsia="方正黑体_GBK" w:cs="方正黑体_GBK"/>
                <w:b/>
                <w:bCs/>
                <w:kern w:val="0"/>
                <w:sz w:val="18"/>
                <w:szCs w:val="18"/>
                <w:highlight w:val="none"/>
                <w:shd w:val="clear" w:color="auto" w:fill="auto"/>
                <w:lang w:eastAsia="zh-CN"/>
              </w:rPr>
              <w:t>注：</w:t>
            </w:r>
            <w:r>
              <w:rPr>
                <w:rFonts w:hint="eastAsia" w:ascii="方正黑体_GBK" w:hAnsi="方正黑体_GBK" w:eastAsia="方正黑体_GBK" w:cs="方正黑体_GBK"/>
                <w:b/>
                <w:bCs/>
                <w:kern w:val="0"/>
                <w:sz w:val="18"/>
                <w:szCs w:val="18"/>
                <w:highlight w:val="none"/>
                <w:shd w:val="clear" w:color="auto" w:fill="auto"/>
                <w:lang w:val="en-US" w:eastAsia="zh-CN"/>
              </w:rPr>
              <w:t>管理人</w:t>
            </w:r>
            <w:r>
              <w:rPr>
                <w:rFonts w:hint="eastAsia" w:ascii="方正黑体_GBK" w:hAnsi="方正黑体_GBK" w:eastAsia="方正黑体_GBK" w:cs="方正黑体_GBK"/>
                <w:b w:val="0"/>
                <w:bCs w:val="0"/>
                <w:kern w:val="0"/>
                <w:sz w:val="18"/>
                <w:szCs w:val="18"/>
                <w:highlight w:val="none"/>
                <w:shd w:val="clear" w:color="auto" w:fill="auto"/>
                <w:lang w:eastAsia="zh-CN"/>
              </w:rPr>
              <w:t>可根据市场情况对业绩比较基准进行适当调整，如有调整，</w:t>
            </w:r>
            <w:r>
              <w:rPr>
                <w:rFonts w:hint="eastAsia" w:ascii="方正黑体_GBK" w:hAnsi="方正黑体_GBK" w:eastAsia="方正黑体_GBK" w:cs="方正黑体_GBK"/>
                <w:kern w:val="0"/>
                <w:sz w:val="18"/>
                <w:szCs w:val="18"/>
                <w:highlight w:val="none"/>
                <w:shd w:val="clear" w:color="auto" w:fill="auto"/>
              </w:rPr>
              <w:t>将</w:t>
            </w:r>
            <w:r>
              <w:rPr>
                <w:rFonts w:hint="eastAsia" w:ascii="方正黑体_GBK" w:hAnsi="方正黑体_GBK" w:eastAsia="方正黑体_GBK" w:cs="方正黑体_GBK"/>
                <w:kern w:val="0"/>
                <w:sz w:val="18"/>
                <w:szCs w:val="18"/>
                <w:highlight w:val="none"/>
                <w:shd w:val="clear" w:color="auto" w:fill="auto"/>
                <w:lang w:eastAsia="zh-CN"/>
              </w:rPr>
              <w:t>至少于调整前</w:t>
            </w:r>
            <w:r>
              <w:rPr>
                <w:rFonts w:hint="eastAsia" w:ascii="方正黑体_GBK" w:hAnsi="方正黑体_GBK" w:eastAsia="方正黑体_GBK" w:cs="方正黑体_GBK"/>
                <w:kern w:val="0"/>
                <w:sz w:val="18"/>
                <w:szCs w:val="18"/>
                <w:highlight w:val="none"/>
                <w:shd w:val="clear" w:color="auto" w:fill="auto"/>
              </w:rPr>
              <w:t>3个工作日</w:t>
            </w:r>
            <w:r>
              <w:rPr>
                <w:rFonts w:hint="eastAsia" w:ascii="方正黑体_GBK" w:hAnsi="方正黑体_GBK" w:eastAsia="方正黑体_GBK" w:cs="方正黑体_GBK"/>
                <w:kern w:val="0"/>
                <w:sz w:val="18"/>
                <w:szCs w:val="18"/>
                <w:highlight w:val="none"/>
                <w:shd w:val="clear" w:color="auto" w:fill="auto"/>
                <w:lang w:eastAsia="zh-CN"/>
              </w:rPr>
              <w:t>公布调整方案。</w:t>
            </w:r>
          </w:p>
          <w:p>
            <w:pPr>
              <w:widowControl/>
              <w:spacing w:line="200" w:lineRule="exact"/>
              <w:jc w:val="left"/>
              <w:rPr>
                <w:rFonts w:hint="eastAsia" w:ascii="方正黑体_GBK" w:hAnsi="方正黑体_GBK" w:eastAsia="方正黑体_GBK" w:cs="方正黑体_GBK"/>
                <w:kern w:val="0"/>
                <w:sz w:val="18"/>
                <w:szCs w:val="18"/>
              </w:rPr>
            </w:pPr>
          </w:p>
          <w:p>
            <w:pPr>
              <w:widowControl/>
              <w:spacing w:line="200" w:lineRule="exact"/>
              <w:rPr>
                <w:rFonts w:hint="eastAsia" w:ascii="方正黑体_GBK" w:hAnsi="方正黑体_GBK" w:eastAsia="方正黑体_GBK" w:cs="方正黑体_GBK"/>
                <w:color w:val="3D3D3D"/>
                <w:kern w:val="0"/>
                <w:sz w:val="18"/>
                <w:szCs w:val="18"/>
              </w:rPr>
            </w:pPr>
            <w:r>
              <w:rPr>
                <w:rFonts w:hint="eastAsia" w:ascii="方正黑体_GBK" w:hAnsi="方正黑体_GBK" w:eastAsia="方正黑体_GBK" w:cs="方正黑体_GBK"/>
                <w:b/>
                <w:bCs w:val="0"/>
                <w:kern w:val="0"/>
                <w:sz w:val="18"/>
                <w:szCs w:val="18"/>
              </w:rPr>
              <w:t>本理财产品为净值型理财产品，没有预期收益率。管理人提醒投资者关注，业绩比较基准并不代表实际收益率。</w:t>
            </w:r>
          </w:p>
        </w:tc>
        <w:tc>
          <w:tcPr>
            <w:tcW w:w="4819" w:type="dxa"/>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00" w:lineRule="exact"/>
              <w:ind w:left="0" w:right="0" w:firstLine="0"/>
              <w:jc w:val="both"/>
              <w:outlineLvl w:val="9"/>
            </w:pPr>
            <w:r>
              <w:rPr>
                <w:rFonts w:hint="eastAsia" w:ascii="方正黑体_GBK" w:hAnsi="方正黑体_GBK" w:eastAsia="方正黑体_GBK" w:cs="宋体"/>
                <w:b w:val="0"/>
                <w:bCs w:val="0"/>
                <w:caps w:val="0"/>
                <w:color w:val="auto"/>
                <w:kern w:val="2"/>
                <w:sz w:val="18"/>
                <w:szCs w:val="18"/>
                <w:vertAlign w:val="baseline"/>
                <w:lang w:val="en-US" w:eastAsia="zh-CN" w:bidi="ar"/>
              </w:rPr>
              <w:t>本理财产品业绩比较基准为：中债新综合全价（1-3年）指数收益率×80%+中证800指数收益率×20%。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00" w:lineRule="exact"/>
              <w:ind w:left="0" w:right="0" w:firstLine="0"/>
              <w:jc w:val="both"/>
              <w:outlineLvl w:val="9"/>
            </w:pPr>
            <w:r>
              <w:rPr>
                <w:rFonts w:hint="eastAsia" w:ascii="方正黑体_GBK" w:hAnsi="方正黑体_GBK" w:eastAsia="方正黑体_GBK" w:cs="方正黑体_GBK"/>
                <w:b w:val="0"/>
                <w:bCs w:val="0"/>
                <w:caps w:val="0"/>
                <w:color w:val="auto"/>
                <w:kern w:val="2"/>
                <w:sz w:val="21"/>
                <w:szCs w:val="21"/>
                <w:vertAlign w:val="baseline"/>
                <w:lang w:val="en-US" w:eastAsia="zh-CN" w:bidi="ar"/>
              </w:rPr>
              <w:t>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00" w:lineRule="exact"/>
              <w:ind w:left="0" w:right="0" w:firstLine="0"/>
              <w:jc w:val="both"/>
              <w:outlineLvl w:val="9"/>
            </w:pPr>
            <w:r>
              <w:rPr>
                <w:rFonts w:hint="eastAsia" w:ascii="方正黑体_GBK" w:hAnsi="方正黑体_GBK" w:eastAsia="方正黑体_GBK" w:cs="宋体"/>
                <w:b w:val="0"/>
                <w:bCs w:val="0"/>
                <w:caps w:val="0"/>
                <w:color w:val="auto"/>
                <w:kern w:val="2"/>
                <w:sz w:val="18"/>
                <w:szCs w:val="18"/>
                <w:vertAlign w:val="baseline"/>
                <w:lang w:val="en-US" w:eastAsia="zh-CN" w:bidi="ar"/>
              </w:rPr>
              <w:t>注：1.中债新综合全价（1-3年）指数为中央国债登记结算有限责任公司发布的债券指数，投资者可登陆中国债券信息网查询；中证800指数为中证指数有限公司发布的股票指数，投资者可登陆中证指数有限公司官网查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00" w:lineRule="exact"/>
              <w:ind w:left="0" w:right="0" w:firstLine="0"/>
              <w:jc w:val="both"/>
              <w:outlineLvl w:val="9"/>
            </w:pPr>
            <w:r>
              <w:rPr>
                <w:rFonts w:hint="eastAsia" w:ascii="方正黑体_GBK" w:hAnsi="方正黑体_GBK" w:eastAsia="方正黑体_GBK" w:cs="宋体"/>
                <w:b w:val="0"/>
                <w:bCs w:val="0"/>
                <w:caps w:val="0"/>
                <w:color w:val="auto"/>
                <w:kern w:val="2"/>
                <w:sz w:val="18"/>
                <w:szCs w:val="18"/>
                <w:vertAlign w:val="baseline"/>
                <w:lang w:val="en-US" w:eastAsia="zh-CN" w:bidi="ar"/>
              </w:rPr>
              <w:t>2.在某一观察期内，以上指数收益率（年化）的计算方式为：（观察期末日的指数收盘价÷观察期首日前一工作日的指数收盘价-1）÷该观察期天数×365天。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00" w:lineRule="exact"/>
              <w:ind w:left="0" w:right="0" w:firstLine="0"/>
              <w:jc w:val="both"/>
              <w:outlineLvl w:val="9"/>
            </w:pPr>
            <w:r>
              <w:rPr>
                <w:rFonts w:hint="eastAsia" w:ascii="方正黑体_GBK" w:hAnsi="方正黑体_GBK" w:eastAsia="方正黑体_GBK" w:cs="宋体"/>
                <w:b w:val="0"/>
                <w:bCs w:val="0"/>
                <w:caps w:val="0"/>
                <w:color w:val="auto"/>
                <w:kern w:val="2"/>
                <w:sz w:val="18"/>
                <w:szCs w:val="18"/>
                <w:vertAlign w:val="baseline"/>
                <w:lang w:val="en-US" w:eastAsia="zh-CN" w:bidi="ar"/>
              </w:rPr>
              <w:t>3.管理人将在本理财产品定期报告中对以上业绩比较基准进行跟踪和披露。</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00" w:lineRule="exact"/>
              <w:ind w:left="0" w:right="0" w:firstLine="0"/>
              <w:jc w:val="both"/>
              <w:outlineLvl w:val="9"/>
            </w:pPr>
            <w:r>
              <w:rPr>
                <w:rFonts w:hint="eastAsia" w:ascii="方正黑体_GBK" w:hAnsi="方正黑体_GBK" w:eastAsia="方正黑体_GBK" w:cs="宋体"/>
                <w:b w:val="0"/>
                <w:bCs w:val="0"/>
                <w:caps w:val="0"/>
                <w:color w:val="auto"/>
                <w:kern w:val="2"/>
                <w:sz w:val="18"/>
                <w:szCs w:val="18"/>
                <w:vertAlign w:val="baseline"/>
                <w:lang w:val="en-US" w:eastAsia="zh-CN" w:bidi="ar"/>
              </w:rPr>
              <w:t xml:space="preserve">  4.管理人可根据市场情况对业绩比较基准进行适当调整，如有调整，将至少于调整前3个工作日公布调整方案。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00" w:lineRule="exact"/>
              <w:ind w:left="0" w:right="0" w:firstLine="0"/>
              <w:jc w:val="both"/>
              <w:outlineLvl w:val="9"/>
            </w:pPr>
            <w:r>
              <w:rPr>
                <w:rFonts w:hint="eastAsia" w:ascii="方正黑体_GBK" w:hAnsi="方正黑体_GBK" w:eastAsia="方正黑体_GBK" w:cs="宋体"/>
                <w:b w:val="0"/>
                <w:bCs w:val="0"/>
                <w:caps w:val="0"/>
                <w:color w:val="auto"/>
                <w:kern w:val="2"/>
                <w:sz w:val="18"/>
                <w:szCs w:val="18"/>
                <w:vertAlign w:val="baseline"/>
                <w:lang w:val="en-US" w:eastAsia="zh-CN" w:bidi="ar"/>
              </w:rPr>
              <w:t>本理财产品业绩比较基准是管理人基于过往投资经验、对产品存续期拟投资标的和相应投资市场波动的预判设定的投资目标。本理财产品投资于固定收益类资产的比例低于80%，投资于非标准化债权类资产的比例不高于50%，投资于权益类资产的比例不高于50%。结合债券市场、权益市场的收益和波动水平，在本理财产品约定的投资策略基础上，管理人设定了本理财产品投资周期内业绩比较基准。</w:t>
            </w:r>
          </w:p>
          <w:p>
            <w:pPr>
              <w:widowControl w:val="0"/>
              <w:suppressAutoHyphens w:val="0"/>
              <w:autoSpaceDN w:val="0"/>
              <w:spacing w:line="200" w:lineRule="exact"/>
              <w:rPr>
                <w:rFonts w:hint="eastAsia" w:ascii="方正黑体_GBK" w:hAnsi="方正黑体_GBK" w:eastAsia="方正黑体_GBK" w:cs="方正黑体_GBK"/>
                <w:color w:val="3D3D3D"/>
                <w:kern w:val="0"/>
                <w:sz w:val="18"/>
                <w:szCs w:val="18"/>
              </w:rPr>
            </w:pPr>
            <w:r>
              <w:rPr>
                <w:rFonts w:hint="eastAsia" w:ascii="方正黑体_GBK" w:hAnsi="方正黑体_GBK" w:eastAsia="方正黑体_GBK" w:cs="宋体"/>
                <w:b/>
                <w:bCs/>
                <w:caps w:val="0"/>
                <w:color w:val="auto"/>
                <w:kern w:val="2"/>
                <w:sz w:val="18"/>
                <w:szCs w:val="18"/>
                <w:vertAlign w:val="baseline"/>
                <w:lang w:val="en-US" w:eastAsia="zh-CN" w:bidi="ar"/>
              </w:rPr>
              <w:t>本理财产品为净值型理财产品，业绩比较基准不是预期收益率，不代表产品的未来表现和实际收益，不构成对产品收益的承诺。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jc w:val="center"/>
              <w:rPr>
                <w:rFonts w:hint="eastAsia" w:ascii="方正黑体_GBK" w:hAnsi="方正黑体_GBK" w:eastAsia="方正黑体_GBK" w:cs="方正黑体_GBK"/>
                <w:sz w:val="22"/>
                <w:szCs w:val="22"/>
              </w:rPr>
            </w:pPr>
            <w:r>
              <w:rPr>
                <w:rFonts w:hint="eastAsia" w:ascii="方正黑体_GBK" w:hAnsi="方正黑体_GBK" w:eastAsia="方正黑体_GBK" w:cs="方正黑体_GBK"/>
                <w:kern w:val="0"/>
                <w:sz w:val="18"/>
                <w:szCs w:val="18"/>
              </w:rPr>
              <w:t>产品费用</w:t>
            </w:r>
          </w:p>
        </w:tc>
        <w:tc>
          <w:tcPr>
            <w:tcW w:w="3673" w:type="dxa"/>
            <w:vAlign w:val="center"/>
          </w:tcPr>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认申购费：本理财产品不收取认申购费。</w:t>
            </w:r>
          </w:p>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赎回费：本理财产品不收取赎回费。</w:t>
            </w:r>
          </w:p>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销售费：本理财产品按前一日理财产品资产净值收取年化</w:t>
            </w:r>
            <w:r>
              <w:rPr>
                <w:rFonts w:hint="eastAsia" w:ascii="方正黑体_GBK" w:hAnsi="方正黑体_GBK" w:eastAsia="方正黑体_GBK" w:cs="方正黑体_GBK"/>
                <w:kern w:val="0"/>
                <w:sz w:val="18"/>
                <w:szCs w:val="18"/>
                <w:lang w:val="en-US" w:eastAsia="zh-CN"/>
              </w:rPr>
              <w:t>0.5</w:t>
            </w:r>
            <w:r>
              <w:rPr>
                <w:rFonts w:hint="eastAsia" w:ascii="方正黑体_GBK" w:hAnsi="方正黑体_GBK" w:eastAsia="方正黑体_GBK" w:cs="方正黑体_GBK"/>
                <w:kern w:val="0"/>
                <w:sz w:val="18"/>
                <w:szCs w:val="18"/>
              </w:rPr>
              <w:t>%的销售费，按日计提。</w:t>
            </w:r>
          </w:p>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每日计提的销售费=前一日本理财产品资产净值×年化销售费率÷365</w:t>
            </w:r>
          </w:p>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固定管理费：本理财产品按前一日理财产品资产净值收取年化</w:t>
            </w:r>
            <w:r>
              <w:rPr>
                <w:rFonts w:hint="eastAsia" w:ascii="方正黑体_GBK" w:hAnsi="方正黑体_GBK" w:eastAsia="方正黑体_GBK" w:cs="方正黑体_GBK"/>
                <w:kern w:val="0"/>
                <w:sz w:val="18"/>
                <w:szCs w:val="18"/>
                <w:lang w:val="en-US" w:eastAsia="zh-CN"/>
              </w:rPr>
              <w:t>1.0</w:t>
            </w:r>
            <w:r>
              <w:rPr>
                <w:rFonts w:hint="eastAsia" w:ascii="方正黑体_GBK" w:hAnsi="方正黑体_GBK" w:eastAsia="方正黑体_GBK" w:cs="方正黑体_GBK"/>
                <w:kern w:val="0"/>
                <w:sz w:val="18"/>
                <w:szCs w:val="18"/>
              </w:rPr>
              <w:t>%的固定管理费，按日计提。</w:t>
            </w:r>
          </w:p>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每日计提的固定管理费=前一日本理财产品资产净值×年化固定管理费率÷365</w:t>
            </w:r>
          </w:p>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托管费：本理财产品按前一日理财产品资产净值收取年化</w:t>
            </w:r>
            <w:r>
              <w:rPr>
                <w:rFonts w:hint="eastAsia" w:ascii="方正黑体_GBK" w:hAnsi="方正黑体_GBK" w:eastAsia="方正黑体_GBK" w:cs="方正黑体_GBK"/>
                <w:kern w:val="0"/>
                <w:sz w:val="18"/>
                <w:szCs w:val="18"/>
                <w:lang w:val="en-US" w:eastAsia="zh-CN"/>
              </w:rPr>
              <w:t>0.02</w:t>
            </w:r>
            <w:r>
              <w:rPr>
                <w:rFonts w:hint="eastAsia" w:ascii="方正黑体_GBK" w:hAnsi="方正黑体_GBK" w:eastAsia="方正黑体_GBK" w:cs="方正黑体_GBK"/>
                <w:kern w:val="0"/>
                <w:sz w:val="18"/>
                <w:szCs w:val="18"/>
              </w:rPr>
              <w:t>%的托管费，按日计提。</w:t>
            </w:r>
          </w:p>
          <w:p>
            <w:pPr>
              <w:widowControl/>
              <w:spacing w:line="200" w:lineRule="exact"/>
              <w:jc w:val="left"/>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每日计提的托管费=前一日本理财产品资产净值×年化托管费率÷365</w:t>
            </w:r>
          </w:p>
          <w:p>
            <w:pPr>
              <w:widowControl/>
              <w:spacing w:line="200" w:lineRule="exact"/>
              <w:jc w:val="left"/>
              <w:rPr>
                <w:rFonts w:hint="eastAsia" w:ascii="方正黑体_GBK" w:hAnsi="方正黑体_GBK" w:eastAsia="方正黑体_GBK" w:cs="方正黑体_GBK"/>
                <w:b/>
                <w:kern w:val="0"/>
                <w:sz w:val="18"/>
                <w:szCs w:val="18"/>
              </w:rPr>
            </w:pPr>
            <w:r>
              <w:rPr>
                <w:rFonts w:hint="eastAsia" w:ascii="方正黑体_GBK" w:hAnsi="方正黑体_GBK" w:eastAsia="方正黑体_GBK" w:cs="方正黑体_GBK"/>
                <w:b/>
                <w:kern w:val="0"/>
                <w:sz w:val="18"/>
                <w:szCs w:val="18"/>
              </w:rPr>
              <w:t>业绩报酬：赎回确认和产品实际到期</w:t>
            </w:r>
            <w:r>
              <w:rPr>
                <w:rFonts w:hint="eastAsia" w:ascii="方正黑体_GBK" w:hAnsi="方正黑体_GBK" w:eastAsia="方正黑体_GBK" w:cs="方正黑体_GBK"/>
                <w:b/>
                <w:kern w:val="0"/>
                <w:sz w:val="18"/>
                <w:szCs w:val="18"/>
                <w:lang w:eastAsia="zh-CN"/>
              </w:rPr>
              <w:t>时</w:t>
            </w:r>
            <w:r>
              <w:rPr>
                <w:rFonts w:hint="eastAsia" w:ascii="方正黑体_GBK" w:hAnsi="方正黑体_GBK" w:eastAsia="方正黑体_GBK" w:cs="方正黑体_GBK"/>
                <w:b/>
                <w:kern w:val="0"/>
                <w:sz w:val="18"/>
                <w:szCs w:val="18"/>
              </w:rPr>
              <w:t>，如当期产品投资的实际资产组合收益（扣除销售费、托管费、固定管理费等）超过</w:t>
            </w:r>
            <w:r>
              <w:rPr>
                <w:rFonts w:hint="eastAsia" w:ascii="方正黑体_GBK" w:hAnsi="方正黑体_GBK" w:eastAsia="方正黑体_GBK" w:cs="方正黑体_GBK"/>
                <w:b/>
                <w:kern w:val="0"/>
                <w:sz w:val="18"/>
                <w:szCs w:val="18"/>
                <w:lang w:val="en-US" w:eastAsia="zh-CN"/>
              </w:rPr>
              <w:t>5.5</w:t>
            </w:r>
            <w:r>
              <w:rPr>
                <w:rFonts w:hint="eastAsia" w:ascii="方正黑体_GBK" w:hAnsi="方正黑体_GBK" w:eastAsia="方正黑体_GBK" w:cs="方正黑体_GBK"/>
                <w:b/>
                <w:kern w:val="0"/>
                <w:sz w:val="18"/>
                <w:szCs w:val="18"/>
              </w:rPr>
              <w:t>%（年化）时，超过部分管理人将按</w:t>
            </w:r>
            <w:r>
              <w:rPr>
                <w:rFonts w:hint="eastAsia" w:ascii="方正黑体_GBK" w:hAnsi="方正黑体_GBK" w:eastAsia="方正黑体_GBK" w:cs="方正黑体_GBK"/>
                <w:b/>
                <w:kern w:val="0"/>
                <w:sz w:val="18"/>
                <w:szCs w:val="18"/>
                <w:lang w:val="en-US" w:eastAsia="zh-CN"/>
              </w:rPr>
              <w:t>20</w:t>
            </w:r>
            <w:r>
              <w:rPr>
                <w:rFonts w:hint="eastAsia" w:ascii="方正黑体_GBK" w:hAnsi="方正黑体_GBK" w:eastAsia="方正黑体_GBK" w:cs="方正黑体_GBK"/>
                <w:b/>
                <w:kern w:val="0"/>
                <w:sz w:val="18"/>
                <w:szCs w:val="18"/>
              </w:rPr>
              <w:t>%收取业绩报酬。</w:t>
            </w:r>
          </w:p>
          <w:p>
            <w:pPr>
              <w:widowControl/>
              <w:spacing w:line="200" w:lineRule="exact"/>
              <w:rPr>
                <w:rFonts w:hint="eastAsia" w:ascii="方正黑体_GBK" w:hAnsi="方正黑体_GBK" w:eastAsia="方正黑体_GBK" w:cs="方正黑体_GBK"/>
                <w:color w:val="3D3D3D"/>
                <w:kern w:val="0"/>
                <w:sz w:val="18"/>
                <w:szCs w:val="18"/>
              </w:rPr>
            </w:pPr>
            <w:r>
              <w:rPr>
                <w:rFonts w:hint="eastAsia" w:ascii="方正黑体_GBK" w:hAnsi="方正黑体_GBK" w:eastAsia="方正黑体_GBK" w:cs="方正黑体_GBK"/>
                <w:kern w:val="0"/>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w:t>
            </w:r>
            <w:r>
              <w:rPr>
                <w:rFonts w:hint="eastAsia" w:ascii="方正黑体_GBK" w:hAnsi="方正黑体_GBK" w:eastAsia="方正黑体_GBK" w:cs="方正黑体_GBK"/>
                <w:color w:val="auto"/>
                <w:kern w:val="0"/>
                <w:sz w:val="18"/>
                <w:szCs w:val="18"/>
                <w:highlight w:val="none"/>
              </w:rPr>
              <w:t>如发生以上费用，将通过本理财产品的定期报告等进行信息披露。</w:t>
            </w:r>
          </w:p>
        </w:tc>
        <w:tc>
          <w:tcPr>
            <w:tcW w:w="4819" w:type="dxa"/>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认/申购费：本理财产品暂不收取认/申购费。</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赎回费：本理财产品暂不收取赎回费。</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销售费：本理财产品按前一日理财产品资产净值收取年化0.5%的销售费，按日计提。</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每日计提的销售费=前一日理财产品资产净值×年化销售费率÷365</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固定管理费：本理财产品按前一日理财产品资产净值收取年化1%的固定管理费，按日计提。</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每日计提的固定管理费=前一日理财产品资产净值×年化固定管理费率÷365</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托管费：本理财产品按前一日理财产品资产净值收取年化0.02%的托管费，按日计提。</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每日计提的托管费=前一日理财产品资产净值×年化托管费率÷365</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szCs w:val="18"/>
              </w:rPr>
              <w:t>业绩报酬：申购/赎回确认日和产品实际到期时，当期产品投资的实际资产组合收益（扣除销售费、固定管理费、托管费等相关费用）超过4.5%（年化，即产品该份额对应的业绩报酬计提基准）时，超过部分管理人将按20%收取业绩报酬。</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jc w:val="center"/>
              <w:rPr>
                <w:rFonts w:hint="eastAsia" w:ascii="方正黑体_GBK" w:hAnsi="方正黑体_GBK" w:eastAsia="方正黑体_GBK" w:cs="方正黑体_GBK"/>
                <w:b/>
                <w:bCs/>
                <w:sz w:val="22"/>
                <w:szCs w:val="22"/>
              </w:rPr>
            </w:pPr>
            <w:r>
              <w:rPr>
                <w:rFonts w:hint="eastAsia" w:ascii="方正黑体_GBK" w:hAnsi="方正黑体_GBK" w:eastAsia="方正黑体_GBK" w:cs="方正黑体_GBK"/>
                <w:sz w:val="22"/>
                <w:szCs w:val="22"/>
              </w:rPr>
              <w:t>第四条 理财产品估值</w:t>
            </w:r>
          </w:p>
        </w:tc>
        <w:tc>
          <w:tcPr>
            <w:tcW w:w="3673" w:type="dxa"/>
            <w:vAlign w:val="center"/>
          </w:tcPr>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rPr>
              <w:t>（一）估值日</w:t>
            </w:r>
          </w:p>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lang w:val="zh-CN"/>
              </w:rPr>
              <w:t>本理财产品</w:t>
            </w:r>
            <w:r>
              <w:rPr>
                <w:rFonts w:hint="eastAsia" w:ascii="方正黑体_GBK" w:hAnsi="方正黑体_GBK" w:eastAsia="方正黑体_GBK" w:cs="方正黑体_GBK"/>
                <w:color w:val="000000"/>
                <w:kern w:val="0"/>
                <w:sz w:val="15"/>
                <w:szCs w:val="11"/>
                <w:lang w:eastAsia="zh-CN"/>
              </w:rPr>
              <w:t>每个工作日</w:t>
            </w:r>
            <w:r>
              <w:rPr>
                <w:rFonts w:hint="eastAsia" w:ascii="方正黑体_GBK" w:hAnsi="方正黑体_GBK" w:eastAsia="方正黑体_GBK" w:cs="方正黑体_GBK"/>
                <w:color w:val="000000"/>
                <w:kern w:val="0"/>
                <w:sz w:val="15"/>
                <w:szCs w:val="11"/>
                <w:highlight w:val="none"/>
                <w:lang w:val="zh-CN"/>
              </w:rPr>
              <w:t>进行估值。</w:t>
            </w:r>
          </w:p>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rPr>
              <w:t>（二）估值对象</w:t>
            </w:r>
          </w:p>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rPr>
              <w:t>本理财产品所拥有的所有资产及负债。</w:t>
            </w:r>
          </w:p>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rPr>
              <w:t>（三）估值目的</w:t>
            </w:r>
          </w:p>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rPr>
              <w:t>客观、准确反映理财产品的价值。</w:t>
            </w:r>
          </w:p>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rPr>
              <w:t>（四）估值原则</w:t>
            </w:r>
          </w:p>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rPr>
              <w:t>估值中坚持公允价值计量原则。</w:t>
            </w:r>
          </w:p>
          <w:p>
            <w:pPr>
              <w:widowControl/>
              <w:spacing w:line="200" w:lineRule="exact"/>
              <w:ind w:firstLine="300"/>
              <w:rPr>
                <w:rFonts w:hint="eastAsia" w:ascii="方正黑体_GBK" w:hAnsi="方正黑体_GBK" w:eastAsia="方正黑体_GBK" w:cs="方正黑体_GBK"/>
                <w:color w:val="000000"/>
                <w:kern w:val="0"/>
                <w:sz w:val="15"/>
                <w:szCs w:val="11"/>
                <w:highlight w:val="none"/>
              </w:rPr>
            </w:pPr>
            <w:r>
              <w:rPr>
                <w:rFonts w:hint="eastAsia" w:ascii="方正黑体_GBK" w:hAnsi="方正黑体_GBK" w:eastAsia="方正黑体_GBK" w:cs="方正黑体_GBK"/>
                <w:color w:val="000000"/>
                <w:kern w:val="0"/>
                <w:sz w:val="15"/>
                <w:szCs w:val="11"/>
                <w:highlight w:val="none"/>
                <w:lang w:eastAsia="zh-CN"/>
              </w:rPr>
              <w:t>（五）</w:t>
            </w:r>
            <w:r>
              <w:rPr>
                <w:rFonts w:hint="eastAsia" w:ascii="方正黑体_GBK" w:hAnsi="方正黑体_GBK" w:eastAsia="方正黑体_GBK" w:cs="方正黑体_GBK"/>
                <w:color w:val="000000"/>
                <w:kern w:val="0"/>
                <w:sz w:val="15"/>
                <w:szCs w:val="11"/>
                <w:highlight w:val="none"/>
              </w:rPr>
              <w:t>估值方法</w:t>
            </w:r>
          </w:p>
          <w:p>
            <w:pPr>
              <w:widowControl/>
              <w:spacing w:line="200" w:lineRule="exact"/>
              <w:ind w:firstLine="300"/>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1.债券的估值方法 </w:t>
            </w:r>
          </w:p>
          <w:p>
            <w:pPr>
              <w:widowControl/>
              <w:spacing w:line="200" w:lineRule="exact"/>
              <w:ind w:firstLine="300"/>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1）本理财产品所投债券均在全国银行间债券市场或证券交易所市场交易，按照第三方估值机构提供的相应品种当日的估值净价或收盘价进行估值，不投资在全国银行间债券市场和证券交易所市场两个市场以外交易的债券。</w:t>
            </w:r>
          </w:p>
          <w:p>
            <w:pPr>
              <w:widowControl/>
              <w:spacing w:line="200" w:lineRule="exact"/>
              <w:ind w:firstLine="300"/>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（2）同一债券同时在两个或两个以上市场交易的，按债券所处的市场分别估值。 </w:t>
            </w:r>
          </w:p>
          <w:p>
            <w:pPr>
              <w:widowControl/>
              <w:spacing w:line="200" w:lineRule="exact"/>
              <w:ind w:firstLine="300"/>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（3）未上市债券（指买入的债券已起息但尚未在全国银行间债券市场或证券交易所市场上市的阶段）及按照上述方法无法取得估值的债券按照其成本估值。 应收利息按债券发行利率逐日计提，计入理财产品的当日净值。 </w:t>
            </w:r>
          </w:p>
          <w:p>
            <w:pPr>
              <w:widowControl/>
              <w:spacing w:line="200" w:lineRule="exact"/>
              <w:ind w:firstLine="300"/>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2.银行存款、回购、借款和拆借以成本列示，按商定利率在实际持有期间内逐日计提利息。</w:t>
            </w:r>
          </w:p>
          <w:p>
            <w:pPr>
              <w:widowControl/>
              <w:spacing w:line="200" w:lineRule="exact"/>
              <w:ind w:firstLine="300"/>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3.货币市场基金按照每日万份收益计提收益，其他证券投资基金按照最近一个估值日公布的基金净值进行估值。</w:t>
            </w:r>
          </w:p>
          <w:p>
            <w:pPr>
              <w:widowControl/>
              <w:spacing w:line="200" w:lineRule="exact"/>
              <w:ind w:firstLine="300"/>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4.其他资产：存在公允价值的，按照公允价值估值；公允价值不能确定的按照估值技术确定其价值。</w:t>
            </w:r>
          </w:p>
          <w:p>
            <w:pPr>
              <w:widowControl/>
              <w:spacing w:line="200" w:lineRule="exact"/>
              <w:ind w:firstLine="300"/>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5.如果管理人或托管人认为按以上约定的方法对产品资产进行估值不能客观反映其公允价值的，可提出异议，管理人和托管人协商一致后，变更公允价值的确定方式，并从经管理人与托管人协商一致日起执行。 </w:t>
            </w:r>
          </w:p>
          <w:p>
            <w:pPr>
              <w:widowControl/>
              <w:spacing w:line="200" w:lineRule="exact"/>
              <w:ind w:firstLine="300" w:firstLineChars="0"/>
              <w:jc w:val="left"/>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color w:val="auto"/>
                <w:kern w:val="0"/>
                <w:sz w:val="15"/>
                <w:szCs w:val="11"/>
              </w:rPr>
              <w:t>6.如有新增事项或变更事项，按国家最新规定或管理人最新的约定估值。</w:t>
            </w:r>
          </w:p>
          <w:p>
            <w:pPr>
              <w:widowControl/>
              <w:spacing w:line="200" w:lineRule="exact"/>
              <w:ind w:firstLine="300" w:firstLineChars="0"/>
              <w:jc w:val="left"/>
              <w:rPr>
                <w:rFonts w:hint="eastAsia" w:ascii="方正黑体_GBK" w:hAnsi="方正黑体_GBK" w:eastAsia="方正黑体_GBK" w:cs="方正黑体_GBK"/>
                <w:color w:val="auto"/>
                <w:kern w:val="0"/>
                <w:sz w:val="15"/>
                <w:szCs w:val="11"/>
              </w:rPr>
            </w:pPr>
            <w:r>
              <w:rPr>
                <w:rFonts w:hint="eastAsia" w:ascii="方正黑体_GBK" w:hAnsi="方正黑体_GBK" w:eastAsia="方正黑体_GBK" w:cs="方正黑体_GBK"/>
                <w:i w:val="0"/>
                <w:iCs w:val="0"/>
                <w:caps w:val="0"/>
                <w:color w:val="auto"/>
                <w:spacing w:val="0"/>
                <w:kern w:val="0"/>
                <w:sz w:val="15"/>
                <w:szCs w:val="11"/>
                <w:shd w:val="clear" w:color="auto" w:fill="auto"/>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widowControl/>
              <w:spacing w:line="200" w:lineRule="exact"/>
              <w:rPr>
                <w:rFonts w:hint="eastAsia" w:ascii="方正黑体_GBK" w:hAnsi="方正黑体_GBK" w:eastAsia="方正黑体_GBK" w:cs="方正黑体_GBK"/>
                <w:color w:val="3D3D3D"/>
                <w:kern w:val="0"/>
                <w:sz w:val="18"/>
                <w:szCs w:val="18"/>
              </w:rPr>
            </w:pPr>
          </w:p>
        </w:tc>
        <w:tc>
          <w:tcPr>
            <w:tcW w:w="4819" w:type="dxa"/>
            <w:vAlign w:val="center"/>
          </w:tcPr>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（一）估值日</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本理财产品每个工作日进行估值。</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（二）估值对象</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本理财产品所拥有的所有资产及负债。</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（三）估值目的</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客观、准确反映理财产品的价值。</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（四）估值原则</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理财产品应坚持公允价值计量原则，符合会计准则和监管规定的范围内的可选择摊余成本法计量。</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（五）估值方法</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估值方法中列示的资产品种不代表管理人的实际投向，本理财产品拟投资范围以“投资范围”章节描述为准。</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1.银行存款、回购等货币市场工具</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以本金列示，按商定的利率在实际持有期间内逐日计提。</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2.债券类资产</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3.非标准化债权类资产</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4.证券投资基金</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5.股权类资产</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6.资管计划、信托计划等资产</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存在公允价值的，按照公允价值估值，或采用估值技术确定估值，也可采用被委托机构提供的估值或计量报告。</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7.其他资产</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存在公允价值的，按照公允价值估值，或采用估值技术确定估值，也可采用被委托机构提供的估值或计量报告。具体可参考《企业会计准则》以及相关监管政策的规定。</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9.如有新增事项或变更事项，按国家最新规定或管理人最新的约定估值。</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（六）估值错误及暂停估值</w:t>
            </w:r>
          </w:p>
          <w:p>
            <w:pPr>
              <w:widowControl/>
              <w:spacing w:line="200" w:lineRule="exact"/>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当资产估值或份额净值计价错误且给投资者造成损失的，管理人应立即纠正，并采取合理的措施防止损失进一步扩大。</w:t>
            </w:r>
          </w:p>
          <w:p>
            <w:pPr>
              <w:widowControl/>
              <w:spacing w:line="200" w:lineRule="exact"/>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color w:val="3D3D3D"/>
                <w:kern w:val="0"/>
                <w:sz w:val="15"/>
                <w:szCs w:val="15"/>
              </w:rPr>
              <w:t>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tc>
      </w:tr>
    </w:tbl>
    <w:p>
      <w:pPr>
        <w:spacing w:before="0" w:line="360" w:lineRule="auto"/>
        <w:ind w:firstLine="420"/>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同时，本公司对本理财产品销售文件进行了更新，更新后的理财产品销售文件详见信息披露。</w:t>
      </w:r>
    </w:p>
    <w:p>
      <w:pPr>
        <w:pStyle w:val="2"/>
        <w:spacing w:line="360" w:lineRule="auto"/>
        <w:rPr>
          <w:rFonts w:hint="eastAsia" w:ascii="方正黑体_GBK" w:hAnsi="方正黑体_GBK" w:eastAsia="方正黑体_GBK" w:cs="方正黑体_GBK"/>
          <w:b/>
          <w:bCs/>
          <w:kern w:val="2"/>
          <w:sz w:val="21"/>
          <w:szCs w:val="21"/>
          <w:u w:val="single"/>
          <w:lang w:val="en-US" w:eastAsia="zh-CN" w:bidi="ar-SA"/>
        </w:rPr>
      </w:pPr>
      <w:r>
        <w:rPr>
          <w:rFonts w:hint="eastAsia" w:ascii="方正黑体_GBK" w:hAnsi="方正黑体_GBK" w:eastAsia="方正黑体_GBK" w:cs="方正黑体_GBK"/>
          <w:b/>
          <w:bCs/>
          <w:kern w:val="2"/>
          <w:sz w:val="21"/>
          <w:szCs w:val="21"/>
          <w:u w:val="single"/>
          <w:lang w:val="en-US" w:eastAsia="zh-CN" w:bidi="ar-SA"/>
        </w:rPr>
        <w:t>二、持仓信息提示</w:t>
      </w:r>
    </w:p>
    <w:p>
      <w:pPr>
        <w:pStyle w:val="2"/>
        <w:spacing w:line="360" w:lineRule="auto"/>
        <w:rPr>
          <w:rFonts w:hint="default" w:ascii="方正黑体_GBK" w:hAnsi="方正黑体_GBK" w:eastAsia="方正黑体_GBK" w:cs="方正黑体_GBK"/>
          <w:b/>
          <w:bCs/>
          <w:kern w:val="2"/>
          <w:sz w:val="21"/>
          <w:szCs w:val="21"/>
          <w:u w:val="single"/>
          <w:lang w:val="en-US" w:eastAsia="zh-CN" w:bidi="ar-SA"/>
        </w:rPr>
      </w:pPr>
      <w:r>
        <w:rPr>
          <w:rFonts w:hint="eastAsia" w:ascii="方正黑体_GBK" w:hAnsi="方正黑体_GBK" w:eastAsia="方正黑体_GBK" w:cs="方正黑体_GBK"/>
          <w:b/>
          <w:bCs/>
          <w:kern w:val="2"/>
          <w:sz w:val="21"/>
          <w:szCs w:val="21"/>
          <w:u w:val="single"/>
          <w:lang w:val="en-US" w:eastAsia="zh-CN" w:bidi="ar-SA"/>
        </w:rPr>
        <w:t>目前产品持仓中个别股票处于停牌状态，复牌后可能引发产品净值波动，敬请知悉。</w:t>
      </w:r>
    </w:p>
    <w:p>
      <w:pPr>
        <w:spacing w:line="360" w:lineRule="auto"/>
        <w:ind w:firstLine="420"/>
        <w:rPr>
          <w:rFonts w:hint="eastAsia" w:ascii="方正黑体_GBK" w:hAnsi="方正黑体_GBK" w:eastAsia="方正黑体_GBK" w:cs="方正黑体_GBK"/>
          <w:b/>
          <w:bCs/>
          <w:szCs w:val="21"/>
        </w:rPr>
      </w:pPr>
    </w:p>
    <w:p>
      <w:pPr>
        <w:spacing w:line="360" w:lineRule="auto"/>
        <w:ind w:firstLine="420"/>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如您</w:t>
      </w:r>
      <w:r>
        <w:rPr>
          <w:rFonts w:hint="eastAsia" w:ascii="方正黑体_GBK" w:hAnsi="方正黑体_GBK" w:eastAsia="方正黑体_GBK" w:cs="方正黑体_GBK"/>
          <w:b/>
          <w:bCs/>
          <w:szCs w:val="21"/>
          <w:lang w:val="en-US" w:eastAsia="zh-CN"/>
        </w:rPr>
        <w:t>对上述信息有异议</w:t>
      </w:r>
      <w:r>
        <w:rPr>
          <w:rFonts w:hint="eastAsia" w:ascii="方正黑体_GBK" w:hAnsi="方正黑体_GBK" w:eastAsia="方正黑体_GBK" w:cs="方正黑体_GBK"/>
          <w:b/>
          <w:bCs/>
          <w:szCs w:val="21"/>
        </w:rPr>
        <w:t>，可于2024年</w:t>
      </w:r>
      <w:r>
        <w:rPr>
          <w:rFonts w:hint="eastAsia" w:ascii="方正黑体_GBK" w:hAnsi="方正黑体_GBK" w:eastAsia="方正黑体_GBK" w:cs="方正黑体_GBK"/>
          <w:b/>
          <w:bCs/>
          <w:szCs w:val="21"/>
          <w:lang w:val="en-US" w:eastAsia="zh-CN"/>
        </w:rPr>
        <w:t>9</w:t>
      </w:r>
      <w:r>
        <w:rPr>
          <w:rFonts w:hint="eastAsia" w:ascii="方正黑体_GBK" w:hAnsi="方正黑体_GBK" w:eastAsia="方正黑体_GBK" w:cs="方正黑体_GBK"/>
          <w:b/>
          <w:bCs/>
          <w:szCs w:val="21"/>
        </w:rPr>
        <w:t>月1</w:t>
      </w:r>
      <w:r>
        <w:rPr>
          <w:rFonts w:hint="eastAsia" w:ascii="方正黑体_GBK" w:hAnsi="方正黑体_GBK" w:eastAsia="方正黑体_GBK" w:cs="方正黑体_GBK"/>
          <w:b/>
          <w:bCs/>
          <w:szCs w:val="21"/>
          <w:lang w:val="en-US" w:eastAsia="zh-CN"/>
        </w:rPr>
        <w:t>1</w:t>
      </w:r>
      <w:r>
        <w:rPr>
          <w:rFonts w:hint="eastAsia" w:ascii="方正黑体_GBK" w:hAnsi="方正黑体_GBK" w:eastAsia="方正黑体_GBK" w:cs="方正黑体_GBK"/>
          <w:b/>
          <w:bCs/>
          <w:szCs w:val="21"/>
        </w:rPr>
        <w:t>日至2024年</w:t>
      </w:r>
      <w:r>
        <w:rPr>
          <w:rFonts w:hint="eastAsia" w:ascii="方正黑体_GBK" w:hAnsi="方正黑体_GBK" w:eastAsia="方正黑体_GBK" w:cs="方正黑体_GBK"/>
          <w:b/>
          <w:bCs/>
          <w:szCs w:val="21"/>
          <w:lang w:val="en-US" w:eastAsia="zh-CN"/>
        </w:rPr>
        <w:t>9</w:t>
      </w:r>
      <w:r>
        <w:rPr>
          <w:rFonts w:hint="eastAsia" w:ascii="方正黑体_GBK" w:hAnsi="方正黑体_GBK" w:eastAsia="方正黑体_GBK" w:cs="方正黑体_GBK"/>
          <w:b/>
          <w:bCs/>
          <w:szCs w:val="21"/>
        </w:rPr>
        <w:t>月</w:t>
      </w:r>
      <w:r>
        <w:rPr>
          <w:rFonts w:hint="eastAsia" w:ascii="方正黑体_GBK" w:hAnsi="方正黑体_GBK" w:eastAsia="方正黑体_GBK" w:cs="方正黑体_GBK"/>
          <w:b/>
          <w:bCs/>
          <w:szCs w:val="21"/>
          <w:lang w:val="en-US" w:eastAsia="zh-CN"/>
        </w:rPr>
        <w:t>19</w:t>
      </w:r>
      <w:r>
        <w:rPr>
          <w:rFonts w:hint="eastAsia" w:ascii="方正黑体_GBK" w:hAnsi="方正黑体_GBK" w:eastAsia="方正黑体_GBK" w:cs="方正黑体_GBK"/>
          <w:b/>
          <w:bCs/>
          <w:szCs w:val="21"/>
        </w:rPr>
        <w:t>日（产品申购/赎回开放期期间）通过代销机构向管理人申请赎回，申购/赎回确认日为2024年</w:t>
      </w:r>
      <w:r>
        <w:rPr>
          <w:rFonts w:hint="eastAsia" w:ascii="方正黑体_GBK" w:hAnsi="方正黑体_GBK" w:eastAsia="方正黑体_GBK" w:cs="方正黑体_GBK"/>
          <w:b/>
          <w:bCs/>
          <w:szCs w:val="21"/>
          <w:lang w:val="en-US" w:eastAsia="zh-CN"/>
        </w:rPr>
        <w:t>9</w:t>
      </w:r>
      <w:r>
        <w:rPr>
          <w:rFonts w:hint="eastAsia" w:ascii="方正黑体_GBK" w:hAnsi="方正黑体_GBK" w:eastAsia="方正黑体_GBK" w:cs="方正黑体_GBK"/>
          <w:b/>
          <w:bCs/>
          <w:szCs w:val="21"/>
        </w:rPr>
        <w:t>月</w:t>
      </w:r>
      <w:r>
        <w:rPr>
          <w:rFonts w:hint="eastAsia" w:ascii="方正黑体_GBK" w:hAnsi="方正黑体_GBK" w:eastAsia="方正黑体_GBK" w:cs="方正黑体_GBK"/>
          <w:b/>
          <w:bCs/>
          <w:szCs w:val="21"/>
          <w:lang w:val="en-US" w:eastAsia="zh-CN"/>
        </w:rPr>
        <w:t>19</w:t>
      </w:r>
      <w:r>
        <w:rPr>
          <w:rFonts w:hint="eastAsia" w:ascii="方正黑体_GBK" w:hAnsi="方正黑体_GBK" w:eastAsia="方正黑体_GBK" w:cs="方正黑体_GBK"/>
          <w:b/>
          <w:bCs/>
          <w:szCs w:val="21"/>
        </w:rPr>
        <w:t>日。</w:t>
      </w:r>
    </w:p>
    <w:p>
      <w:pPr>
        <w:spacing w:line="360" w:lineRule="auto"/>
        <w:ind w:firstLine="420"/>
        <w:rPr>
          <w:rFonts w:ascii="方正黑体_GBK" w:hAnsi="方正黑体_GBK" w:eastAsia="方正黑体_GBK" w:cs="方正黑体_GBK"/>
          <w:b/>
          <w:bCs/>
          <w:szCs w:val="21"/>
        </w:rPr>
      </w:pPr>
      <w:r>
        <w:rPr>
          <w:rFonts w:hint="eastAsia" w:ascii="方正黑体_GBK" w:hAnsi="方正黑体_GBK" w:eastAsia="方正黑体_GBK" w:cs="方正黑体_GBK"/>
          <w:b/>
          <w:bCs/>
          <w:szCs w:val="21"/>
        </w:rPr>
        <w:t>如您对本报告有任何疑问，可联系本理财产品代销机构或本公司，代销机构及本公司将竭诚为您服务。</w:t>
      </w:r>
    </w:p>
    <w:p>
      <w:pPr>
        <w:spacing w:line="360" w:lineRule="auto"/>
        <w:ind w:firstLine="420"/>
        <w:rPr>
          <w:rFonts w:ascii="方正黑体_GBK" w:hAnsi="方正黑体_GBK" w:eastAsia="方正黑体_GBK" w:cs="方正黑体_GBK"/>
          <w:szCs w:val="21"/>
        </w:rPr>
      </w:pPr>
      <w:r>
        <w:rPr>
          <w:rFonts w:hint="eastAsia" w:ascii="方正黑体_GBK" w:hAnsi="方正黑体_GBK" w:eastAsia="方正黑体_GBK" w:cs="方正黑体_GBK"/>
          <w:szCs w:val="21"/>
        </w:rPr>
        <w:t>感谢您一直以来的支持与信赖！</w:t>
      </w:r>
    </w:p>
    <w:p>
      <w:pPr>
        <w:spacing w:line="288" w:lineRule="auto"/>
        <w:ind w:firstLine="420"/>
        <w:jc w:val="right"/>
        <w:rPr>
          <w:rFonts w:ascii="方正黑体_GBK" w:hAnsi="方正黑体_GBK" w:eastAsia="方正黑体_GBK" w:cs="方正黑体_GBK"/>
          <w:szCs w:val="21"/>
        </w:rPr>
      </w:pPr>
      <w:r>
        <w:rPr>
          <w:rFonts w:hint="eastAsia" w:ascii="方正黑体_GBK" w:hAnsi="方正黑体_GBK" w:eastAsia="方正黑体_GBK" w:cs="方正黑体_GBK"/>
          <w:szCs w:val="21"/>
        </w:rPr>
        <w:t>南银理财有限责任公司</w:t>
      </w:r>
    </w:p>
    <w:p>
      <w:pPr>
        <w:spacing w:line="288" w:lineRule="auto"/>
        <w:ind w:firstLine="420"/>
        <w:jc w:val="right"/>
        <w:rPr>
          <w:rFonts w:ascii="方正黑体_GBK" w:hAnsi="方正黑体_GBK" w:eastAsia="方正黑体_GBK" w:cs="方正黑体_GBK"/>
          <w:sz w:val="22"/>
          <w:szCs w:val="22"/>
        </w:rPr>
      </w:pPr>
      <w:r>
        <w:rPr>
          <w:rFonts w:hint="eastAsia" w:ascii="方正黑体_GBK" w:hAnsi="方正黑体_GBK" w:eastAsia="方正黑体_GBK" w:cs="方正黑体_GBK"/>
          <w:szCs w:val="21"/>
        </w:rPr>
        <w:t>2024年</w:t>
      </w:r>
      <w:r>
        <w:rPr>
          <w:rFonts w:hint="eastAsia" w:ascii="方正黑体_GBK" w:hAnsi="方正黑体_GBK" w:eastAsia="方正黑体_GBK" w:cs="方正黑体_GBK"/>
          <w:szCs w:val="21"/>
          <w:lang w:val="en-US" w:eastAsia="zh-CN"/>
        </w:rPr>
        <w:t>9</w:t>
      </w:r>
      <w:r>
        <w:rPr>
          <w:rFonts w:hint="eastAsia" w:ascii="方正黑体_GBK" w:hAnsi="方正黑体_GBK" w:eastAsia="方正黑体_GBK" w:cs="方正黑体_GBK"/>
          <w:szCs w:val="21"/>
        </w:rPr>
        <w:t>月</w:t>
      </w:r>
      <w:r>
        <w:rPr>
          <w:rFonts w:hint="eastAsia" w:ascii="方正黑体_GBK" w:hAnsi="方正黑体_GBK" w:eastAsia="方正黑体_GBK" w:cs="方正黑体_GBK"/>
          <w:szCs w:val="21"/>
          <w:lang w:val="en-US" w:eastAsia="zh-CN"/>
        </w:rPr>
        <w:t>6</w:t>
      </w:r>
      <w:r>
        <w:rPr>
          <w:rFonts w:hint="eastAsia" w:ascii="方正黑体_GBK" w:hAnsi="方正黑体_GBK" w:eastAsia="方正黑体_GBK" w:cs="方正黑体_GBK"/>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2ZTYxNjQ0YTc5NzYxZWM4YzliZjdkZGQ5ZTI4NTkifQ=="/>
  </w:docVars>
  <w:rsids>
    <w:rsidRoot w:val="363E586D"/>
    <w:rsid w:val="003A17FC"/>
    <w:rsid w:val="003D6625"/>
    <w:rsid w:val="004E5998"/>
    <w:rsid w:val="0066203A"/>
    <w:rsid w:val="00AB5D15"/>
    <w:rsid w:val="00B118BD"/>
    <w:rsid w:val="00B421EB"/>
    <w:rsid w:val="00CE5FB9"/>
    <w:rsid w:val="00CF401D"/>
    <w:rsid w:val="02236FEF"/>
    <w:rsid w:val="03473963"/>
    <w:rsid w:val="038C4B0B"/>
    <w:rsid w:val="044B21E0"/>
    <w:rsid w:val="057F019D"/>
    <w:rsid w:val="0825378E"/>
    <w:rsid w:val="0D2D4EA9"/>
    <w:rsid w:val="0E2B6E26"/>
    <w:rsid w:val="0E2E163D"/>
    <w:rsid w:val="0E8D7052"/>
    <w:rsid w:val="11185866"/>
    <w:rsid w:val="12AA36D7"/>
    <w:rsid w:val="149438AC"/>
    <w:rsid w:val="149A59CD"/>
    <w:rsid w:val="14E50393"/>
    <w:rsid w:val="15C67DF6"/>
    <w:rsid w:val="15DB600B"/>
    <w:rsid w:val="16317C94"/>
    <w:rsid w:val="17C02F84"/>
    <w:rsid w:val="181E36E3"/>
    <w:rsid w:val="19503E44"/>
    <w:rsid w:val="1A744958"/>
    <w:rsid w:val="1AB05FB9"/>
    <w:rsid w:val="1B140288"/>
    <w:rsid w:val="1B264000"/>
    <w:rsid w:val="1B5F63B9"/>
    <w:rsid w:val="1ED82228"/>
    <w:rsid w:val="1FF134BB"/>
    <w:rsid w:val="2077191A"/>
    <w:rsid w:val="212E5742"/>
    <w:rsid w:val="22155872"/>
    <w:rsid w:val="23277F9E"/>
    <w:rsid w:val="23912A0A"/>
    <w:rsid w:val="244D5031"/>
    <w:rsid w:val="26184F0D"/>
    <w:rsid w:val="26404A45"/>
    <w:rsid w:val="26790B4E"/>
    <w:rsid w:val="26A03C4A"/>
    <w:rsid w:val="26BE6E78"/>
    <w:rsid w:val="27DB7C76"/>
    <w:rsid w:val="288A56D2"/>
    <w:rsid w:val="2AD6562C"/>
    <w:rsid w:val="2C7A3008"/>
    <w:rsid w:val="2CC94C4A"/>
    <w:rsid w:val="2CE34D7D"/>
    <w:rsid w:val="2E883A48"/>
    <w:rsid w:val="2F412B64"/>
    <w:rsid w:val="30B05F05"/>
    <w:rsid w:val="325B6037"/>
    <w:rsid w:val="325D51EC"/>
    <w:rsid w:val="338E1E45"/>
    <w:rsid w:val="33E80E7C"/>
    <w:rsid w:val="35547B9D"/>
    <w:rsid w:val="363E586D"/>
    <w:rsid w:val="36F760D0"/>
    <w:rsid w:val="372E2AF9"/>
    <w:rsid w:val="37726E1F"/>
    <w:rsid w:val="37FB46F4"/>
    <w:rsid w:val="38365D03"/>
    <w:rsid w:val="38B66E9B"/>
    <w:rsid w:val="391033BA"/>
    <w:rsid w:val="3AFF6A34"/>
    <w:rsid w:val="3B5924A3"/>
    <w:rsid w:val="3C5D1AF8"/>
    <w:rsid w:val="3C8E2C30"/>
    <w:rsid w:val="3D7967DF"/>
    <w:rsid w:val="3FDA544F"/>
    <w:rsid w:val="3FDE5383"/>
    <w:rsid w:val="41D76D58"/>
    <w:rsid w:val="427F2E82"/>
    <w:rsid w:val="429440F6"/>
    <w:rsid w:val="43B6300B"/>
    <w:rsid w:val="44157076"/>
    <w:rsid w:val="44511A9E"/>
    <w:rsid w:val="44962FD7"/>
    <w:rsid w:val="44E35570"/>
    <w:rsid w:val="4552760B"/>
    <w:rsid w:val="46F53F15"/>
    <w:rsid w:val="47690366"/>
    <w:rsid w:val="47787EF5"/>
    <w:rsid w:val="48A0431E"/>
    <w:rsid w:val="497A378F"/>
    <w:rsid w:val="4BA96E07"/>
    <w:rsid w:val="4E7E6010"/>
    <w:rsid w:val="4F614833"/>
    <w:rsid w:val="514800FA"/>
    <w:rsid w:val="51B9200A"/>
    <w:rsid w:val="522272D4"/>
    <w:rsid w:val="5272648A"/>
    <w:rsid w:val="539C6B8D"/>
    <w:rsid w:val="5468643B"/>
    <w:rsid w:val="552B45E2"/>
    <w:rsid w:val="5540265A"/>
    <w:rsid w:val="55A00FFA"/>
    <w:rsid w:val="55B06167"/>
    <w:rsid w:val="56C67240"/>
    <w:rsid w:val="577A2B30"/>
    <w:rsid w:val="59927419"/>
    <w:rsid w:val="5A6E407A"/>
    <w:rsid w:val="5B063EB2"/>
    <w:rsid w:val="5D7A33E9"/>
    <w:rsid w:val="5E896C77"/>
    <w:rsid w:val="5F3E62BF"/>
    <w:rsid w:val="602F07C0"/>
    <w:rsid w:val="60746A49"/>
    <w:rsid w:val="611F7D37"/>
    <w:rsid w:val="638A5739"/>
    <w:rsid w:val="63A93A9E"/>
    <w:rsid w:val="64F4693C"/>
    <w:rsid w:val="64F6142F"/>
    <w:rsid w:val="651E4DF0"/>
    <w:rsid w:val="6680736D"/>
    <w:rsid w:val="687339B2"/>
    <w:rsid w:val="69B93A27"/>
    <w:rsid w:val="6B5F1DF0"/>
    <w:rsid w:val="6BD36FE8"/>
    <w:rsid w:val="6C6A4605"/>
    <w:rsid w:val="6DF224AA"/>
    <w:rsid w:val="6EED4088"/>
    <w:rsid w:val="70C26FB3"/>
    <w:rsid w:val="70D16A92"/>
    <w:rsid w:val="71A60683"/>
    <w:rsid w:val="727E02EB"/>
    <w:rsid w:val="74F45525"/>
    <w:rsid w:val="7554764F"/>
    <w:rsid w:val="776E7761"/>
    <w:rsid w:val="788C03D9"/>
    <w:rsid w:val="78BD78F4"/>
    <w:rsid w:val="79C12E9A"/>
    <w:rsid w:val="7CE243B7"/>
    <w:rsid w:val="7E222B1C"/>
    <w:rsid w:val="7E382A2D"/>
    <w:rsid w:val="7E3C2153"/>
    <w:rsid w:val="7E833144"/>
    <w:rsid w:val="7FBE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character" w:customStyle="1" w:styleId="12">
    <w:name w:val="批注框文本 Char"/>
    <w:basedOn w:val="9"/>
    <w:link w:val="4"/>
    <w:qFormat/>
    <w:uiPriority w:val="0"/>
    <w:rPr>
      <w:kern w:val="2"/>
      <w:sz w:val="18"/>
      <w:szCs w:val="18"/>
    </w:rPr>
  </w:style>
  <w:style w:type="character" w:customStyle="1" w:styleId="13">
    <w:name w:val="Default Paragraph Fontbc533e83bc533e83"/>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5949</Words>
  <Characters>6106</Characters>
  <Lines>22</Lines>
  <Paragraphs>6</Paragraphs>
  <TotalTime>15</TotalTime>
  <ScaleCrop>false</ScaleCrop>
  <LinksUpToDate>false</LinksUpToDate>
  <CharactersWithSpaces>6114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2024-06-03T08:08:00Z</dcterms:created>
  <dc:creator>钱哲贤</dc:creator>
  <cp:lastModifiedBy>Administrator</cp:lastModifiedBy>
  <cp:lastPrinted>2022-07-12T01:20:00Z</cp:lastPrinted>
  <dcterms:modified xsi:type="dcterms:W3CDTF">2024-09-11T08:00:33Z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2514684CD4FE4EF2BF36C36A1708992A_13</vt:lpwstr>
  </property>
</Properties>
</file>