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6B" w:rsidRDefault="00A3344E">
      <w:pPr>
        <w:spacing w:line="0" w:lineRule="atLeast"/>
        <w:jc w:val="center"/>
        <w:rPr>
          <w:rFonts w:hAnsi="方正黑体_GBK" w:cs="方正黑体_GBK"/>
          <w:b/>
          <w:bCs/>
          <w:kern w:val="0"/>
          <w:sz w:val="24"/>
          <w:szCs w:val="24"/>
        </w:rPr>
      </w:pPr>
      <w:r>
        <w:rPr>
          <w:rFonts w:hAnsi="方正黑体_GBK" w:cs="方正黑体_GBK" w:hint="eastAsia"/>
          <w:b/>
          <w:bCs/>
          <w:kern w:val="0"/>
          <w:sz w:val="24"/>
          <w:szCs w:val="24"/>
        </w:rPr>
        <w:t>理财产品风险揭示书</w:t>
      </w:r>
    </w:p>
    <w:p w:rsidR="00833B6B" w:rsidRDefault="00A3344E">
      <w:pPr>
        <w:spacing w:line="0" w:lineRule="atLeast"/>
        <w:jc w:val="center"/>
        <w:rPr>
          <w:rFonts w:hAnsi="方正黑体_GBK" w:cs="方正黑体_GBK"/>
          <w:color w:val="3D3D3D"/>
          <w:kern w:val="0"/>
          <w:sz w:val="18"/>
          <w:szCs w:val="18"/>
        </w:rPr>
      </w:pPr>
      <w:r>
        <w:rPr>
          <w:rFonts w:hAnsi="方正黑体_GBK" w:cs="方正黑体_GBK" w:hint="eastAsia"/>
          <w:b/>
          <w:bCs/>
          <w:i/>
          <w:iCs/>
          <w:kern w:val="0"/>
          <w:sz w:val="24"/>
          <w:szCs w:val="24"/>
          <w:u w:val="single"/>
        </w:rPr>
        <w:t>“理财非存款、产品有风险、投资须谨慎”！</w:t>
      </w:r>
    </w:p>
    <w:p w:rsidR="00833B6B" w:rsidRDefault="00A3344E">
      <w:pPr>
        <w:widowControl/>
        <w:spacing w:line="200" w:lineRule="exact"/>
        <w:ind w:firstLineChars="200" w:firstLine="260"/>
        <w:rPr>
          <w:rFonts w:hAnsi="方正黑体_GBK" w:cs="方正黑体_GBK"/>
          <w:b/>
          <w:color w:val="3D3D3D"/>
          <w:kern w:val="0"/>
          <w:sz w:val="13"/>
          <w:szCs w:val="13"/>
        </w:rPr>
      </w:pPr>
      <w:r>
        <w:rPr>
          <w:rFonts w:hAnsi="方正黑体_GBK" w:cs="方正黑体_GBK" w:hint="eastAsia"/>
          <w:b/>
          <w:color w:val="3D3D3D"/>
          <w:kern w:val="0"/>
          <w:sz w:val="13"/>
          <w:szCs w:val="13"/>
        </w:rPr>
        <w:t>本理财产品是</w:t>
      </w:r>
      <w:r>
        <w:rPr>
          <w:rFonts w:hAnsi="方正黑体_GBK" w:cs="方正黑体_GBK" w:hint="eastAsia"/>
          <w:b/>
          <w:i/>
          <w:iCs/>
          <w:color w:val="3D3D3D"/>
          <w:kern w:val="0"/>
          <w:sz w:val="20"/>
          <w:szCs w:val="20"/>
          <w:u w:val="single"/>
        </w:rPr>
        <w:t>开放式、固定收益类、公募、净值型</w:t>
      </w:r>
      <w:r>
        <w:rPr>
          <w:rFonts w:hAnsi="方正黑体_GBK" w:cs="方正黑体_GBK" w:hint="eastAsia"/>
          <w:b/>
          <w:color w:val="3D3D3D"/>
          <w:kern w:val="0"/>
          <w:sz w:val="13"/>
          <w:szCs w:val="13"/>
        </w:rPr>
        <w:t>理财产品，</w:t>
      </w:r>
      <w:r>
        <w:rPr>
          <w:rFonts w:hAnsi="方正黑体_GBK" w:cs="方正黑体_GBK" w:hint="eastAsia"/>
          <w:b/>
          <w:i/>
          <w:iCs/>
          <w:color w:val="3D3D3D"/>
          <w:kern w:val="0"/>
          <w:sz w:val="20"/>
          <w:szCs w:val="20"/>
          <w:u w:val="single"/>
        </w:rPr>
        <w:t>不保证本金和收益</w:t>
      </w:r>
      <w:r>
        <w:rPr>
          <w:rFonts w:hAnsi="方正黑体_GBK" w:cs="方正黑体_GBK" w:hint="eastAsia"/>
          <w:b/>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rsidR="00833B6B" w:rsidRDefault="00A3344E">
      <w:pPr>
        <w:widowControl/>
        <w:spacing w:line="200" w:lineRule="exact"/>
        <w:ind w:firstLineChars="200" w:firstLine="260"/>
        <w:rPr>
          <w:rFonts w:hAnsi="方正黑体_GBK" w:cs="方正黑体_GBK"/>
          <w:b/>
          <w:color w:val="3D3D3D"/>
          <w:kern w:val="0"/>
          <w:sz w:val="13"/>
          <w:szCs w:val="13"/>
        </w:rPr>
      </w:pPr>
      <w:r>
        <w:rPr>
          <w:rFonts w:hAnsi="方正黑体_GBK" w:cs="方正黑体_GBK" w:hint="eastAsia"/>
          <w:b/>
          <w:color w:val="3D3D3D"/>
          <w:kern w:val="0"/>
          <w:sz w:val="13"/>
          <w:szCs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Ansi="方正黑体_GBK" w:cs="方正黑体_GBK" w:hint="eastAsia"/>
          <w:b/>
          <w:color w:val="3D3D3D"/>
          <w:kern w:val="0"/>
          <w:sz w:val="13"/>
          <w:szCs w:val="13"/>
        </w:rPr>
        <w:t>代表您</w:t>
      </w:r>
      <w:proofErr w:type="gramEnd"/>
      <w:r>
        <w:rPr>
          <w:rFonts w:hAnsi="方正黑体_GBK" w:cs="方正黑体_GBK"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w:t>
      </w:r>
      <w:r>
        <w:rPr>
          <w:rFonts w:hAnsi="方正黑体_GBK" w:cs="方正黑体_GBK" w:hint="eastAsia"/>
          <w:b/>
          <w:color w:val="3D3D3D"/>
          <w:kern w:val="0"/>
          <w:sz w:val="13"/>
          <w:szCs w:val="13"/>
        </w:rPr>
        <w:t>，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833B6B" w:rsidRDefault="00A3344E">
      <w:pPr>
        <w:widowControl/>
        <w:spacing w:line="200" w:lineRule="exact"/>
        <w:ind w:firstLineChars="200" w:firstLine="260"/>
        <w:rPr>
          <w:rFonts w:hAnsi="方正黑体_GBK" w:cs="方正黑体_GBK"/>
          <w:color w:val="3D3D3D"/>
          <w:kern w:val="0"/>
          <w:sz w:val="13"/>
          <w:szCs w:val="13"/>
        </w:rPr>
      </w:pPr>
      <w:proofErr w:type="gramStart"/>
      <w:r>
        <w:rPr>
          <w:rFonts w:hAnsi="方正黑体_GBK" w:cs="方正黑体_GBK" w:hint="eastAsia"/>
          <w:b/>
          <w:color w:val="3D3D3D"/>
          <w:kern w:val="0"/>
          <w:sz w:val="13"/>
          <w:szCs w:val="13"/>
        </w:rPr>
        <w:t>本风险</w:t>
      </w:r>
      <w:proofErr w:type="gramEnd"/>
      <w:r>
        <w:rPr>
          <w:rFonts w:hAnsi="方正黑体_GBK" w:cs="方正黑体_GBK" w:hint="eastAsia"/>
          <w:b/>
          <w:color w:val="3D3D3D"/>
          <w:kern w:val="0"/>
          <w:sz w:val="13"/>
          <w:szCs w:val="13"/>
        </w:rPr>
        <w:t>揭示书列示的风险指理财产品项下可能涉及的风险，包括但不限于：</w:t>
      </w:r>
    </w:p>
    <w:p w:rsidR="00833B6B" w:rsidRDefault="00A3344E">
      <w:pPr>
        <w:widowControl/>
        <w:spacing w:line="200" w:lineRule="exact"/>
        <w:ind w:firstLineChars="200" w:firstLine="260"/>
        <w:rPr>
          <w:rFonts w:hAnsi="方正黑体_GBK" w:cs="方正黑体_GBK"/>
          <w:color w:val="3D3D3D"/>
          <w:kern w:val="0"/>
          <w:sz w:val="13"/>
          <w:szCs w:val="13"/>
        </w:rPr>
      </w:pPr>
      <w:r>
        <w:rPr>
          <w:rFonts w:hAnsi="方正黑体_GBK" w:cs="方正黑体_GBK" w:hint="eastAsia"/>
          <w:color w:val="3D3D3D"/>
          <w:kern w:val="0"/>
          <w:sz w:val="13"/>
          <w:szCs w:val="13"/>
        </w:rPr>
        <w:t>第一条</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理财产品共性风险提示和管控措施</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（一）政策风险：本理财产品是根据当前相关法律法规、监管规定和政策设计的。理财产品在实际运作过程中，如遇到国家宏观政策和相关</w:t>
      </w:r>
      <w:r>
        <w:rPr>
          <w:rFonts w:hAnsi="方正黑体_GBK" w:cs="方正黑体_GBK" w:hint="eastAsia"/>
          <w:color w:val="3D3D3D"/>
          <w:kern w:val="0"/>
          <w:sz w:val="13"/>
          <w:szCs w:val="13"/>
        </w:rPr>
        <w:t>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w:t>
      </w:r>
      <w:r>
        <w:rPr>
          <w:rFonts w:hAnsi="方正黑体_GBK" w:cs="方正黑体_GBK" w:hint="eastAsia"/>
          <w:color w:val="3D3D3D"/>
          <w:kern w:val="0"/>
          <w:sz w:val="13"/>
          <w:szCs w:val="13"/>
        </w:rPr>
        <w:t>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理财产品投资不同类型的资产可能面临的市场风险包括但不限于：</w:t>
      </w:r>
      <w:r>
        <w:rPr>
          <w:rFonts w:hAnsi="方正黑体_GBK" w:cs="方正黑体_GBK" w:hint="eastAsia"/>
          <w:color w:val="3D3D3D"/>
          <w:kern w:val="0"/>
          <w:sz w:val="13"/>
          <w:szCs w:val="13"/>
        </w:rPr>
        <w:t>1.</w:t>
      </w:r>
      <w:r>
        <w:rPr>
          <w:rFonts w:hAnsi="方正黑体_GBK" w:cs="方正黑体_GBK" w:hint="eastAsia"/>
          <w:color w:val="3D3D3D"/>
          <w:kern w:val="0"/>
          <w:sz w:val="13"/>
          <w:szCs w:val="13"/>
        </w:rPr>
        <w:t>理财产品投资债券等</w:t>
      </w:r>
      <w:r>
        <w:rPr>
          <w:rFonts w:hAnsi="方正黑体_GBK" w:cs="方正黑体_GBK" w:hint="eastAsia"/>
          <w:color w:val="3D3D3D"/>
          <w:kern w:val="0"/>
          <w:sz w:val="13"/>
          <w:szCs w:val="13"/>
        </w:rPr>
        <w:t>固定收益率资产将面临利率、汇率变化等市场风险以及债券价格波动风险；</w:t>
      </w:r>
      <w:r>
        <w:rPr>
          <w:rFonts w:hAnsi="方正黑体_GBK" w:cs="方正黑体_GBK" w:hint="eastAsia"/>
          <w:color w:val="3D3D3D"/>
          <w:kern w:val="0"/>
          <w:sz w:val="13"/>
          <w:szCs w:val="13"/>
        </w:rPr>
        <w:t>2.</w:t>
      </w:r>
      <w:r>
        <w:rPr>
          <w:rFonts w:hAnsi="方正黑体_GBK" w:cs="方正黑体_GBK" w:hint="eastAsia"/>
          <w:color w:val="3D3D3D"/>
          <w:kern w:val="0"/>
          <w:sz w:val="13"/>
          <w:szCs w:val="13"/>
        </w:rPr>
        <w:t>理财产品投资股票等权益类资产将面临股票价格波动风险和股票发行人的经营风险、管理风险等风险；</w:t>
      </w:r>
      <w:r>
        <w:rPr>
          <w:rFonts w:hAnsi="方正黑体_GBK" w:cs="方正黑体_GBK" w:hint="eastAsia"/>
          <w:color w:val="3D3D3D"/>
          <w:kern w:val="0"/>
          <w:sz w:val="13"/>
          <w:szCs w:val="13"/>
        </w:rPr>
        <w:t>3.</w:t>
      </w:r>
      <w:r>
        <w:rPr>
          <w:rFonts w:hAnsi="方正黑体_GBK" w:cs="方正黑体_GBK" w:hint="eastAsia"/>
          <w:color w:val="3D3D3D"/>
          <w:kern w:val="0"/>
          <w:sz w:val="13"/>
          <w:szCs w:val="13"/>
        </w:rPr>
        <w:t>理财产品投资商品及金融衍生品类产品可能面临衍生品公允价值变化风险等。</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（四）流动性风险：从理财产品资产配置的角度，流动性风险主要是指因理财产品所配置资产缺乏流动性，使得理财</w:t>
      </w:r>
      <w:proofErr w:type="gramStart"/>
      <w:r>
        <w:rPr>
          <w:rFonts w:hAnsi="方正黑体_GBK" w:cs="方正黑体_GBK" w:hint="eastAsia"/>
          <w:color w:val="3D3D3D"/>
          <w:kern w:val="0"/>
          <w:sz w:val="13"/>
          <w:szCs w:val="13"/>
        </w:rPr>
        <w:t>期末或</w:t>
      </w:r>
      <w:proofErr w:type="gramEnd"/>
      <w:r>
        <w:rPr>
          <w:rFonts w:hAnsi="方正黑体_GBK" w:cs="方正黑体_GBK"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（五）交易对手</w:t>
      </w:r>
      <w:r>
        <w:rPr>
          <w:rFonts w:hAnsi="方正黑体_GBK" w:cs="方正黑体_GBK" w:hint="eastAsia"/>
          <w:color w:val="3D3D3D"/>
          <w:kern w:val="0"/>
          <w:sz w:val="13"/>
          <w:szCs w:val="13"/>
        </w:rPr>
        <w:t>风险：理财产品面临的交易对手风险主要是指南银理财为理财产品配置资产的过程中，因交易对手交易失误、过错等原因，导致理财产品本金或收益蒙受损失的风险。</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（七）抵质押物</w:t>
      </w:r>
      <w:r>
        <w:rPr>
          <w:rFonts w:hAnsi="方正黑体_GBK" w:cs="方正黑体_GBK" w:hint="eastAsia"/>
          <w:color w:val="3D3D3D"/>
          <w:kern w:val="0"/>
          <w:sz w:val="13"/>
          <w:szCs w:val="13"/>
        </w:rPr>
        <w:t>变现风险：本理财产品部分投资资产项下可能设定抵质押等担保品，如发生该部分投资资产项下相应义务人违约等情形时，将会对抵质押物进行处置，</w:t>
      </w:r>
      <w:proofErr w:type="gramStart"/>
      <w:r>
        <w:rPr>
          <w:rFonts w:hAnsi="方正黑体_GBK" w:cs="方正黑体_GBK" w:hint="eastAsia"/>
          <w:color w:val="3D3D3D"/>
          <w:kern w:val="0"/>
          <w:sz w:val="13"/>
          <w:szCs w:val="13"/>
        </w:rPr>
        <w:t>如抵质押</w:t>
      </w:r>
      <w:proofErr w:type="gramEnd"/>
      <w:r>
        <w:rPr>
          <w:rFonts w:hAnsi="方正黑体_GBK" w:cs="方正黑体_GBK"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w:t>
      </w:r>
      <w:r>
        <w:rPr>
          <w:rFonts w:hAnsi="方正黑体_GBK" w:cs="方正黑体_GBK" w:hint="eastAsia"/>
          <w:color w:val="3D3D3D"/>
          <w:kern w:val="0"/>
          <w:sz w:val="13"/>
          <w:szCs w:val="13"/>
        </w:rPr>
        <w:t>财服务的，南银理财有权宣布（或通过销售机构通知）理财产品不成立且不承担任何违约责任，投资者将面临再投资风险。</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（十）提前终止风险：在理财产品存续期内，南银理财有权根据市场变化等情况提前终止本理财产品，一旦理财产品被提前终止，投资者可能面临再投资风险、本金</w:t>
      </w:r>
      <w:r>
        <w:rPr>
          <w:rFonts w:hAnsi="方正黑体_GBK" w:cs="方正黑体_GBK" w:hint="eastAsia"/>
          <w:color w:val="3D3D3D"/>
          <w:kern w:val="0"/>
          <w:sz w:val="13"/>
          <w:szCs w:val="13"/>
        </w:rPr>
        <w:t>和收益蒙受损失的风险。</w:t>
      </w:r>
    </w:p>
    <w:p w:rsidR="00833B6B" w:rsidRDefault="00A3344E">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833B6B" w:rsidRDefault="00A3344E">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w:t>
      </w:r>
      <w:r>
        <w:rPr>
          <w:rFonts w:hAnsi="方正黑体_GBK" w:cs="方正黑体_GBK" w:hint="eastAsia"/>
          <w:b/>
          <w:bCs/>
          <w:color w:val="3D3D3D"/>
          <w:kern w:val="0"/>
          <w:sz w:val="13"/>
          <w:szCs w:val="13"/>
        </w:rPr>
        <w:t>素的影响使得投资者无法及时了解产品信息，投资者承担因此而产生的责任和风险。</w:t>
      </w:r>
    </w:p>
    <w:p w:rsidR="00833B6B" w:rsidRDefault="00A3344E">
      <w:pPr>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w:t>
      </w:r>
      <w:r>
        <w:rPr>
          <w:rFonts w:hAnsi="方正黑体_GBK" w:cs="方正黑体_GBK" w:hint="eastAsia"/>
          <w:color w:val="3D3D3D"/>
          <w:kern w:val="0"/>
          <w:sz w:val="13"/>
          <w:szCs w:val="13"/>
        </w:rPr>
        <w:t>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（十三）税收风险：南银理财暂不负责代扣代缴投资者购买本理财产品所得收益应缴纳的各项税款。</w:t>
      </w:r>
      <w:proofErr w:type="gramStart"/>
      <w:r>
        <w:rPr>
          <w:rFonts w:hAnsi="方正黑体_GBK" w:cs="方正黑体_GBK" w:hint="eastAsia"/>
          <w:color w:val="3D3D3D"/>
          <w:kern w:val="0"/>
          <w:sz w:val="13"/>
          <w:szCs w:val="13"/>
        </w:rPr>
        <w:t>若相关</w:t>
      </w:r>
      <w:proofErr w:type="gramEnd"/>
      <w:r>
        <w:rPr>
          <w:rFonts w:hAnsi="方正黑体_GBK" w:cs="方正黑体_GBK"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w:t>
      </w:r>
      <w:r>
        <w:rPr>
          <w:rFonts w:hAnsi="方正黑体_GBK" w:cs="方正黑体_GBK" w:hint="eastAsia"/>
          <w:color w:val="3D3D3D"/>
          <w:kern w:val="0"/>
          <w:sz w:val="13"/>
          <w:szCs w:val="13"/>
        </w:rPr>
        <w:t>本理财产品投资运作等过程中需缴纳的相关税</w:t>
      </w:r>
      <w:proofErr w:type="gramStart"/>
      <w:r>
        <w:rPr>
          <w:rFonts w:hAnsi="方正黑体_GBK" w:cs="方正黑体_GBK" w:hint="eastAsia"/>
          <w:color w:val="3D3D3D"/>
          <w:kern w:val="0"/>
          <w:sz w:val="13"/>
          <w:szCs w:val="13"/>
        </w:rPr>
        <w:t>费产生</w:t>
      </w:r>
      <w:proofErr w:type="gramEnd"/>
      <w:r>
        <w:rPr>
          <w:rFonts w:hAnsi="方正黑体_GBK" w:cs="方正黑体_GBK" w:hint="eastAsia"/>
          <w:color w:val="3D3D3D"/>
          <w:kern w:val="0"/>
          <w:sz w:val="13"/>
          <w:szCs w:val="13"/>
        </w:rPr>
        <w:t>影响，可能影响投资者收益，甚至造成本理财产品单位净值下跌、本金损失的情况。</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（十六）代销风险：本理财产品通过代销机构销售时，认购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申购资金划转至南银理财，将导致投资者无法完成认购</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w:t>
      </w:r>
      <w:r>
        <w:rPr>
          <w:rFonts w:hAnsi="方正黑体_GBK" w:cs="方正黑体_GBK" w:hint="eastAsia"/>
          <w:color w:val="3D3D3D"/>
          <w:kern w:val="0"/>
          <w:sz w:val="13"/>
          <w:szCs w:val="13"/>
        </w:rPr>
        <w:t>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833B6B" w:rsidRDefault="00A3344E">
      <w:pPr>
        <w:widowControl/>
        <w:spacing w:line="200" w:lineRule="exact"/>
        <w:ind w:firstLine="260"/>
        <w:rPr>
          <w:rFonts w:hAnsi="方正黑体_GBK" w:cs="方正黑体_GBK"/>
          <w:color w:val="3D3D3D"/>
          <w:kern w:val="0"/>
          <w:sz w:val="13"/>
          <w:szCs w:val="13"/>
        </w:rPr>
      </w:pPr>
      <w:r>
        <w:rPr>
          <w:rFonts w:hAnsi="方正黑体_GBK" w:cs="方正黑体_GBK" w:hint="eastAsia"/>
          <w:color w:val="3D3D3D"/>
          <w:kern w:val="0"/>
          <w:sz w:val="13"/>
          <w:szCs w:val="13"/>
        </w:rPr>
        <w:t>（十七）未知价风险：净值型产品采用“金额申购、份额赎回”原则，即产品认</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申购以金额申请，赎回以份额申请，认</w:t>
      </w:r>
      <w:r>
        <w:rPr>
          <w:rFonts w:hAnsi="方正黑体_GBK" w:cs="方正黑体_GBK" w:hint="eastAsia"/>
          <w:color w:val="3D3D3D"/>
          <w:kern w:val="0"/>
          <w:sz w:val="13"/>
          <w:szCs w:val="13"/>
        </w:rPr>
        <w:t>/</w:t>
      </w:r>
      <w:r>
        <w:rPr>
          <w:rFonts w:hAnsi="方正黑体_GBK" w:cs="方正黑体_GBK" w:hint="eastAsia"/>
          <w:color w:val="3D3D3D"/>
          <w:kern w:val="0"/>
          <w:sz w:val="13"/>
          <w:szCs w:val="13"/>
        </w:rPr>
        <w:t>申购与赎回价格以“未知价原则”受理申请。“未知价原则”，即理财产品申购申请和赎回申请提交时，适用的产品单位净值都是未知的，单位净值固定的产品除外。</w:t>
      </w:r>
    </w:p>
    <w:p w:rsidR="00833B6B" w:rsidRDefault="00A3344E">
      <w:pPr>
        <w:widowControl/>
        <w:spacing w:line="200" w:lineRule="exact"/>
        <w:ind w:firstLine="260"/>
        <w:rPr>
          <w:rFonts w:hAnsi="方正黑体_GBK" w:cs="方正黑体_GBK"/>
          <w:sz w:val="20"/>
          <w:szCs w:val="20"/>
        </w:rPr>
      </w:pPr>
      <w:r>
        <w:rPr>
          <w:rFonts w:hAnsi="方正黑体_GBK" w:cs="方正黑体_GBK" w:hint="eastAsia"/>
          <w:color w:val="3D3D3D"/>
          <w:kern w:val="0"/>
          <w:sz w:val="13"/>
          <w:szCs w:val="13"/>
        </w:rPr>
        <w:t>（十八）关联交易风险：在合法合</w:t>
      </w:r>
      <w:proofErr w:type="gramStart"/>
      <w:r>
        <w:rPr>
          <w:rFonts w:hAnsi="方正黑体_GBK" w:cs="方正黑体_GBK" w:hint="eastAsia"/>
          <w:color w:val="3D3D3D"/>
          <w:kern w:val="0"/>
          <w:sz w:val="13"/>
          <w:szCs w:val="13"/>
        </w:rPr>
        <w:t>规</w:t>
      </w:r>
      <w:proofErr w:type="gramEnd"/>
      <w:r>
        <w:rPr>
          <w:rFonts w:hAnsi="方正黑体_GBK" w:cs="方正黑体_GBK" w:hint="eastAsia"/>
          <w:color w:val="3D3D3D"/>
          <w:kern w:val="0"/>
          <w:sz w:val="13"/>
          <w:szCs w:val="13"/>
        </w:rPr>
        <w:t>且</w:t>
      </w:r>
      <w:r>
        <w:rPr>
          <w:rFonts w:hAnsi="方正黑体_GBK" w:cs="方正黑体_GBK" w:hint="eastAsia"/>
          <w:color w:val="3D3D3D"/>
          <w:kern w:val="0"/>
          <w:sz w:val="13"/>
          <w:szCs w:val="13"/>
        </w:rPr>
        <w:t>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33B6B" w:rsidRDefault="00A3344E">
      <w:pPr>
        <w:pStyle w:val="Normal752c9bba"/>
        <w:widowControl/>
        <w:spacing w:line="200" w:lineRule="exact"/>
        <w:ind w:firstLine="260"/>
        <w:rPr>
          <w:rFonts w:hAnsi="方正黑体_GBK" w:cs="方正黑体_GBK"/>
          <w:color w:val="3D3D3D"/>
          <w:kern w:val="0"/>
          <w:sz w:val="13"/>
          <w:szCs w:val="13"/>
        </w:rPr>
      </w:pPr>
      <w:r>
        <w:rPr>
          <w:rFonts w:hAnsi="方正黑体_GBK" w:cs="方正黑体_GBK" w:hint="eastAsia"/>
          <w:color w:val="3D3D3D"/>
          <w:sz w:val="13"/>
          <w:szCs w:val="13"/>
        </w:rPr>
        <w:t xml:space="preserve"> </w:t>
      </w:r>
      <w:r>
        <w:rPr>
          <w:rFonts w:hAnsi="方正黑体_GBK" w:cs="方正黑体_GBK" w:hint="eastAsia"/>
          <w:color w:val="3D3D3D"/>
          <w:kern w:val="0"/>
          <w:sz w:val="13"/>
          <w:szCs w:val="13"/>
        </w:rPr>
        <w:t>第二条</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本理财产品特定风险揭示</w:t>
      </w:r>
    </w:p>
    <w:p w:rsidR="00833B6B" w:rsidRDefault="00A3344E">
      <w:pPr>
        <w:spacing w:line="200" w:lineRule="exact"/>
        <w:rPr>
          <w:rFonts w:hAnsi="方正黑体_GBK" w:cs="方正黑体_GBK"/>
        </w:rPr>
      </w:pPr>
      <w:r>
        <w:rPr>
          <w:rFonts w:hAnsi="方正黑体_GBK" w:cs="方正黑体_GBK" w:hint="eastAsia"/>
          <w:b/>
          <w:sz w:val="13"/>
          <w:szCs w:val="20"/>
        </w:rPr>
        <w:t xml:space="preserve">    1.</w:t>
      </w:r>
      <w:r>
        <w:rPr>
          <w:rFonts w:hAnsi="方正黑体_GBK" w:cs="方正黑体_GBK" w:hint="eastAsia"/>
          <w:b/>
          <w:sz w:val="13"/>
          <w:szCs w:val="20"/>
        </w:rPr>
        <w:t>债券类资产投资风险</w:t>
      </w:r>
    </w:p>
    <w:p w:rsidR="00833B6B" w:rsidRDefault="00A3344E">
      <w:pPr>
        <w:spacing w:line="200" w:lineRule="exact"/>
        <w:rPr>
          <w:rFonts w:hAnsi="方正黑体_GBK" w:cs="方正黑体_GBK"/>
        </w:rPr>
      </w:pPr>
      <w:r>
        <w:rPr>
          <w:rFonts w:hAnsi="方正黑体_GBK" w:cs="方正黑体_GBK" w:hint="eastAsia"/>
          <w:b/>
          <w:sz w:val="13"/>
          <w:szCs w:val="20"/>
        </w:rPr>
        <w:t xml:space="preserve">    </w:t>
      </w:r>
      <w:r>
        <w:rPr>
          <w:rFonts w:hAnsi="方正黑体_GBK" w:cs="方正黑体_GBK" w:hint="eastAsia"/>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33B6B" w:rsidRDefault="00A3344E">
      <w:pPr>
        <w:spacing w:line="200" w:lineRule="exact"/>
        <w:rPr>
          <w:rFonts w:hAnsi="方正黑体_GBK" w:cs="方正黑体_GBK"/>
        </w:rPr>
      </w:pPr>
      <w:r>
        <w:rPr>
          <w:rFonts w:hAnsi="方正黑体_GBK" w:cs="方正黑体_GBK" w:hint="eastAsia"/>
          <w:b/>
          <w:sz w:val="13"/>
          <w:szCs w:val="20"/>
        </w:rPr>
        <w:t xml:space="preserve">    2.</w:t>
      </w:r>
      <w:r>
        <w:rPr>
          <w:rFonts w:hAnsi="方正黑体_GBK" w:cs="方正黑体_GBK" w:hint="eastAsia"/>
          <w:b/>
          <w:sz w:val="13"/>
          <w:szCs w:val="20"/>
        </w:rPr>
        <w:t>资产管理产品投资风险</w:t>
      </w:r>
    </w:p>
    <w:p w:rsidR="00833B6B" w:rsidRDefault="00A3344E">
      <w:pPr>
        <w:spacing w:line="200" w:lineRule="exact"/>
        <w:rPr>
          <w:rFonts w:hAnsi="方正黑体_GBK" w:cs="方正黑体_GBK"/>
        </w:rPr>
      </w:pPr>
      <w:r>
        <w:rPr>
          <w:rFonts w:hAnsi="方正黑体_GBK" w:cs="方正黑体_GBK" w:hint="eastAsia"/>
          <w:b/>
          <w:sz w:val="13"/>
          <w:szCs w:val="20"/>
        </w:rPr>
        <w:t xml:space="preserve">    </w:t>
      </w:r>
      <w:r>
        <w:rPr>
          <w:rFonts w:hAnsi="方正黑体_GBK" w:cs="方正黑体_GBK" w:hint="eastAsia"/>
          <w:b/>
          <w:sz w:val="13"/>
          <w:szCs w:val="20"/>
        </w:rPr>
        <w:t>本理财产品通过资产管理产品间接投资时，可能因资产管理产品的相关受托人</w:t>
      </w:r>
      <w:r>
        <w:rPr>
          <w:rFonts w:hAnsi="方正黑体_GBK" w:cs="方正黑体_GBK" w:hint="eastAsia"/>
          <w:b/>
          <w:sz w:val="13"/>
          <w:szCs w:val="20"/>
        </w:rPr>
        <w:t>/</w:t>
      </w:r>
      <w:r>
        <w:rPr>
          <w:rFonts w:hAnsi="方正黑体_GBK" w:cs="方正黑体_GBK" w:hint="eastAsia"/>
          <w:b/>
          <w:sz w:val="13"/>
          <w:szCs w:val="20"/>
        </w:rPr>
        <w:t>资产管理人违反法律法规和</w:t>
      </w:r>
      <w:r>
        <w:rPr>
          <w:rFonts w:hAnsi="方正黑体_GBK" w:cs="方正黑体_GBK" w:hint="eastAsia"/>
          <w:b/>
          <w:sz w:val="13"/>
          <w:szCs w:val="20"/>
        </w:rPr>
        <w:t>/</w:t>
      </w:r>
      <w:r>
        <w:rPr>
          <w:rFonts w:hAnsi="方正黑体_GBK" w:cs="方正黑体_GBK" w:hint="eastAsia"/>
          <w:b/>
          <w:sz w:val="13"/>
          <w:szCs w:val="20"/>
        </w:rPr>
        <w:t>或合同约定、未尽受托人</w:t>
      </w:r>
      <w:r>
        <w:rPr>
          <w:rFonts w:hAnsi="方正黑体_GBK" w:cs="方正黑体_GBK" w:hint="eastAsia"/>
          <w:b/>
          <w:sz w:val="13"/>
          <w:szCs w:val="20"/>
        </w:rPr>
        <w:t>/</w:t>
      </w:r>
      <w:r>
        <w:rPr>
          <w:rFonts w:hAnsi="方正黑体_GBK" w:cs="方正黑体_GBK" w:hint="eastAsia"/>
          <w:b/>
          <w:sz w:val="13"/>
          <w:szCs w:val="20"/>
        </w:rPr>
        <w:t>资产管理人职责或发生其他情形，造成本理财产品所投资的资产管理产品的财产损失，进而导致本理财产品收益下降甚至本金损失。</w:t>
      </w:r>
      <w:proofErr w:type="gramStart"/>
      <w:r>
        <w:rPr>
          <w:rFonts w:hAnsi="方正黑体_GBK" w:cs="方正黑体_GBK" w:hint="eastAsia"/>
          <w:b/>
          <w:sz w:val="13"/>
          <w:szCs w:val="20"/>
        </w:rPr>
        <w:t>资管管理</w:t>
      </w:r>
      <w:proofErr w:type="gramEnd"/>
      <w:r>
        <w:rPr>
          <w:rFonts w:hAnsi="方正黑体_GBK" w:cs="方正黑体_GBK" w:hint="eastAsia"/>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hAnsi="方正黑体_GBK" w:cs="方正黑体_GBK" w:hint="eastAsia"/>
          <w:b/>
          <w:sz w:val="13"/>
          <w:szCs w:val="20"/>
        </w:rPr>
        <w:t>/</w:t>
      </w:r>
      <w:r>
        <w:rPr>
          <w:rFonts w:hAnsi="方正黑体_GBK" w:cs="方正黑体_GBK" w:hint="eastAsia"/>
          <w:b/>
          <w:sz w:val="13"/>
          <w:szCs w:val="20"/>
        </w:rPr>
        <w:t>资产管理人不执行或不能及时、准确地执行本理财产品管理人的</w:t>
      </w:r>
      <w:proofErr w:type="gramStart"/>
      <w:r>
        <w:rPr>
          <w:rFonts w:hAnsi="方正黑体_GBK" w:cs="方正黑体_GBK" w:hint="eastAsia"/>
          <w:b/>
          <w:sz w:val="13"/>
          <w:szCs w:val="20"/>
        </w:rPr>
        <w:t>申赎等</w:t>
      </w:r>
      <w:proofErr w:type="gramEnd"/>
      <w:r>
        <w:rPr>
          <w:rFonts w:hAnsi="方正黑体_GBK" w:cs="方正黑体_GBK" w:hint="eastAsia"/>
          <w:b/>
          <w:sz w:val="13"/>
          <w:szCs w:val="20"/>
        </w:rPr>
        <w:t>申请，或未经本理财</w:t>
      </w:r>
      <w:r>
        <w:rPr>
          <w:rFonts w:hAnsi="方正黑体_GBK" w:cs="方正黑体_GBK" w:hint="eastAsia"/>
          <w:b/>
          <w:sz w:val="13"/>
          <w:szCs w:val="20"/>
        </w:rPr>
        <w:t>产品同意将本理财产品交付的资金运用于违反相关资产管理合同约定的投资范围等原因，导致本理财产品所投资的资产管理产品的财产损失等风险，进而导致本理</w:t>
      </w:r>
      <w:r>
        <w:rPr>
          <w:rFonts w:hAnsi="方正黑体_GBK" w:cs="方正黑体_GBK" w:hint="eastAsia"/>
          <w:b/>
          <w:sz w:val="13"/>
          <w:szCs w:val="20"/>
        </w:rPr>
        <w:lastRenderedPageBreak/>
        <w:t>财产品收益下降甚至本金损失。</w:t>
      </w:r>
    </w:p>
    <w:p w:rsidR="00833B6B" w:rsidRDefault="00A3344E">
      <w:pPr>
        <w:pStyle w:val="Normal752c9bba"/>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本理财产品</w:t>
      </w:r>
      <w:r>
        <w:rPr>
          <w:rFonts w:hAnsi="方正黑体_GBK" w:cs="方正黑体_GBK" w:hint="eastAsia"/>
          <w:b/>
          <w:bCs/>
          <w:color w:val="3D3D3D"/>
          <w:kern w:val="0"/>
          <w:sz w:val="13"/>
          <w:szCs w:val="13"/>
        </w:rPr>
        <w:t>类型：开放式、固定收益类、公募、净值型。</w:t>
      </w:r>
    </w:p>
    <w:p w:rsidR="00833B6B" w:rsidRDefault="00A3344E">
      <w:pPr>
        <w:pStyle w:val="Normal752c9bba"/>
        <w:widowControl/>
        <w:spacing w:line="200" w:lineRule="exact"/>
        <w:ind w:firstLine="270"/>
        <w:rPr>
          <w:rFonts w:hAnsi="方正黑体_GBK" w:cs="方正黑体_GBK"/>
          <w:b/>
          <w:bCs/>
          <w:color w:val="3D3D3D"/>
          <w:kern w:val="0"/>
          <w:sz w:val="13"/>
          <w:szCs w:val="13"/>
        </w:rPr>
      </w:pPr>
      <w:r>
        <w:rPr>
          <w:rFonts w:hAnsi="方正黑体_GBK" w:cs="方正黑体_GBK" w:hint="eastAsia"/>
          <w:b/>
          <w:color w:val="3D3D3D"/>
          <w:kern w:val="0"/>
          <w:sz w:val="13"/>
          <w:szCs w:val="13"/>
        </w:rPr>
        <w:t>本理财产品期限为</w:t>
      </w:r>
      <w:r>
        <w:rPr>
          <w:rFonts w:hAnsi="方正黑体_GBK" w:cs="方正黑体_GBK" w:hint="eastAsia"/>
          <w:b/>
          <w:bCs/>
          <w:color w:val="3D3D3D"/>
          <w:kern w:val="0"/>
          <w:sz w:val="13"/>
          <w:szCs w:val="13"/>
        </w:rPr>
        <w:t>10</w:t>
      </w:r>
      <w:r>
        <w:rPr>
          <w:rFonts w:hAnsi="方正黑体_GBK" w:cs="方正黑体_GBK" w:hint="eastAsia"/>
          <w:b/>
          <w:bCs/>
          <w:color w:val="3D3D3D"/>
          <w:kern w:val="0"/>
          <w:sz w:val="13"/>
          <w:szCs w:val="13"/>
        </w:rPr>
        <w:t>年</w:t>
      </w:r>
      <w:r>
        <w:rPr>
          <w:rFonts w:hAnsi="方正黑体_GBK" w:cs="方正黑体_GBK" w:hint="eastAsia"/>
          <w:b/>
          <w:color w:val="3D3D3D"/>
          <w:kern w:val="0"/>
          <w:sz w:val="13"/>
          <w:szCs w:val="13"/>
        </w:rPr>
        <w:t>（若本理财产品被提前终止或延期终止，以实际到期日计算持有天数）。</w:t>
      </w:r>
    </w:p>
    <w:p w:rsidR="00833B6B" w:rsidRDefault="00A3344E">
      <w:pPr>
        <w:pStyle w:val="annotationtext23"/>
        <w:spacing w:line="200" w:lineRule="exact"/>
        <w:rPr>
          <w:rFonts w:hAnsi="方正黑体_GBK" w:cs="方正黑体_GBK"/>
          <w:color w:val="3D3D3D"/>
          <w:kern w:val="0"/>
          <w:sz w:val="13"/>
          <w:szCs w:val="13"/>
        </w:rPr>
      </w:pPr>
      <w:r>
        <w:rPr>
          <w:rFonts w:hAnsi="方正黑体_GBK" w:cs="方正黑体_GBK" w:hint="eastAsia"/>
          <w:b/>
          <w:bCs/>
          <w:color w:val="3D3D3D"/>
          <w:kern w:val="0"/>
          <w:sz w:val="13"/>
          <w:szCs w:val="13"/>
        </w:rPr>
        <w:t>本理财产品风险评级结果：</w:t>
      </w:r>
      <w:r>
        <w:rPr>
          <w:rFonts w:hAnsi="方正黑体_GBK" w:cs="方正黑体_GBK" w:hint="eastAsia"/>
          <w:color w:val="3D3D3D"/>
          <w:kern w:val="0"/>
          <w:sz w:val="13"/>
          <w:szCs w:val="13"/>
        </w:rPr>
        <w:t>根据管理人内部风险评级，该产品风险等级为</w:t>
      </w:r>
      <w:r>
        <w:rPr>
          <w:rFonts w:hAnsi="方正黑体_GBK" w:cs="方正黑体_GBK" w:hint="eastAsia"/>
          <w:b/>
          <w:color w:val="3D3D3D"/>
          <w:kern w:val="0"/>
          <w:sz w:val="13"/>
          <w:szCs w:val="13"/>
        </w:rPr>
        <w:t>中低风险</w:t>
      </w:r>
      <w:r>
        <w:rPr>
          <w:rFonts w:hAnsi="方正黑体_GBK" w:cs="方正黑体_GBK" w:hint="eastAsia"/>
          <w:color w:val="3D3D3D"/>
          <w:kern w:val="0"/>
          <w:sz w:val="13"/>
          <w:szCs w:val="13"/>
        </w:rPr>
        <w:t>。</w:t>
      </w:r>
      <w:r>
        <w:rPr>
          <w:rFonts w:hAnsi="方正黑体_GBK" w:cs="方正黑体_GBK" w:hint="eastAsia"/>
          <w:b/>
          <w:color w:val="3D3D3D"/>
          <w:kern w:val="0"/>
          <w:sz w:val="13"/>
          <w:szCs w:val="13"/>
        </w:rPr>
        <w:t xml:space="preserve"> </w:t>
      </w:r>
      <w:r>
        <w:rPr>
          <w:rFonts w:hAnsi="方正黑体_GBK" w:cs="方正黑体_GBK" w:hint="eastAsia"/>
          <w:color w:val="3D3D3D"/>
          <w:kern w:val="0"/>
          <w:sz w:val="13"/>
          <w:szCs w:val="13"/>
        </w:rPr>
        <w:t>管理人不承诺本金保障，产品收益随投资表现变动，产品存在较低的本金损失风险</w:t>
      </w:r>
      <w:r>
        <w:rPr>
          <w:rFonts w:hAnsi="方正黑体_GBK" w:cs="方正黑体_GBK" w:hint="eastAsia"/>
          <w:color w:val="3D3D3D"/>
          <w:kern w:val="0"/>
          <w:sz w:val="13"/>
          <w:szCs w:val="13"/>
        </w:rPr>
        <w:t>。</w:t>
      </w:r>
    </w:p>
    <w:p w:rsidR="00833B6B" w:rsidRDefault="00A3344E">
      <w:pPr>
        <w:pStyle w:val="annotationtext23"/>
        <w:spacing w:line="200" w:lineRule="exact"/>
        <w:ind w:firstLineChars="200" w:firstLine="260"/>
        <w:rPr>
          <w:rFonts w:hAnsi="方正黑体_GBK" w:cs="方正黑体_GBK"/>
          <w:color w:val="3D3D3D"/>
          <w:kern w:val="0"/>
          <w:sz w:val="13"/>
          <w:szCs w:val="13"/>
        </w:rPr>
      </w:pPr>
      <w:proofErr w:type="gramStart"/>
      <w:r>
        <w:rPr>
          <w:rFonts w:hAnsi="方正黑体_GBK" w:cs="方正黑体_GBK" w:hint="eastAsia"/>
          <w:b/>
          <w:bCs/>
          <w:color w:val="3D3D3D"/>
          <w:kern w:val="0"/>
          <w:sz w:val="13"/>
          <w:szCs w:val="13"/>
        </w:rPr>
        <w:t>本风险</w:t>
      </w:r>
      <w:proofErr w:type="gramEnd"/>
      <w:r>
        <w:rPr>
          <w:rFonts w:hAnsi="方正黑体_GBK" w:cs="方正黑体_GBK" w:hint="eastAsia"/>
          <w:b/>
          <w:bCs/>
          <w:color w:val="3D3D3D"/>
          <w:kern w:val="0"/>
          <w:sz w:val="13"/>
          <w:szCs w:val="13"/>
        </w:rPr>
        <w:t>等级为南银理财风险评级结果，该产品通过代理</w:t>
      </w:r>
      <w:r>
        <w:rPr>
          <w:rFonts w:hAnsi="方正黑体_GBK" w:cs="方正黑体_GBK" w:hint="eastAsia"/>
          <w:b/>
          <w:bCs/>
          <w:color w:val="3D3D3D"/>
          <w:kern w:val="0"/>
          <w:sz w:val="13"/>
          <w:szCs w:val="13"/>
        </w:rPr>
        <w:t>销售机构渠道销售的，理财产品评级应当以代理销售机构最终披露的评级结果为准。</w:t>
      </w:r>
      <w:r>
        <w:rPr>
          <w:rFonts w:hAnsi="方正黑体_GBK" w:cs="方正黑体_GBK" w:hint="eastAsia"/>
          <w:color w:val="3D3D3D"/>
          <w:kern w:val="0"/>
          <w:sz w:val="13"/>
          <w:szCs w:val="13"/>
        </w:rPr>
        <w:t>您需充分认识投资风险，谨慎投资。</w:t>
      </w:r>
    </w:p>
    <w:p w:rsidR="00833B6B" w:rsidRDefault="00A3344E">
      <w:pPr>
        <w:pStyle w:val="Normal752c9bba"/>
        <w:widowControl/>
        <w:spacing w:line="200" w:lineRule="exact"/>
        <w:ind w:firstLineChars="200" w:firstLine="260"/>
        <w:rPr>
          <w:rFonts w:hAnsi="方正黑体_GBK" w:cs="方正黑体_GBK"/>
          <w:bCs/>
          <w:color w:val="3D3D3D"/>
          <w:kern w:val="0"/>
          <w:sz w:val="13"/>
          <w:szCs w:val="13"/>
        </w:rPr>
      </w:pPr>
      <w:r>
        <w:rPr>
          <w:rFonts w:hAnsi="方正黑体_GBK" w:cs="方正黑体_GBK" w:hint="eastAsia"/>
          <w:b/>
          <w:bCs/>
          <w:color w:val="3D3D3D"/>
          <w:kern w:val="0"/>
          <w:sz w:val="13"/>
          <w:szCs w:val="13"/>
        </w:rPr>
        <w:t>适合购买本理财产品的投资者：</w:t>
      </w:r>
      <w:r>
        <w:rPr>
          <w:rFonts w:hAnsi="方正黑体_GBK" w:cs="方正黑体_GBK" w:hint="eastAsia"/>
          <w:color w:val="3D3D3D"/>
          <w:kern w:val="0"/>
          <w:sz w:val="13"/>
          <w:szCs w:val="13"/>
        </w:rPr>
        <w:t>符合相关法律法规、监管规定要求的，经销售机构的风险承受能力评估体系评定为适合的个人和机构投资者。</w:t>
      </w:r>
    </w:p>
    <w:p w:rsidR="00833B6B" w:rsidRDefault="00A3344E">
      <w:pPr>
        <w:pStyle w:val="Normal752c9bba"/>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个人投资者在首次通过销售机构购买理财产品时应根据销售机构的要求进行风险承受能力评估。如影响</w:t>
      </w:r>
      <w:proofErr w:type="gramStart"/>
      <w:r>
        <w:rPr>
          <w:rFonts w:hAnsi="方正黑体_GBK" w:cs="方正黑体_GBK" w:hint="eastAsia"/>
          <w:b/>
          <w:bCs/>
          <w:color w:val="3D3D3D"/>
          <w:kern w:val="0"/>
          <w:sz w:val="13"/>
          <w:szCs w:val="13"/>
        </w:rPr>
        <w:t>您风险</w:t>
      </w:r>
      <w:proofErr w:type="gramEnd"/>
      <w:r>
        <w:rPr>
          <w:rFonts w:hAnsi="方正黑体_GBK" w:cs="方正黑体_GBK" w:hint="eastAsia"/>
          <w:b/>
          <w:bCs/>
          <w:color w:val="3D3D3D"/>
          <w:kern w:val="0"/>
          <w:sz w:val="13"/>
          <w:szCs w:val="13"/>
        </w:rPr>
        <w:t>承受能力的因素发生变化，请及时完成风险承受能力评估。</w:t>
      </w:r>
    </w:p>
    <w:p w:rsidR="00833B6B" w:rsidRDefault="00A3344E">
      <w:pPr>
        <w:pStyle w:val="Normal752c9bba"/>
        <w:widowControl/>
        <w:spacing w:line="200" w:lineRule="exact"/>
        <w:ind w:firstLine="260"/>
        <w:rPr>
          <w:rFonts w:hAnsi="方正黑体_GBK" w:cs="方正黑体_GBK"/>
        </w:rPr>
      </w:pPr>
      <w:r>
        <w:rPr>
          <w:rFonts w:hAnsi="方正黑体_GBK" w:cs="方正黑体_GBK"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hAnsi="方正黑体_GBK" w:cs="方正黑体_GBK" w:hint="eastAsia"/>
          <w:b/>
          <w:bCs/>
          <w:color w:val="3D3D3D"/>
          <w:kern w:val="0"/>
          <w:sz w:val="13"/>
          <w:szCs w:val="13"/>
        </w:rPr>
        <w:t>0</w:t>
      </w:r>
      <w:r>
        <w:rPr>
          <w:rFonts w:hAnsi="方正黑体_GBK" w:cs="方正黑体_GBK" w:hint="eastAsia"/>
          <w:b/>
          <w:bCs/>
          <w:color w:val="3D3D3D"/>
          <w:kern w:val="0"/>
          <w:sz w:val="13"/>
          <w:szCs w:val="13"/>
        </w:rPr>
        <w:t>，即投资者面临全部本金的损失。为保证当期理财投资者权益而产生的费用由当期理财产品承担。</w:t>
      </w:r>
    </w:p>
    <w:p w:rsidR="00833B6B" w:rsidRDefault="00A3344E">
      <w:pPr>
        <w:pStyle w:val="Normal752c9bba"/>
        <w:widowControl/>
        <w:spacing w:line="200" w:lineRule="exact"/>
        <w:ind w:firstLine="260"/>
        <w:rPr>
          <w:rFonts w:hAnsi="方正黑体_GBK" w:cs="方正黑体_GBK"/>
          <w:b/>
          <w:bCs/>
          <w:color w:val="3D3D3D"/>
          <w:kern w:val="0"/>
          <w:sz w:val="13"/>
          <w:szCs w:val="13"/>
        </w:rPr>
      </w:pPr>
      <w:r>
        <w:rPr>
          <w:rFonts w:hAnsi="方正黑体_GBK" w:cs="方正黑体_GBK" w:hint="eastAsia"/>
          <w:b/>
          <w:bCs/>
          <w:color w:val="3D3D3D"/>
          <w:kern w:val="0"/>
          <w:sz w:val="13"/>
          <w:szCs w:val="13"/>
        </w:rPr>
        <w:t>示例：如投资者购买本理财产品，本金为</w:t>
      </w:r>
      <w:r>
        <w:rPr>
          <w:rFonts w:hAnsi="方正黑体_GBK" w:cs="方正黑体_GBK" w:hint="eastAsia"/>
          <w:b/>
          <w:bCs/>
          <w:color w:val="3D3D3D"/>
          <w:kern w:val="0"/>
          <w:sz w:val="13"/>
          <w:szCs w:val="13"/>
        </w:rPr>
        <w:t>1</w:t>
      </w:r>
      <w:r>
        <w:rPr>
          <w:rFonts w:hAnsi="方正黑体_GBK" w:cs="方正黑体_GBK" w:hint="eastAsia"/>
          <w:b/>
          <w:bCs/>
          <w:color w:val="3D3D3D"/>
          <w:kern w:val="0"/>
          <w:sz w:val="13"/>
          <w:szCs w:val="13"/>
        </w:rPr>
        <w:t>万元，在理财产品资产组合项下资产全部亏损的最不利情况下，理财产品</w:t>
      </w:r>
      <w:r>
        <w:rPr>
          <w:rFonts w:hAnsi="方正黑体_GBK" w:cs="方正黑体_GBK" w:hint="eastAsia"/>
          <w:b/>
          <w:bCs/>
          <w:color w:val="3D3D3D"/>
          <w:kern w:val="0"/>
          <w:sz w:val="13"/>
          <w:szCs w:val="13"/>
        </w:rPr>
        <w:t>1</w:t>
      </w:r>
      <w:r>
        <w:rPr>
          <w:rFonts w:hAnsi="方正黑体_GBK" w:cs="方正黑体_GBK" w:hint="eastAsia"/>
          <w:b/>
          <w:bCs/>
          <w:color w:val="3D3D3D"/>
          <w:kern w:val="0"/>
          <w:sz w:val="13"/>
          <w:szCs w:val="13"/>
        </w:rPr>
        <w:t>万元本金将全部损失。</w:t>
      </w:r>
    </w:p>
    <w:p w:rsidR="00833B6B" w:rsidRDefault="00833B6B">
      <w:pPr>
        <w:pStyle w:val="Normal752c9bba"/>
        <w:widowControl/>
        <w:spacing w:line="200" w:lineRule="exact"/>
        <w:ind w:firstLine="260"/>
        <w:rPr>
          <w:rFonts w:hAnsi="方正黑体_GBK" w:cs="方正黑体_GBK"/>
          <w:b/>
          <w:color w:val="3D3D3D"/>
          <w:kern w:val="0"/>
          <w:sz w:val="13"/>
          <w:szCs w:val="13"/>
        </w:rPr>
      </w:pPr>
    </w:p>
    <w:p w:rsidR="00833B6B" w:rsidRDefault="00A3344E">
      <w:pPr>
        <w:pStyle w:val="Normal752c9bba"/>
        <w:widowControl/>
        <w:spacing w:line="200" w:lineRule="exact"/>
        <w:ind w:firstLine="260"/>
        <w:jc w:val="center"/>
        <w:rPr>
          <w:rFonts w:hAnsi="方正黑体_GBK" w:cs="方正黑体_GBK"/>
          <w:b/>
          <w:color w:val="3D3D3D"/>
          <w:kern w:val="0"/>
          <w:sz w:val="15"/>
          <w:szCs w:val="15"/>
          <w:u w:val="single"/>
        </w:rPr>
      </w:pPr>
      <w:r>
        <w:rPr>
          <w:rFonts w:hAnsi="方正黑体_GBK" w:cs="方正黑体_GBK" w:hint="eastAsia"/>
          <w:b/>
          <w:color w:val="3D3D3D"/>
          <w:kern w:val="0"/>
          <w:sz w:val="15"/>
          <w:szCs w:val="15"/>
          <w:u w:val="single"/>
        </w:rPr>
        <w:t>上述风险客观存在，敬请投资者予以充分关注！</w:t>
      </w:r>
    </w:p>
    <w:p w:rsidR="00833B6B" w:rsidRDefault="00833B6B">
      <w:pPr>
        <w:pStyle w:val="Normal752c9bba"/>
        <w:widowControl/>
        <w:spacing w:line="200" w:lineRule="exact"/>
        <w:ind w:firstLine="260"/>
        <w:jc w:val="center"/>
        <w:rPr>
          <w:rFonts w:hAnsi="方正黑体_GBK" w:cs="方正黑体_GBK"/>
          <w:b/>
          <w:color w:val="3D3D3D"/>
          <w:kern w:val="0"/>
          <w:sz w:val="15"/>
          <w:szCs w:val="15"/>
          <w:u w:val="single"/>
        </w:rPr>
      </w:pPr>
    </w:p>
    <w:p w:rsidR="00833B6B" w:rsidRDefault="00A3344E">
      <w:pPr>
        <w:pStyle w:val="Normal752c9bba"/>
        <w:widowControl/>
        <w:spacing w:line="200" w:lineRule="exact"/>
        <w:ind w:firstLine="260"/>
        <w:jc w:val="left"/>
        <w:rPr>
          <w:rFonts w:hAnsi="方正黑体_GBK" w:cs="方正黑体_GBK"/>
          <w:b/>
          <w:color w:val="3D3D3D"/>
          <w:kern w:val="0"/>
          <w:sz w:val="15"/>
          <w:szCs w:val="15"/>
          <w:u w:val="single"/>
        </w:rPr>
      </w:pPr>
      <w:proofErr w:type="gramStart"/>
      <w:r>
        <w:rPr>
          <w:rFonts w:hAnsi="方正黑体_GBK" w:cs="方正黑体_GBK" w:hint="eastAsia"/>
          <w:b/>
          <w:color w:val="3D3D3D"/>
          <w:kern w:val="0"/>
          <w:sz w:val="15"/>
          <w:szCs w:val="15"/>
          <w:u w:val="single"/>
        </w:rPr>
        <w:t>本风险</w:t>
      </w:r>
      <w:proofErr w:type="gramEnd"/>
      <w:r>
        <w:rPr>
          <w:rFonts w:hAnsi="方正黑体_GBK" w:cs="方正黑体_GBK"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Ansi="方正黑体_GBK" w:cs="方正黑体_GBK" w:hint="eastAsia"/>
          <w:b/>
          <w:color w:val="3D3D3D"/>
          <w:kern w:val="0"/>
          <w:sz w:val="15"/>
          <w:szCs w:val="15"/>
          <w:u w:val="single"/>
        </w:rPr>
        <w:t>本风险</w:t>
      </w:r>
      <w:proofErr w:type="gramEnd"/>
      <w:r>
        <w:rPr>
          <w:rFonts w:hAnsi="方正黑体_GBK" w:cs="方正黑体_GBK"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33B6B" w:rsidRDefault="00A3344E">
      <w:pPr>
        <w:widowControl/>
        <w:spacing w:line="200" w:lineRule="exact"/>
        <w:rPr>
          <w:rFonts w:hAnsi="方正黑体_GBK" w:cs="方正黑体_GBK"/>
          <w:b/>
          <w:color w:val="3D3D3D"/>
          <w:kern w:val="0"/>
          <w:sz w:val="15"/>
          <w:szCs w:val="15"/>
          <w:u w:val="single"/>
        </w:rPr>
      </w:pPr>
      <w:r>
        <w:rPr>
          <w:rFonts w:hAnsi="方正黑体_GBK" w:cs="方正黑体_GBK" w:hint="eastAsia"/>
          <w:b/>
          <w:color w:val="3D3D3D"/>
          <w:kern w:val="0"/>
          <w:sz w:val="15"/>
          <w:szCs w:val="15"/>
          <w:u w:val="single"/>
        </w:rPr>
        <w:t>投资者声明：</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1.</w:t>
      </w:r>
      <w:r>
        <w:rPr>
          <w:rFonts w:hAnsi="方正黑体_GBK" w:cs="方正黑体_GBK" w:hint="eastAsia"/>
          <w:b/>
          <w:color w:val="3D3D3D"/>
          <w:kern w:val="0"/>
          <w:sz w:val="15"/>
          <w:szCs w:val="15"/>
          <w:u w:val="single"/>
        </w:rPr>
        <w:t>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购买本理财产品为本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真实的意思表示</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并认为该理财产品完全适合本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的投资目标、投资预期以及风险承受能力，本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自愿承担由此带来的一切后果。本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确认南银理财</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销售机构相关业务人员对于理财产品销售文件中限制或排除本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权利、增加或加重本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义务或责任以及有关免除或减轻南银理财责任或南银理财单方面拥有某些权利的条款已向本人予以说明，本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已完全理解并自愿接受。</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2.</w:t>
      </w:r>
      <w:r>
        <w:rPr>
          <w:rFonts w:hAnsi="方正黑体_GBK" w:cs="方正黑体_GBK" w:hint="eastAsia"/>
          <w:b/>
          <w:color w:val="3D3D3D"/>
          <w:kern w:val="0"/>
          <w:sz w:val="15"/>
          <w:szCs w:val="15"/>
          <w:u w:val="single"/>
        </w:rPr>
        <w:t>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确认，将向本理财产品销售机构真实提供信息，自主</w:t>
      </w:r>
      <w:proofErr w:type="gramStart"/>
      <w:r>
        <w:rPr>
          <w:rFonts w:hAnsi="方正黑体_GBK" w:cs="方正黑体_GBK" w:hint="eastAsia"/>
          <w:b/>
          <w:color w:val="3D3D3D"/>
          <w:kern w:val="0"/>
          <w:sz w:val="15"/>
          <w:szCs w:val="15"/>
          <w:u w:val="single"/>
        </w:rPr>
        <w:t>作出</w:t>
      </w:r>
      <w:proofErr w:type="gramEnd"/>
      <w:r>
        <w:rPr>
          <w:rFonts w:hAnsi="方正黑体_GBK" w:cs="方正黑体_GBK" w:hint="eastAsia"/>
          <w:b/>
          <w:color w:val="3D3D3D"/>
          <w:kern w:val="0"/>
          <w:sz w:val="15"/>
          <w:szCs w:val="15"/>
          <w:u w:val="single"/>
        </w:rPr>
        <w:t>认购</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申购</w:t>
      </w:r>
      <w:r>
        <w:rPr>
          <w:rFonts w:hAnsi="方正黑体_GBK" w:cs="方正黑体_GBK" w:hint="eastAsia"/>
          <w:b/>
          <w:color w:val="3D3D3D"/>
          <w:kern w:val="0"/>
          <w:sz w:val="15"/>
          <w:szCs w:val="15"/>
          <w:u w:val="single"/>
        </w:rPr>
        <w:t>/</w:t>
      </w:r>
      <w:r>
        <w:rPr>
          <w:rFonts w:hAnsi="方正黑体_GBK" w:cs="方正黑体_GBK" w:hint="eastAsia"/>
          <w:b/>
          <w:color w:val="3D3D3D"/>
          <w:kern w:val="0"/>
          <w:sz w:val="15"/>
          <w:szCs w:val="15"/>
          <w:u w:val="single"/>
        </w:rPr>
        <w:t>赎回等决定，自主承担投资风险。本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拒绝向销售机构提供或者未按照要求提供信息的，销售机构有权告知本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相应的后果和责任，并有权拒绝</w:t>
      </w:r>
      <w:r>
        <w:rPr>
          <w:rFonts w:hAnsi="方正黑体_GBK" w:cs="方正黑体_GBK" w:hint="eastAsia"/>
          <w:b/>
          <w:color w:val="3D3D3D"/>
          <w:kern w:val="0"/>
          <w:sz w:val="15"/>
          <w:szCs w:val="15"/>
          <w:u w:val="single"/>
        </w:rPr>
        <w:t>向本</w:t>
      </w:r>
      <w:r>
        <w:rPr>
          <w:rFonts w:hAnsi="方正黑体_GBK" w:cs="方正黑体_GBK" w:hint="eastAsia"/>
          <w:b/>
          <w:bCs/>
          <w:color w:val="3D3D3D"/>
          <w:kern w:val="0"/>
          <w:sz w:val="15"/>
          <w:szCs w:val="15"/>
          <w:u w:val="single"/>
        </w:rPr>
        <w:t>投资者</w:t>
      </w:r>
      <w:r>
        <w:rPr>
          <w:rFonts w:hAnsi="方正黑体_GBK" w:cs="方正黑体_GBK" w:hint="eastAsia"/>
          <w:b/>
          <w:color w:val="3D3D3D"/>
          <w:kern w:val="0"/>
          <w:sz w:val="15"/>
          <w:szCs w:val="15"/>
          <w:u w:val="single"/>
        </w:rPr>
        <w:t>提供销售服务。</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3.</w:t>
      </w:r>
      <w:r>
        <w:rPr>
          <w:rFonts w:hAnsi="方正黑体_GBK" w:cs="方正黑体_GBK" w:hint="eastAsia"/>
          <w:b/>
          <w:color w:val="3D3D3D"/>
          <w:kern w:val="0"/>
          <w:sz w:val="15"/>
          <w:szCs w:val="15"/>
          <w:u w:val="single"/>
        </w:rPr>
        <w:t>本投资者确认，投资本理财产品的资金非贷款、发行债券等募集的非自有资金。</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4.</w:t>
      </w:r>
      <w:r>
        <w:rPr>
          <w:rFonts w:hAnsi="方正黑体_GBK" w:cs="方正黑体_GBK" w:hint="eastAsia"/>
          <w:b/>
          <w:color w:val="3D3D3D"/>
          <w:kern w:val="0"/>
          <w:sz w:val="15"/>
          <w:szCs w:val="15"/>
          <w:u w:val="single"/>
        </w:rPr>
        <w:t>本投资者在购买本理财产品前已完成风险承受能力评估，且该评估结果具有效力。本投资者的风险评级结果为</w:t>
      </w:r>
      <w:r>
        <w:rPr>
          <w:rFonts w:hAnsi="方正黑体_GBK" w:cs="方正黑体_GBK" w:hint="eastAsia"/>
          <w:b/>
          <w:color w:val="3D3D3D"/>
          <w:kern w:val="0"/>
          <w:sz w:val="15"/>
          <w:szCs w:val="15"/>
          <w:u w:val="single"/>
        </w:rPr>
        <w:t xml:space="preserve">    </w:t>
      </w:r>
      <w:r>
        <w:rPr>
          <w:rFonts w:hAnsi="方正黑体_GBK" w:cs="方正黑体_GBK" w:hint="eastAsia"/>
          <w:b/>
          <w:color w:val="3D3D3D"/>
          <w:kern w:val="0"/>
          <w:sz w:val="15"/>
          <w:szCs w:val="15"/>
          <w:u w:val="single"/>
        </w:rPr>
        <w:t>（低、</w:t>
      </w:r>
      <w:r>
        <w:rPr>
          <w:rFonts w:hAnsi="方正黑体_GBK" w:cs="方正黑体_GBK" w:hint="eastAsia"/>
          <w:b/>
          <w:color w:val="3D3D3D"/>
          <w:kern w:val="0"/>
          <w:sz w:val="15"/>
          <w:szCs w:val="15"/>
          <w:u w:val="single"/>
        </w:rPr>
        <w:t xml:space="preserve"> </w:t>
      </w:r>
      <w:r>
        <w:rPr>
          <w:rFonts w:hAnsi="方正黑体_GBK" w:cs="方正黑体_GBK"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5.</w:t>
      </w:r>
      <w:r>
        <w:rPr>
          <w:rFonts w:hAnsi="方正黑体_GBK" w:cs="方正黑体_GBK" w:hint="eastAsia"/>
          <w:b/>
          <w:color w:val="3D3D3D"/>
          <w:kern w:val="0"/>
          <w:sz w:val="15"/>
          <w:szCs w:val="15"/>
          <w:u w:val="single"/>
        </w:rPr>
        <w:t>本投资者已认真阅读并充分理解</w:t>
      </w:r>
      <w:proofErr w:type="gramStart"/>
      <w:r>
        <w:rPr>
          <w:rFonts w:hAnsi="方正黑体_GBK" w:cs="方正黑体_GBK" w:hint="eastAsia"/>
          <w:b/>
          <w:color w:val="3D3D3D"/>
          <w:kern w:val="0"/>
          <w:sz w:val="15"/>
          <w:szCs w:val="15"/>
          <w:u w:val="single"/>
        </w:rPr>
        <w:t>本风险</w:t>
      </w:r>
      <w:proofErr w:type="gramEnd"/>
      <w:r>
        <w:rPr>
          <w:rFonts w:hAnsi="方正黑体_GBK" w:cs="方正黑体_GBK" w:hint="eastAsia"/>
          <w:b/>
          <w:color w:val="3D3D3D"/>
          <w:kern w:val="0"/>
          <w:sz w:val="15"/>
          <w:szCs w:val="15"/>
          <w:u w:val="single"/>
        </w:rPr>
        <w:t>揭示书及对应期次《理财产品销售协议书》《理财产品说明书》《投资者权益须知》《理财产</w:t>
      </w:r>
      <w:r>
        <w:rPr>
          <w:rFonts w:hAnsi="方正黑体_GBK" w:cs="方正黑体_GBK" w:hint="eastAsia"/>
          <w:b/>
          <w:color w:val="3D3D3D"/>
          <w:kern w:val="0"/>
          <w:sz w:val="15"/>
          <w:szCs w:val="15"/>
          <w:u w:val="single"/>
        </w:rPr>
        <w:t>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6.</w:t>
      </w:r>
      <w:r>
        <w:rPr>
          <w:rFonts w:hAnsi="方正黑体_GBK" w:cs="方正黑体_GBK"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Ansi="方正黑体_GBK" w:cs="方正黑体_GBK" w:hint="eastAsia"/>
          <w:b/>
          <w:color w:val="3D3D3D"/>
          <w:kern w:val="0"/>
          <w:sz w:val="15"/>
          <w:szCs w:val="15"/>
          <w:u w:val="single"/>
        </w:rPr>
        <w:t>作出</w:t>
      </w:r>
      <w:proofErr w:type="gramEnd"/>
      <w:r>
        <w:rPr>
          <w:rFonts w:hAnsi="方正黑体_GBK" w:cs="方正黑体_GBK" w:hint="eastAsia"/>
          <w:b/>
          <w:color w:val="3D3D3D"/>
          <w:kern w:val="0"/>
          <w:sz w:val="15"/>
          <w:szCs w:val="15"/>
          <w:u w:val="single"/>
        </w:rPr>
        <w:t>本次投资决策，并未依赖于南银理财和销售机构在理财产品销售文</w:t>
      </w:r>
      <w:r>
        <w:rPr>
          <w:rFonts w:hAnsi="方正黑体_GBK" w:cs="方正黑体_GBK" w:hint="eastAsia"/>
          <w:b/>
          <w:color w:val="3D3D3D"/>
          <w:kern w:val="0"/>
          <w:sz w:val="15"/>
          <w:szCs w:val="15"/>
          <w:u w:val="single"/>
        </w:rPr>
        <w:t>件之外的任何陈述、说明、文件或承诺，南银理财和销售机构的义务和责任以理财产品销售文件明确记载的书面内容为准。</w:t>
      </w:r>
    </w:p>
    <w:p w:rsidR="00833B6B" w:rsidRDefault="00A3344E">
      <w:pPr>
        <w:widowControl/>
        <w:spacing w:line="200" w:lineRule="exact"/>
        <w:ind w:firstLine="420"/>
        <w:rPr>
          <w:rFonts w:hAnsi="方正黑体_GBK" w:cs="方正黑体_GBK"/>
          <w:b/>
          <w:color w:val="3D3D3D"/>
          <w:kern w:val="0"/>
          <w:sz w:val="15"/>
          <w:szCs w:val="15"/>
          <w:u w:val="single"/>
        </w:rPr>
      </w:pPr>
      <w:r>
        <w:rPr>
          <w:rFonts w:hAnsi="方正黑体_GBK" w:cs="方正黑体_GBK" w:hint="eastAsia"/>
          <w:b/>
          <w:color w:val="3D3D3D"/>
          <w:kern w:val="0"/>
          <w:sz w:val="15"/>
          <w:szCs w:val="15"/>
        </w:rPr>
        <w:t>7.</w:t>
      </w:r>
      <w:r>
        <w:rPr>
          <w:rFonts w:hAnsi="方正黑体_GBK" w:cs="方正黑体_GBK" w:hint="eastAsia"/>
          <w:b/>
          <w:color w:val="3D3D3D"/>
          <w:kern w:val="0"/>
          <w:sz w:val="15"/>
          <w:szCs w:val="15"/>
          <w:u w:val="single"/>
        </w:rPr>
        <w:t>如销售机构为管理人关联方的，本投资者认可此等关联方及关联交易情形的存在并自愿承担相关投资风险。</w:t>
      </w:r>
    </w:p>
    <w:p w:rsidR="00833B6B" w:rsidRDefault="00A3344E">
      <w:pPr>
        <w:widowControl/>
        <w:spacing w:line="200" w:lineRule="exact"/>
        <w:ind w:firstLine="420"/>
        <w:rPr>
          <w:rFonts w:hAnsi="方正黑体_GBK" w:cs="方正黑体_GBK"/>
          <w:color w:val="3D3D3D"/>
          <w:kern w:val="0"/>
          <w:sz w:val="15"/>
          <w:szCs w:val="15"/>
          <w:u w:val="single"/>
        </w:rPr>
      </w:pPr>
      <w:r>
        <w:rPr>
          <w:rFonts w:hAnsi="方正黑体_GBK" w:cs="方正黑体_GBK" w:hint="eastAsia"/>
          <w:color w:val="3D3D3D"/>
          <w:kern w:val="0"/>
          <w:sz w:val="15"/>
          <w:szCs w:val="15"/>
        </w:rPr>
        <w:t>8.</w:t>
      </w:r>
      <w:r>
        <w:rPr>
          <w:rFonts w:hAnsi="方正黑体_GBK" w:cs="方正黑体_GBK" w:hint="eastAsia"/>
          <w:color w:val="3D3D3D"/>
          <w:kern w:val="0"/>
          <w:sz w:val="15"/>
          <w:szCs w:val="15"/>
        </w:rPr>
        <w:t>以下划线部分，请投资者抄录确认：“</w:t>
      </w:r>
      <w:r>
        <w:rPr>
          <w:rFonts w:hAnsi="方正黑体_GBK" w:cs="方正黑体_GBK" w:hint="eastAsia"/>
          <w:b/>
          <w:color w:val="3D3D3D"/>
          <w:kern w:val="0"/>
          <w:sz w:val="15"/>
          <w:szCs w:val="15"/>
          <w:u w:val="single"/>
        </w:rPr>
        <w:t>本人已经阅读风险揭示，愿意承担投资风险</w:t>
      </w:r>
      <w:r>
        <w:rPr>
          <w:rFonts w:hAnsi="方正黑体_GBK" w:cs="方正黑体_GBK" w:hint="eastAsia"/>
          <w:color w:val="3D3D3D"/>
          <w:kern w:val="0"/>
          <w:sz w:val="15"/>
          <w:szCs w:val="15"/>
        </w:rPr>
        <w:t>”。</w:t>
      </w:r>
    </w:p>
    <w:p w:rsidR="00833B6B" w:rsidRDefault="00A3344E">
      <w:pPr>
        <w:widowControl/>
        <w:spacing w:line="200" w:lineRule="exact"/>
        <w:ind w:firstLine="210"/>
        <w:rPr>
          <w:rFonts w:hAnsi="方正黑体_GBK" w:cs="方正黑体_GBK"/>
          <w:color w:val="3D3D3D"/>
          <w:kern w:val="0"/>
          <w:sz w:val="15"/>
          <w:szCs w:val="15"/>
        </w:rPr>
      </w:pPr>
      <w:r>
        <w:rPr>
          <w:rFonts w:hAnsi="方正黑体_GBK" w:cs="方正黑体_GBK" w:hint="eastAsia"/>
          <w:color w:val="3D3D3D"/>
          <w:kern w:val="0"/>
          <w:sz w:val="15"/>
          <w:szCs w:val="15"/>
        </w:rPr>
        <w:t xml:space="preserve">         </w:t>
      </w:r>
    </w:p>
    <w:p w:rsidR="00833B6B" w:rsidRDefault="00833B6B">
      <w:pPr>
        <w:widowControl/>
        <w:spacing w:line="200" w:lineRule="exact"/>
        <w:ind w:firstLine="210"/>
        <w:rPr>
          <w:rFonts w:hAnsi="方正黑体_GBK" w:cs="方正黑体_GBK"/>
          <w:color w:val="3D3D3D"/>
          <w:kern w:val="0"/>
          <w:sz w:val="15"/>
          <w:szCs w:val="15"/>
        </w:rPr>
      </w:pPr>
    </w:p>
    <w:p w:rsidR="00833B6B" w:rsidRDefault="00A3344E">
      <w:pPr>
        <w:widowControl/>
        <w:spacing w:line="200" w:lineRule="exact"/>
        <w:ind w:firstLine="210"/>
        <w:rPr>
          <w:rFonts w:hAnsi="方正黑体_GBK" w:cs="方正黑体_GBK"/>
          <w:color w:val="3D3D3D"/>
          <w:kern w:val="0"/>
          <w:sz w:val="15"/>
          <w:szCs w:val="15"/>
        </w:rPr>
      </w:pPr>
      <w:r>
        <w:rPr>
          <w:rFonts w:hAnsi="方正黑体_GBK" w:cs="方正黑体_GBK" w:hint="eastAsia"/>
          <w:color w:val="3D3D3D"/>
          <w:kern w:val="0"/>
          <w:sz w:val="15"/>
          <w:szCs w:val="15"/>
        </w:rPr>
        <w:t>投资者抄录：</w:t>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r>
        <w:rPr>
          <w:rFonts w:hAnsi="方正黑体_GBK" w:cs="方正黑体_GBK" w:hint="eastAsia"/>
          <w:sz w:val="15"/>
          <w:szCs w:val="15"/>
          <w:u w:val="single"/>
        </w:rPr>
        <w:tab/>
      </w:r>
    </w:p>
    <w:p w:rsidR="00833B6B" w:rsidRDefault="00833B6B">
      <w:pPr>
        <w:widowControl/>
        <w:spacing w:line="200" w:lineRule="exact"/>
        <w:ind w:firstLine="210"/>
        <w:rPr>
          <w:rFonts w:hAnsi="方正黑体_GBK" w:cs="方正黑体_GBK"/>
          <w:color w:val="3D3D3D"/>
          <w:kern w:val="0"/>
          <w:sz w:val="13"/>
          <w:szCs w:val="13"/>
        </w:rPr>
      </w:pPr>
    </w:p>
    <w:p w:rsidR="00833B6B" w:rsidRDefault="00833B6B">
      <w:pPr>
        <w:widowControl/>
        <w:spacing w:line="200" w:lineRule="exact"/>
        <w:ind w:firstLine="210"/>
        <w:jc w:val="left"/>
        <w:rPr>
          <w:rFonts w:hAnsi="方正黑体_GBK" w:cs="方正黑体_GBK"/>
          <w:color w:val="3D3D3D"/>
          <w:kern w:val="0"/>
          <w:sz w:val="13"/>
          <w:szCs w:val="13"/>
        </w:rPr>
      </w:pPr>
    </w:p>
    <w:p w:rsidR="00833B6B" w:rsidRDefault="00833B6B">
      <w:pPr>
        <w:widowControl/>
        <w:spacing w:line="200" w:lineRule="exact"/>
        <w:ind w:firstLine="210"/>
        <w:jc w:val="left"/>
        <w:rPr>
          <w:rFonts w:hAnsi="方正黑体_GBK" w:cs="方正黑体_GBK"/>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33B6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400" w:lineRule="exact"/>
              <w:jc w:val="center"/>
              <w:rPr>
                <w:rFonts w:hAnsi="方正黑体_GBK" w:cs="方正黑体_GBK"/>
                <w:b/>
                <w:sz w:val="15"/>
                <w:szCs w:val="15"/>
              </w:rPr>
            </w:pPr>
            <w:r>
              <w:rPr>
                <w:rFonts w:hAnsi="方正黑体_GBK" w:cs="方正黑体_GBK" w:hint="eastAsia"/>
                <w:b/>
                <w:sz w:val="15"/>
                <w:szCs w:val="15"/>
              </w:rPr>
              <w:t>个人投资者</w:t>
            </w:r>
          </w:p>
        </w:tc>
      </w:tr>
      <w:tr w:rsidR="00833B6B">
        <w:tc>
          <w:tcPr>
            <w:tcW w:w="9287" w:type="dxa"/>
            <w:tcBorders>
              <w:top w:val="single" w:sz="4" w:space="0" w:color="auto"/>
              <w:left w:val="single" w:sz="4" w:space="0" w:color="auto"/>
              <w:bottom w:val="single" w:sz="4" w:space="0" w:color="auto"/>
              <w:right w:val="single" w:sz="4" w:space="0" w:color="auto"/>
              <w:tl2br w:val="nil"/>
              <w:tr2bl w:val="nil"/>
            </w:tcBorders>
          </w:tcPr>
          <w:p w:rsidR="00833B6B" w:rsidRDefault="00A3344E">
            <w:pPr>
              <w:widowControl/>
              <w:spacing w:line="360" w:lineRule="auto"/>
              <w:rPr>
                <w:rFonts w:hAnsi="方正黑体_GBK" w:cs="方正黑体_GBK"/>
                <w:color w:val="3D3D3D"/>
                <w:kern w:val="0"/>
                <w:sz w:val="13"/>
                <w:szCs w:val="13"/>
              </w:rPr>
            </w:pPr>
            <w:r>
              <w:rPr>
                <w:rFonts w:hAnsi="方正黑体_GBK" w:cs="方正黑体_GBK" w:hint="eastAsia"/>
                <w:sz w:val="15"/>
                <w:szCs w:val="15"/>
              </w:rPr>
              <w:t>签名：</w:t>
            </w:r>
          </w:p>
          <w:p w:rsidR="00833B6B" w:rsidRDefault="00A3344E">
            <w:pPr>
              <w:widowControl/>
              <w:spacing w:line="360" w:lineRule="auto"/>
              <w:ind w:firstLineChars="100" w:firstLine="130"/>
              <w:rPr>
                <w:rFonts w:hAnsi="方正黑体_GBK" w:cs="方正黑体_GBK"/>
                <w:sz w:val="15"/>
                <w:szCs w:val="15"/>
              </w:rPr>
            </w:pPr>
            <w:r>
              <w:rPr>
                <w:rFonts w:hAnsi="方正黑体_GBK" w:cs="方正黑体_GBK" w:hint="eastAsia"/>
                <w:color w:val="3D3D3D"/>
                <w:kern w:val="0"/>
                <w:sz w:val="13"/>
                <w:szCs w:val="13"/>
              </w:rPr>
              <w:t>年</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月</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日</w:t>
            </w:r>
          </w:p>
        </w:tc>
      </w:tr>
      <w:tr w:rsidR="00833B6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400" w:lineRule="exact"/>
              <w:jc w:val="center"/>
              <w:rPr>
                <w:rFonts w:hAnsi="方正黑体_GBK" w:cs="方正黑体_GBK"/>
                <w:sz w:val="15"/>
                <w:szCs w:val="15"/>
              </w:rPr>
            </w:pPr>
            <w:r>
              <w:rPr>
                <w:rFonts w:hAnsi="方正黑体_GBK" w:cs="方正黑体_GBK" w:hint="eastAsia"/>
                <w:b/>
                <w:bCs/>
                <w:color w:val="3D3D3D"/>
                <w:kern w:val="0"/>
                <w:sz w:val="15"/>
                <w:szCs w:val="15"/>
              </w:rPr>
              <w:t>机构投资者</w:t>
            </w:r>
          </w:p>
        </w:tc>
      </w:tr>
      <w:tr w:rsidR="00833B6B">
        <w:tc>
          <w:tcPr>
            <w:tcW w:w="9287" w:type="dxa"/>
            <w:tcBorders>
              <w:top w:val="single" w:sz="4" w:space="0" w:color="auto"/>
              <w:left w:val="single" w:sz="4" w:space="0" w:color="auto"/>
              <w:bottom w:val="single" w:sz="4" w:space="0" w:color="auto"/>
              <w:right w:val="single" w:sz="4" w:space="0" w:color="auto"/>
              <w:tl2br w:val="nil"/>
              <w:tr2bl w:val="nil"/>
            </w:tcBorders>
          </w:tcPr>
          <w:p w:rsidR="00833B6B" w:rsidRDefault="00833B6B">
            <w:pPr>
              <w:widowControl/>
              <w:spacing w:line="200" w:lineRule="exact"/>
              <w:jc w:val="left"/>
              <w:rPr>
                <w:rFonts w:hAnsi="方正黑体_GBK" w:cs="方正黑体_GBK"/>
                <w:b/>
                <w:bCs/>
                <w:color w:val="3D3D3D"/>
                <w:kern w:val="0"/>
                <w:sz w:val="15"/>
                <w:szCs w:val="15"/>
              </w:rPr>
            </w:pPr>
          </w:p>
          <w:p w:rsidR="00833B6B" w:rsidRDefault="00A3344E">
            <w:pPr>
              <w:widowControl/>
              <w:spacing w:line="200" w:lineRule="exact"/>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盖章（公章）</w:t>
            </w:r>
          </w:p>
          <w:p w:rsidR="00833B6B" w:rsidRDefault="00833B6B">
            <w:pPr>
              <w:widowControl/>
              <w:spacing w:line="200" w:lineRule="exact"/>
              <w:jc w:val="left"/>
              <w:rPr>
                <w:rFonts w:hAnsi="方正黑体_GBK" w:cs="方正黑体_GBK"/>
                <w:b/>
                <w:bCs/>
                <w:color w:val="3D3D3D"/>
                <w:kern w:val="0"/>
                <w:sz w:val="15"/>
                <w:szCs w:val="15"/>
              </w:rPr>
            </w:pPr>
          </w:p>
          <w:p w:rsidR="00833B6B" w:rsidRDefault="00A3344E">
            <w:pPr>
              <w:widowControl/>
              <w:spacing w:line="200" w:lineRule="exact"/>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法定代表人或授权代理人（签名或盖章）：</w:t>
            </w:r>
            <w:r>
              <w:rPr>
                <w:rFonts w:hAnsi="方正黑体_GBK" w:cs="方正黑体_GBK" w:hint="eastAsia"/>
                <w:b/>
                <w:bCs/>
                <w:color w:val="3D3D3D"/>
                <w:kern w:val="0"/>
                <w:sz w:val="15"/>
                <w:szCs w:val="15"/>
              </w:rPr>
              <w:t xml:space="preserve"> </w:t>
            </w:r>
            <w:r>
              <w:rPr>
                <w:rFonts w:hAnsi="方正黑体_GBK" w:cs="方正黑体_GBK" w:hint="eastAsia"/>
                <w:b/>
                <w:bCs/>
                <w:color w:val="3D3D3D"/>
                <w:kern w:val="0"/>
                <w:sz w:val="15"/>
                <w:szCs w:val="15"/>
              </w:rPr>
              <w:tab/>
            </w:r>
          </w:p>
          <w:p w:rsidR="00833B6B" w:rsidRDefault="00833B6B">
            <w:pPr>
              <w:widowControl/>
              <w:spacing w:line="200" w:lineRule="exact"/>
              <w:jc w:val="left"/>
              <w:rPr>
                <w:rFonts w:hAnsi="方正黑体_GBK" w:cs="方正黑体_GBK"/>
                <w:color w:val="3D3D3D"/>
                <w:kern w:val="0"/>
                <w:sz w:val="13"/>
                <w:szCs w:val="13"/>
              </w:rPr>
            </w:pPr>
          </w:p>
          <w:p w:rsidR="00833B6B" w:rsidRDefault="00A3344E">
            <w:pPr>
              <w:widowControl/>
              <w:spacing w:line="200" w:lineRule="exact"/>
              <w:jc w:val="left"/>
              <w:rPr>
                <w:rFonts w:hAnsi="方正黑体_GBK" w:cs="方正黑体_GBK"/>
                <w:sz w:val="15"/>
                <w:szCs w:val="15"/>
              </w:rPr>
            </w:pP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年</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月</w:t>
            </w:r>
            <w:r>
              <w:rPr>
                <w:rFonts w:hAnsi="方正黑体_GBK" w:cs="方正黑体_GBK" w:hint="eastAsia"/>
                <w:color w:val="3D3D3D"/>
                <w:kern w:val="0"/>
                <w:sz w:val="13"/>
                <w:szCs w:val="13"/>
              </w:rPr>
              <w:t xml:space="preserve">    </w:t>
            </w:r>
            <w:r>
              <w:rPr>
                <w:rFonts w:hAnsi="方正黑体_GBK" w:cs="方正黑体_GBK" w:hint="eastAsia"/>
                <w:color w:val="3D3D3D"/>
                <w:kern w:val="0"/>
                <w:sz w:val="13"/>
                <w:szCs w:val="13"/>
              </w:rPr>
              <w:t>日</w:t>
            </w:r>
          </w:p>
        </w:tc>
      </w:tr>
      <w:tr w:rsidR="00833B6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400" w:lineRule="exact"/>
              <w:jc w:val="center"/>
              <w:rPr>
                <w:rFonts w:hAnsi="方正黑体_GBK" w:cs="方正黑体_GBK"/>
                <w:sz w:val="15"/>
                <w:szCs w:val="15"/>
              </w:rPr>
            </w:pPr>
            <w:r>
              <w:rPr>
                <w:rFonts w:hAnsi="方正黑体_GBK" w:cs="方正黑体_GBK" w:hint="eastAsia"/>
                <w:b/>
                <w:bCs/>
                <w:sz w:val="15"/>
                <w:szCs w:val="15"/>
              </w:rPr>
              <w:t>电子渠道</w:t>
            </w:r>
          </w:p>
        </w:tc>
      </w:tr>
      <w:tr w:rsidR="00833B6B">
        <w:tc>
          <w:tcPr>
            <w:tcW w:w="9287" w:type="dxa"/>
            <w:tcBorders>
              <w:top w:val="single" w:sz="4" w:space="0" w:color="auto"/>
              <w:left w:val="single" w:sz="4" w:space="0" w:color="auto"/>
              <w:bottom w:val="single" w:sz="4" w:space="0" w:color="auto"/>
              <w:right w:val="single" w:sz="4" w:space="0" w:color="auto"/>
              <w:tl2br w:val="nil"/>
              <w:tr2bl w:val="nil"/>
            </w:tcBorders>
          </w:tcPr>
          <w:p w:rsidR="00833B6B" w:rsidRDefault="00A3344E">
            <w:pPr>
              <w:widowControl/>
              <w:spacing w:line="200" w:lineRule="exact"/>
              <w:ind w:firstLineChars="200" w:firstLine="300"/>
              <w:rPr>
                <w:rFonts w:hAnsi="方正黑体_GBK" w:cs="方正黑体_GBK"/>
                <w:sz w:val="15"/>
                <w:szCs w:val="15"/>
              </w:rPr>
            </w:pPr>
            <w:r>
              <w:rPr>
                <w:rFonts w:hAnsi="方正黑体_GBK" w:cs="方正黑体_GBK" w:hint="eastAsia"/>
                <w:b/>
                <w:color w:val="3D3D3D"/>
                <w:kern w:val="0"/>
                <w:sz w:val="15"/>
                <w:szCs w:val="15"/>
                <w:u w:val="single"/>
              </w:rPr>
              <w:t>如投资者通过电子渠道（包括但不限于网上银行、手机银行或官方网站等）购买本理财产品的，</w:t>
            </w:r>
            <w:proofErr w:type="gramStart"/>
            <w:r>
              <w:rPr>
                <w:rFonts w:hAnsi="方正黑体_GBK" w:cs="方正黑体_GBK" w:hint="eastAsia"/>
                <w:spacing w:val="10"/>
                <w:sz w:val="15"/>
                <w:szCs w:val="15"/>
              </w:rPr>
              <w:t>本风险</w:t>
            </w:r>
            <w:proofErr w:type="gramEnd"/>
            <w:r>
              <w:rPr>
                <w:rFonts w:hAnsi="方正黑体_GBK" w:cs="方正黑体_GBK" w:hint="eastAsia"/>
                <w:spacing w:val="10"/>
                <w:sz w:val="15"/>
                <w:szCs w:val="15"/>
              </w:rPr>
              <w:t>揭示书以数据电文形式订立，</w:t>
            </w:r>
            <w:r>
              <w:rPr>
                <w:rFonts w:hAnsi="方正黑体_GBK" w:cs="方正黑体_GBK"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Ansi="方正黑体_GBK" w:cs="方正黑体_GBK" w:hint="eastAsia"/>
                <w:spacing w:val="10"/>
                <w:sz w:val="15"/>
                <w:szCs w:val="15"/>
              </w:rPr>
              <w:t>电子渠道所生成和保留记载的相关电子数据及交易记录以及南银理财、销售机构、托管机构制作或保留的相关电子及纸质单据、凭证、记录等相关资料，构成有</w:t>
            </w:r>
            <w:r>
              <w:rPr>
                <w:rFonts w:hAnsi="方正黑体_GBK" w:cs="方正黑体_GBK" w:hint="eastAsia"/>
                <w:spacing w:val="10"/>
                <w:sz w:val="15"/>
                <w:szCs w:val="15"/>
              </w:rPr>
              <w:t>效证明投资者与南银理财双方之间权利义务关系的确定证据，投资者无条件认可电子数据的有效性和证据效力。</w:t>
            </w:r>
          </w:p>
        </w:tc>
      </w:tr>
    </w:tbl>
    <w:p w:rsidR="00833B6B" w:rsidRDefault="00A3344E">
      <w:pPr>
        <w:rPr>
          <w:rFonts w:hAnsi="方正黑体_GBK" w:cs="方正黑体_GBK"/>
        </w:rPr>
      </w:pPr>
      <w:r>
        <w:rPr>
          <w:rFonts w:hAnsi="方正黑体_GBK" w:cs="方正黑体_GBK" w:hint="eastAsia"/>
        </w:rPr>
        <w:br w:type="page"/>
      </w:r>
    </w:p>
    <w:p w:rsidR="00833B6B" w:rsidRDefault="00A3344E">
      <w:pPr>
        <w:pStyle w:val="Normalb8ede314"/>
        <w:spacing w:line="0" w:lineRule="atLeast"/>
        <w:jc w:val="center"/>
        <w:rPr>
          <w:rFonts w:hAnsi="方正黑体_GBK" w:cs="方正黑体_GBK"/>
          <w:b/>
          <w:bCs/>
          <w:kern w:val="0"/>
          <w:sz w:val="24"/>
          <w:szCs w:val="24"/>
        </w:rPr>
      </w:pPr>
      <w:r>
        <w:rPr>
          <w:rFonts w:hAnsi="方正黑体_GBK" w:cs="方正黑体_GBK" w:hint="eastAsia"/>
          <w:b/>
          <w:bCs/>
          <w:kern w:val="0"/>
          <w:sz w:val="24"/>
          <w:szCs w:val="15"/>
        </w:rPr>
        <w:lastRenderedPageBreak/>
        <w:t xml:space="preserve"> </w:t>
      </w:r>
      <w:r>
        <w:rPr>
          <w:rFonts w:hAnsi="方正黑体_GBK" w:cs="方正黑体_GBK" w:hint="eastAsia"/>
          <w:b/>
          <w:bCs/>
          <w:kern w:val="0"/>
          <w:sz w:val="24"/>
          <w:szCs w:val="24"/>
        </w:rPr>
        <w:t>理财产品说明书</w:t>
      </w:r>
    </w:p>
    <w:p w:rsidR="00833B6B" w:rsidRDefault="00A3344E">
      <w:pPr>
        <w:pStyle w:val="Normalb8ede314"/>
        <w:spacing w:line="0" w:lineRule="atLeast"/>
        <w:jc w:val="center"/>
        <w:rPr>
          <w:rFonts w:hAnsi="方正黑体_GBK" w:cs="方正黑体_GBK"/>
          <w:b/>
          <w:bCs/>
          <w:i/>
          <w:iCs/>
          <w:kern w:val="0"/>
          <w:sz w:val="24"/>
          <w:szCs w:val="24"/>
          <w:u w:val="single"/>
        </w:rPr>
      </w:pPr>
      <w:r>
        <w:rPr>
          <w:rFonts w:hAnsi="方正黑体_GBK" w:cs="方正黑体_GBK" w:hint="eastAsia"/>
          <w:b/>
          <w:bCs/>
          <w:i/>
          <w:iCs/>
          <w:kern w:val="0"/>
          <w:sz w:val="24"/>
          <w:szCs w:val="24"/>
          <w:u w:val="single"/>
        </w:rPr>
        <w:t>“理财非存款、产品有风险、投资须谨慎”！</w:t>
      </w:r>
    </w:p>
    <w:p w:rsidR="00833B6B" w:rsidRDefault="00A3344E">
      <w:pPr>
        <w:pStyle w:val="NormalWeb89f8fce9"/>
        <w:spacing w:line="200" w:lineRule="exact"/>
        <w:ind w:firstLine="0"/>
        <w:jc w:val="both"/>
        <w:rPr>
          <w:rFonts w:hAnsi="方正黑体_GBK" w:cs="方正黑体_GBK"/>
          <w:b/>
          <w:color w:val="3D3D3D"/>
          <w:sz w:val="15"/>
          <w:szCs w:val="15"/>
        </w:rPr>
      </w:pPr>
      <w:r>
        <w:rPr>
          <w:rFonts w:hAnsi="方正黑体_GBK" w:cs="方正黑体_GBK" w:hint="eastAsia"/>
          <w:b/>
          <w:color w:val="3D3D3D"/>
          <w:sz w:val="15"/>
          <w:szCs w:val="15"/>
        </w:rPr>
        <w:t>第一条</w:t>
      </w:r>
      <w:r>
        <w:rPr>
          <w:rFonts w:hAnsi="方正黑体_GBK" w:cs="方正黑体_GBK" w:hint="eastAsia"/>
          <w:b/>
          <w:color w:val="3D3D3D"/>
          <w:sz w:val="15"/>
          <w:szCs w:val="15"/>
        </w:rPr>
        <w:t xml:space="preserve">  </w:t>
      </w:r>
      <w:r>
        <w:rPr>
          <w:rFonts w:hAnsi="方正黑体_GBK" w:cs="方正黑体_GBK" w:hint="eastAsia"/>
          <w:b/>
          <w:color w:val="3D3D3D"/>
          <w:sz w:val="15"/>
          <w:szCs w:val="15"/>
        </w:rPr>
        <w:t>产品基本要素</w:t>
      </w:r>
    </w:p>
    <w:tbl>
      <w:tblPr>
        <w:tblW w:w="102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945"/>
        <w:gridCol w:w="8354"/>
      </w:tblGrid>
      <w:tr w:rsidR="00833B6B">
        <w:trPr>
          <w:trHeight w:val="23"/>
          <w:jc w:val="center"/>
        </w:trPr>
        <w:tc>
          <w:tcPr>
            <w:tcW w:w="1945" w:type="dxa"/>
            <w:tcBorders>
              <w:top w:val="single" w:sz="4" w:space="0" w:color="auto"/>
              <w:left w:val="single" w:sz="4" w:space="0" w:color="auto"/>
              <w:bottom w:val="single" w:sz="2"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产品名称</w:t>
            </w:r>
          </w:p>
        </w:tc>
        <w:tc>
          <w:tcPr>
            <w:tcW w:w="8354" w:type="dxa"/>
            <w:tcBorders>
              <w:top w:val="single" w:sz="4" w:space="0" w:color="auto"/>
              <w:left w:val="nil"/>
              <w:bottom w:val="single" w:sz="2"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南银理财珠联璧合悦稳（最低持有</w:t>
            </w:r>
            <w:r>
              <w:rPr>
                <w:rFonts w:hAnsi="方正黑体_GBK" w:cs="方正黑体_GBK" w:hint="eastAsia"/>
                <w:kern w:val="0"/>
                <w:sz w:val="18"/>
                <w:szCs w:val="18"/>
              </w:rPr>
              <w:t>28</w:t>
            </w:r>
            <w:r>
              <w:rPr>
                <w:rFonts w:hAnsi="方正黑体_GBK" w:cs="方正黑体_GBK" w:hint="eastAsia"/>
                <w:kern w:val="0"/>
                <w:sz w:val="18"/>
                <w:szCs w:val="18"/>
              </w:rPr>
              <w:t>天）公募人民币理财产品</w:t>
            </w:r>
          </w:p>
        </w:tc>
      </w:tr>
      <w:tr w:rsidR="00833B6B">
        <w:trPr>
          <w:trHeight w:val="23"/>
          <w:jc w:val="center"/>
        </w:trPr>
        <w:tc>
          <w:tcPr>
            <w:tcW w:w="1945" w:type="dxa"/>
            <w:tcBorders>
              <w:top w:val="single" w:sz="2" w:space="0" w:color="auto"/>
              <w:left w:val="single" w:sz="2" w:space="0" w:color="auto"/>
              <w:bottom w:val="single" w:sz="2" w:space="0" w:color="auto"/>
              <w:right w:val="single" w:sz="2" w:space="0" w:color="auto"/>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产品类型</w:t>
            </w:r>
          </w:p>
        </w:tc>
        <w:tc>
          <w:tcPr>
            <w:tcW w:w="8354" w:type="dxa"/>
            <w:tcBorders>
              <w:top w:val="single" w:sz="2" w:space="0" w:color="auto"/>
              <w:left w:val="single" w:sz="2" w:space="0" w:color="auto"/>
              <w:bottom w:val="single" w:sz="2" w:space="0" w:color="auto"/>
              <w:right w:val="single" w:sz="2" w:space="0" w:color="auto"/>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开放式、固定收益类、公募、净值型</w:t>
            </w:r>
          </w:p>
        </w:tc>
      </w:tr>
      <w:tr w:rsidR="00833B6B">
        <w:trPr>
          <w:trHeight w:val="23"/>
          <w:jc w:val="center"/>
        </w:trPr>
        <w:tc>
          <w:tcPr>
            <w:tcW w:w="1945" w:type="dxa"/>
            <w:tcBorders>
              <w:top w:val="single" w:sz="2" w:space="0" w:color="auto"/>
              <w:left w:val="single" w:sz="2" w:space="0" w:color="auto"/>
              <w:bottom w:val="single" w:sz="2" w:space="0" w:color="auto"/>
              <w:right w:val="single" w:sz="2" w:space="0" w:color="auto"/>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募集方式</w:t>
            </w:r>
          </w:p>
        </w:tc>
        <w:tc>
          <w:tcPr>
            <w:tcW w:w="8354" w:type="dxa"/>
            <w:tcBorders>
              <w:top w:val="single" w:sz="2" w:space="0" w:color="auto"/>
              <w:left w:val="single" w:sz="2" w:space="0" w:color="auto"/>
              <w:bottom w:val="single" w:sz="2" w:space="0" w:color="auto"/>
              <w:right w:val="single" w:sz="2" w:space="0" w:color="auto"/>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公开募集</w:t>
            </w:r>
          </w:p>
        </w:tc>
      </w:tr>
      <w:tr w:rsidR="00833B6B">
        <w:trPr>
          <w:trHeight w:val="23"/>
          <w:jc w:val="center"/>
        </w:trPr>
        <w:tc>
          <w:tcPr>
            <w:tcW w:w="1945" w:type="dxa"/>
            <w:tcBorders>
              <w:top w:val="single" w:sz="2"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理财产品代码</w:t>
            </w:r>
          </w:p>
        </w:tc>
        <w:tc>
          <w:tcPr>
            <w:tcW w:w="8354" w:type="dxa"/>
            <w:tcBorders>
              <w:top w:val="single" w:sz="2" w:space="0" w:color="auto"/>
              <w:left w:val="nil"/>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ZZ700322300921</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产品登记编码</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Z7003223000077(</w:t>
            </w:r>
            <w:r>
              <w:rPr>
                <w:rFonts w:hAnsi="方正黑体_GBK" w:cs="方正黑体_GBK" w:hint="eastAsia"/>
                <w:kern w:val="0"/>
                <w:sz w:val="18"/>
                <w:szCs w:val="18"/>
              </w:rPr>
              <w:t>投资者可依据该编码在中国</w:t>
            </w:r>
            <w:proofErr w:type="gramStart"/>
            <w:r>
              <w:rPr>
                <w:rFonts w:hAnsi="方正黑体_GBK" w:cs="方正黑体_GBK" w:hint="eastAsia"/>
                <w:kern w:val="0"/>
                <w:sz w:val="18"/>
                <w:szCs w:val="18"/>
              </w:rPr>
              <w:t>理财网</w:t>
            </w:r>
            <w:proofErr w:type="gramEnd"/>
            <w:r>
              <w:rPr>
                <w:rFonts w:hAnsi="方正黑体_GBK" w:cs="方正黑体_GBK" w:hint="eastAsia"/>
                <w:kern w:val="0"/>
                <w:sz w:val="18"/>
                <w:szCs w:val="18"/>
              </w:rPr>
              <w:t>www.chinawealth.com.cn</w:t>
            </w:r>
            <w:r>
              <w:rPr>
                <w:rFonts w:hAnsi="方正黑体_GBK" w:cs="方正黑体_GBK" w:hint="eastAsia"/>
                <w:kern w:val="0"/>
                <w:sz w:val="18"/>
                <w:szCs w:val="18"/>
              </w:rPr>
              <w:t>查询理财产品相关信息）</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内部销售代码</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A</w:t>
            </w:r>
            <w:r>
              <w:rPr>
                <w:rFonts w:hAnsi="方正黑体_GBK" w:cs="方正黑体_GBK" w:hint="eastAsia"/>
                <w:sz w:val="18"/>
                <w:szCs w:val="18"/>
              </w:rPr>
              <w:t>份额：</w:t>
            </w:r>
            <w:r>
              <w:rPr>
                <w:rFonts w:hAnsi="方正黑体_GBK" w:cs="方正黑体_GBK" w:hint="eastAsia"/>
                <w:sz w:val="18"/>
                <w:szCs w:val="18"/>
              </w:rPr>
              <w:t>A32009</w:t>
            </w:r>
          </w:p>
          <w:p w:rsidR="00833B6B" w:rsidRDefault="00A3344E">
            <w:pPr>
              <w:spacing w:line="200" w:lineRule="exact"/>
              <w:rPr>
                <w:rFonts w:hAnsi="方正黑体_GBK" w:cs="方正黑体_GBK"/>
              </w:rPr>
            </w:pPr>
            <w:r>
              <w:rPr>
                <w:rFonts w:hAnsi="方正黑体_GBK" w:cs="方正黑体_GBK" w:hint="eastAsia"/>
                <w:sz w:val="18"/>
                <w:szCs w:val="18"/>
              </w:rPr>
              <w:t>B</w:t>
            </w:r>
            <w:r>
              <w:rPr>
                <w:rFonts w:hAnsi="方正黑体_GBK" w:cs="方正黑体_GBK" w:hint="eastAsia"/>
                <w:sz w:val="18"/>
                <w:szCs w:val="18"/>
              </w:rPr>
              <w:t>份额：</w:t>
            </w:r>
            <w:r>
              <w:rPr>
                <w:rFonts w:hAnsi="方正黑体_GBK" w:cs="方正黑体_GBK" w:hint="eastAsia"/>
                <w:sz w:val="18"/>
                <w:szCs w:val="18"/>
              </w:rPr>
              <w:t>A32010</w:t>
            </w:r>
          </w:p>
          <w:p w:rsidR="00833B6B" w:rsidRDefault="00A3344E">
            <w:pPr>
              <w:spacing w:line="200" w:lineRule="exact"/>
              <w:rPr>
                <w:rFonts w:hAnsi="方正黑体_GBK" w:cs="方正黑体_GBK"/>
              </w:rPr>
            </w:pPr>
            <w:r>
              <w:rPr>
                <w:rFonts w:hAnsi="方正黑体_GBK" w:cs="方正黑体_GBK" w:hint="eastAsia"/>
                <w:sz w:val="18"/>
                <w:szCs w:val="18"/>
              </w:rPr>
              <w:t>C</w:t>
            </w:r>
            <w:r>
              <w:rPr>
                <w:rFonts w:hAnsi="方正黑体_GBK" w:cs="方正黑体_GBK" w:hint="eastAsia"/>
                <w:sz w:val="18"/>
                <w:szCs w:val="18"/>
              </w:rPr>
              <w:t>份额：</w:t>
            </w:r>
            <w:r>
              <w:rPr>
                <w:rFonts w:hAnsi="方正黑体_GBK" w:cs="方正黑体_GBK" w:hint="eastAsia"/>
                <w:sz w:val="18"/>
                <w:szCs w:val="18"/>
              </w:rPr>
              <w:t>A32029</w:t>
            </w:r>
          </w:p>
          <w:p w:rsidR="00833B6B" w:rsidRDefault="00A3344E">
            <w:pPr>
              <w:spacing w:line="200" w:lineRule="exact"/>
              <w:rPr>
                <w:rFonts w:hAnsi="方正黑体_GBK" w:cs="方正黑体_GBK"/>
              </w:rPr>
            </w:pPr>
            <w:r>
              <w:rPr>
                <w:rFonts w:hAnsi="方正黑体_GBK" w:cs="方正黑体_GBK" w:hint="eastAsia"/>
                <w:sz w:val="18"/>
                <w:szCs w:val="18"/>
              </w:rPr>
              <w:t>D</w:t>
            </w:r>
            <w:r>
              <w:rPr>
                <w:rFonts w:hAnsi="方正黑体_GBK" w:cs="方正黑体_GBK" w:hint="eastAsia"/>
                <w:sz w:val="18"/>
                <w:szCs w:val="18"/>
              </w:rPr>
              <w:t>份额：</w:t>
            </w:r>
            <w:r>
              <w:rPr>
                <w:rFonts w:hAnsi="方正黑体_GBK" w:cs="方正黑体_GBK" w:hint="eastAsia"/>
                <w:sz w:val="18"/>
                <w:szCs w:val="18"/>
              </w:rPr>
              <w:t>A32032</w:t>
            </w:r>
          </w:p>
          <w:p w:rsidR="00833B6B" w:rsidRDefault="00A3344E">
            <w:pPr>
              <w:spacing w:line="200" w:lineRule="exact"/>
              <w:rPr>
                <w:rFonts w:hAnsi="方正黑体_GBK" w:cs="方正黑体_GBK"/>
              </w:rPr>
            </w:pPr>
            <w:r>
              <w:rPr>
                <w:rFonts w:hAnsi="方正黑体_GBK" w:cs="方正黑体_GBK" w:hint="eastAsia"/>
                <w:b/>
                <w:sz w:val="18"/>
                <w:szCs w:val="18"/>
              </w:rPr>
              <w:t>注：本产品不同份额针对不同的销售机构及客群进行销售，设置有不同的销售费和管理费，具体客群划分标准以销售机构为准</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理财期限</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widowControl/>
              <w:spacing w:line="200" w:lineRule="exact"/>
              <w:jc w:val="left"/>
              <w:textAlignment w:val="center"/>
              <w:rPr>
                <w:rFonts w:hAnsi="方正黑体_GBK" w:cs="方正黑体_GBK"/>
                <w:kern w:val="0"/>
                <w:sz w:val="18"/>
                <w:szCs w:val="18"/>
              </w:rPr>
            </w:pPr>
            <w:r>
              <w:rPr>
                <w:rFonts w:hAnsi="方正黑体_GBK" w:cs="方正黑体_GBK" w:hint="eastAsia"/>
                <w:sz w:val="18"/>
                <w:szCs w:val="18"/>
              </w:rPr>
              <w:t>10</w:t>
            </w:r>
            <w:r>
              <w:rPr>
                <w:rFonts w:hAnsi="方正黑体_GBK" w:cs="方正黑体_GBK" w:hint="eastAsia"/>
                <w:sz w:val="18"/>
                <w:szCs w:val="18"/>
              </w:rPr>
              <w:t>年</w:t>
            </w:r>
            <w:r>
              <w:rPr>
                <w:rFonts w:hAnsi="方正黑体_GBK" w:cs="方正黑体_GBK" w:hint="eastAsia"/>
                <w:kern w:val="0"/>
                <w:sz w:val="18"/>
                <w:szCs w:val="18"/>
              </w:rPr>
              <w:t>（管理人有权提前终止或延期终止）</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销售区域</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全国</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币种</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widowControl/>
              <w:spacing w:line="200" w:lineRule="exact"/>
              <w:jc w:val="left"/>
              <w:textAlignment w:val="center"/>
              <w:rPr>
                <w:rFonts w:hAnsi="方正黑体_GBK" w:cs="方正黑体_GBK"/>
                <w:kern w:val="0"/>
                <w:sz w:val="18"/>
                <w:szCs w:val="18"/>
              </w:rPr>
            </w:pPr>
            <w:r>
              <w:rPr>
                <w:rFonts w:hAnsi="方正黑体_GBK" w:cs="方正黑体_GBK" w:hint="eastAsia"/>
                <w:kern w:val="0"/>
                <w:sz w:val="18"/>
                <w:szCs w:val="18"/>
              </w:rPr>
              <w:t>人民币</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产品规模</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本理财产品规模上限为</w:t>
            </w:r>
            <w:r>
              <w:rPr>
                <w:rFonts w:hAnsi="方正黑体_GBK" w:cs="方正黑体_GBK" w:hint="eastAsia"/>
                <w:sz w:val="18"/>
                <w:szCs w:val="18"/>
              </w:rPr>
              <w:t>1000</w:t>
            </w:r>
            <w:r>
              <w:rPr>
                <w:rFonts w:hAnsi="方正黑体_GBK" w:cs="方正黑体_GBK" w:hint="eastAsia"/>
                <w:sz w:val="18"/>
                <w:szCs w:val="18"/>
              </w:rPr>
              <w:t>亿元。理财产品管理人有权对上述规模上限根据实际业务需求进行调整。</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风险等级</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根据理财产品管理人对理财产品的内部风险评估，本理财产品风险等级为</w:t>
            </w:r>
            <w:r>
              <w:rPr>
                <w:rFonts w:hAnsi="方正黑体_GBK" w:cs="方正黑体_GBK" w:hint="eastAsia"/>
                <w:b/>
                <w:sz w:val="18"/>
                <w:szCs w:val="18"/>
              </w:rPr>
              <w:t>中低风险</w:t>
            </w:r>
            <w:r>
              <w:rPr>
                <w:rFonts w:hAnsi="方正黑体_GBK" w:cs="方正黑体_GBK" w:hint="eastAsia"/>
                <w:sz w:val="18"/>
                <w:szCs w:val="18"/>
              </w:rPr>
              <w:t>（</w:t>
            </w:r>
            <w:proofErr w:type="gramStart"/>
            <w:r>
              <w:rPr>
                <w:rFonts w:hAnsi="方正黑体_GBK" w:cs="方正黑体_GBK" w:hint="eastAsia"/>
                <w:sz w:val="18"/>
                <w:szCs w:val="18"/>
              </w:rPr>
              <w:t>本风险</w:t>
            </w:r>
            <w:proofErr w:type="gramEnd"/>
            <w:r>
              <w:rPr>
                <w:rFonts w:hAnsi="方正黑体_GBK" w:cs="方正黑体_GBK" w:hint="eastAsia"/>
                <w:sz w:val="18"/>
                <w:szCs w:val="18"/>
              </w:rPr>
              <w:t>等级为管理人内部风险评估结果，仅供参考）。</w:t>
            </w:r>
          </w:p>
          <w:p w:rsidR="00833B6B" w:rsidRDefault="00A3344E">
            <w:pPr>
              <w:spacing w:line="200" w:lineRule="exact"/>
              <w:rPr>
                <w:rFonts w:hAnsi="方正黑体_GBK" w:cs="方正黑体_GBK"/>
              </w:rPr>
            </w:pPr>
            <w:r>
              <w:rPr>
                <w:rFonts w:hAnsi="方正黑体_GBK" w:cs="方正黑体_GBK" w:hint="eastAsia"/>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发行对象</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color w:val="000000"/>
                <w:sz w:val="18"/>
                <w:szCs w:val="18"/>
              </w:rPr>
              <w:t>符合相关法律法规、监管规定要求的，经销售机构的风险承受能力评估体系评定为适合的个人和机构投资者。</w:t>
            </w:r>
          </w:p>
          <w:p w:rsidR="00833B6B" w:rsidRDefault="00A3344E">
            <w:pPr>
              <w:spacing w:line="200" w:lineRule="exact"/>
              <w:rPr>
                <w:rFonts w:hAnsi="方正黑体_GBK" w:cs="方正黑体_GBK"/>
              </w:rPr>
            </w:pPr>
            <w:r>
              <w:rPr>
                <w:rFonts w:hAnsi="方正黑体_GBK" w:cs="方正黑体_GBK" w:hint="eastAsia"/>
                <w:sz w:val="18"/>
                <w:szCs w:val="18"/>
              </w:rPr>
              <w:t>A</w:t>
            </w:r>
            <w:r>
              <w:rPr>
                <w:rFonts w:hAnsi="方正黑体_GBK" w:cs="方正黑体_GBK" w:hint="eastAsia"/>
                <w:sz w:val="18"/>
                <w:szCs w:val="18"/>
              </w:rPr>
              <w:t>份额：面向所有销售机构的所有客户销售</w:t>
            </w:r>
          </w:p>
          <w:p w:rsidR="00833B6B" w:rsidRDefault="00A3344E">
            <w:pPr>
              <w:spacing w:line="200" w:lineRule="exact"/>
              <w:rPr>
                <w:rFonts w:hAnsi="方正黑体_GBK" w:cs="方正黑体_GBK"/>
              </w:rPr>
            </w:pPr>
            <w:r>
              <w:rPr>
                <w:rFonts w:hAnsi="方正黑体_GBK" w:cs="方正黑体_GBK" w:hint="eastAsia"/>
                <w:sz w:val="18"/>
                <w:szCs w:val="18"/>
              </w:rPr>
              <w:t>B</w:t>
            </w:r>
            <w:r>
              <w:rPr>
                <w:rFonts w:hAnsi="方正黑体_GBK" w:cs="方正黑体_GBK" w:hint="eastAsia"/>
                <w:sz w:val="18"/>
                <w:szCs w:val="18"/>
              </w:rPr>
              <w:t>份额：面向南京银行私行客户、钻石客户、新晋私行客户、新晋钻石客户及南京银行认定的其他符合标准的客户销售</w:t>
            </w:r>
          </w:p>
          <w:p w:rsidR="00833B6B" w:rsidRDefault="00A3344E">
            <w:pPr>
              <w:spacing w:line="200" w:lineRule="exact"/>
              <w:rPr>
                <w:rFonts w:hAnsi="方正黑体_GBK" w:cs="方正黑体_GBK"/>
              </w:rPr>
            </w:pPr>
            <w:r>
              <w:rPr>
                <w:rFonts w:hAnsi="方正黑体_GBK" w:cs="方正黑体_GBK" w:hint="eastAsia"/>
                <w:sz w:val="18"/>
                <w:szCs w:val="18"/>
              </w:rPr>
              <w:t>C</w:t>
            </w:r>
            <w:r>
              <w:rPr>
                <w:rFonts w:hAnsi="方正黑体_GBK" w:cs="方正黑体_GBK" w:hint="eastAsia"/>
                <w:sz w:val="18"/>
                <w:szCs w:val="18"/>
              </w:rPr>
              <w:t>份额：</w:t>
            </w:r>
            <w:proofErr w:type="gramStart"/>
            <w:r>
              <w:rPr>
                <w:rFonts w:hAnsi="方正黑体_GBK" w:cs="方正黑体_GBK" w:hint="eastAsia"/>
                <w:sz w:val="18"/>
                <w:szCs w:val="18"/>
              </w:rPr>
              <w:t>面向网商</w:t>
            </w:r>
            <w:proofErr w:type="gramEnd"/>
            <w:r>
              <w:rPr>
                <w:rFonts w:hAnsi="方正黑体_GBK" w:cs="方正黑体_GBK" w:hint="eastAsia"/>
                <w:sz w:val="18"/>
                <w:szCs w:val="18"/>
              </w:rPr>
              <w:t>银行客户</w:t>
            </w:r>
          </w:p>
          <w:p w:rsidR="00833B6B" w:rsidRDefault="00A3344E">
            <w:pPr>
              <w:spacing w:line="200" w:lineRule="exact"/>
              <w:rPr>
                <w:rFonts w:hAnsi="方正黑体_GBK" w:cs="方正黑体_GBK"/>
              </w:rPr>
            </w:pPr>
            <w:r>
              <w:rPr>
                <w:rFonts w:hAnsi="方正黑体_GBK" w:cs="方正黑体_GBK" w:hint="eastAsia"/>
                <w:sz w:val="18"/>
                <w:szCs w:val="18"/>
              </w:rPr>
              <w:t>D</w:t>
            </w:r>
            <w:r>
              <w:rPr>
                <w:rFonts w:hAnsi="方正黑体_GBK" w:cs="方正黑体_GBK" w:hint="eastAsia"/>
                <w:sz w:val="18"/>
                <w:szCs w:val="18"/>
              </w:rPr>
              <w:t>份额：面向南京银行股份有限公司特邀客户</w:t>
            </w:r>
          </w:p>
          <w:p w:rsidR="00833B6B" w:rsidRDefault="00A3344E">
            <w:pPr>
              <w:spacing w:line="200" w:lineRule="exact"/>
              <w:rPr>
                <w:rFonts w:hAnsi="方正黑体_GBK" w:cs="方正黑体_GBK"/>
              </w:rPr>
            </w:pPr>
            <w:r>
              <w:rPr>
                <w:rFonts w:hAnsi="方正黑体_GBK" w:cs="方正黑体_GBK" w:hint="eastAsia"/>
                <w:b/>
                <w:sz w:val="18"/>
                <w:szCs w:val="18"/>
              </w:rPr>
              <w:t>注：本产品不同份额针对不同的销售机构及客群进行销售，设置有不同的销售费和管理费，具体客群划分标准以销售机构为准</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投资起点金额、递增金额</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A</w:t>
            </w:r>
            <w:r>
              <w:rPr>
                <w:rFonts w:hAnsi="方正黑体_GBK" w:cs="方正黑体_GBK" w:hint="eastAsia"/>
                <w:sz w:val="18"/>
                <w:szCs w:val="18"/>
              </w:rPr>
              <w:t>份额</w:t>
            </w:r>
            <w:r>
              <w:rPr>
                <w:rFonts w:hAnsi="方正黑体_GBK" w:cs="方正黑体_GBK" w:hint="eastAsia"/>
                <w:sz w:val="18"/>
                <w:szCs w:val="18"/>
              </w:rPr>
              <w:t>/B</w:t>
            </w:r>
            <w:r>
              <w:rPr>
                <w:rFonts w:hAnsi="方正黑体_GBK" w:cs="方正黑体_GBK" w:hint="eastAsia"/>
                <w:sz w:val="18"/>
                <w:szCs w:val="18"/>
              </w:rPr>
              <w:t>份额</w:t>
            </w:r>
            <w:r>
              <w:rPr>
                <w:rFonts w:hAnsi="方正黑体_GBK" w:cs="方正黑体_GBK" w:hint="eastAsia"/>
                <w:sz w:val="18"/>
                <w:szCs w:val="18"/>
              </w:rPr>
              <w:t>/C</w:t>
            </w:r>
            <w:r>
              <w:rPr>
                <w:rFonts w:hAnsi="方正黑体_GBK" w:cs="方正黑体_GBK" w:hint="eastAsia"/>
                <w:sz w:val="18"/>
                <w:szCs w:val="18"/>
              </w:rPr>
              <w:t>份额：</w:t>
            </w:r>
          </w:p>
          <w:p w:rsidR="00833B6B" w:rsidRDefault="00A3344E">
            <w:pPr>
              <w:spacing w:line="200" w:lineRule="exact"/>
              <w:rPr>
                <w:rFonts w:hAnsi="方正黑体_GBK" w:cs="方正黑体_GBK"/>
              </w:rPr>
            </w:pPr>
            <w:r>
              <w:rPr>
                <w:rFonts w:hAnsi="方正黑体_GBK" w:cs="方正黑体_GBK" w:hint="eastAsia"/>
                <w:sz w:val="18"/>
                <w:szCs w:val="18"/>
              </w:rPr>
              <w:t>个人投资者投资起点金额</w:t>
            </w:r>
            <w:r>
              <w:rPr>
                <w:rFonts w:hAnsi="方正黑体_GBK" w:cs="方正黑体_GBK" w:hint="eastAsia"/>
                <w:sz w:val="18"/>
                <w:szCs w:val="18"/>
              </w:rPr>
              <w:t>1</w:t>
            </w:r>
            <w:r>
              <w:rPr>
                <w:rFonts w:hAnsi="方正黑体_GBK" w:cs="方正黑体_GBK" w:hint="eastAsia"/>
                <w:sz w:val="18"/>
                <w:szCs w:val="18"/>
              </w:rPr>
              <w:t>元人民币，以</w:t>
            </w:r>
            <w:r>
              <w:rPr>
                <w:rFonts w:hAnsi="方正黑体_GBK" w:cs="方正黑体_GBK" w:hint="eastAsia"/>
                <w:sz w:val="18"/>
                <w:szCs w:val="18"/>
              </w:rPr>
              <w:t>1</w:t>
            </w:r>
            <w:r>
              <w:rPr>
                <w:rFonts w:hAnsi="方正黑体_GBK" w:cs="方正黑体_GBK" w:hint="eastAsia"/>
                <w:sz w:val="18"/>
                <w:szCs w:val="18"/>
              </w:rPr>
              <w:t>元的整数</w:t>
            </w:r>
            <w:proofErr w:type="gramStart"/>
            <w:r>
              <w:rPr>
                <w:rFonts w:hAnsi="方正黑体_GBK" w:cs="方正黑体_GBK" w:hint="eastAsia"/>
                <w:sz w:val="18"/>
                <w:szCs w:val="18"/>
              </w:rPr>
              <w:t>倍</w:t>
            </w:r>
            <w:proofErr w:type="gramEnd"/>
            <w:r>
              <w:rPr>
                <w:rFonts w:hAnsi="方正黑体_GBK" w:cs="方正黑体_GBK" w:hint="eastAsia"/>
                <w:sz w:val="18"/>
                <w:szCs w:val="18"/>
              </w:rPr>
              <w:t>递增；</w:t>
            </w:r>
          </w:p>
          <w:p w:rsidR="00833B6B" w:rsidRDefault="00A3344E">
            <w:pPr>
              <w:spacing w:line="200" w:lineRule="exact"/>
              <w:rPr>
                <w:rFonts w:hAnsi="方正黑体_GBK" w:cs="方正黑体_GBK"/>
              </w:rPr>
            </w:pPr>
            <w:r>
              <w:rPr>
                <w:rFonts w:hAnsi="方正黑体_GBK" w:cs="方正黑体_GBK" w:hint="eastAsia"/>
                <w:sz w:val="18"/>
                <w:szCs w:val="18"/>
              </w:rPr>
              <w:t>机构投资者投资起点金额</w:t>
            </w:r>
            <w:r>
              <w:rPr>
                <w:rFonts w:hAnsi="方正黑体_GBK" w:cs="方正黑体_GBK" w:hint="eastAsia"/>
                <w:sz w:val="18"/>
                <w:szCs w:val="18"/>
              </w:rPr>
              <w:t>1</w:t>
            </w:r>
            <w:r>
              <w:rPr>
                <w:rFonts w:hAnsi="方正黑体_GBK" w:cs="方正黑体_GBK" w:hint="eastAsia"/>
                <w:sz w:val="18"/>
                <w:szCs w:val="18"/>
              </w:rPr>
              <w:t>元人民币，以</w:t>
            </w:r>
            <w:r>
              <w:rPr>
                <w:rFonts w:hAnsi="方正黑体_GBK" w:cs="方正黑体_GBK" w:hint="eastAsia"/>
                <w:sz w:val="18"/>
                <w:szCs w:val="18"/>
              </w:rPr>
              <w:t>1</w:t>
            </w:r>
            <w:r>
              <w:rPr>
                <w:rFonts w:hAnsi="方正黑体_GBK" w:cs="方正黑体_GBK" w:hint="eastAsia"/>
                <w:sz w:val="18"/>
                <w:szCs w:val="18"/>
              </w:rPr>
              <w:t>元的整数</w:t>
            </w:r>
            <w:proofErr w:type="gramStart"/>
            <w:r>
              <w:rPr>
                <w:rFonts w:hAnsi="方正黑体_GBK" w:cs="方正黑体_GBK" w:hint="eastAsia"/>
                <w:sz w:val="18"/>
                <w:szCs w:val="18"/>
              </w:rPr>
              <w:t>倍</w:t>
            </w:r>
            <w:proofErr w:type="gramEnd"/>
            <w:r>
              <w:rPr>
                <w:rFonts w:hAnsi="方正黑体_GBK" w:cs="方正黑体_GBK" w:hint="eastAsia"/>
                <w:sz w:val="18"/>
                <w:szCs w:val="18"/>
              </w:rPr>
              <w:t>递增；</w:t>
            </w:r>
          </w:p>
          <w:p w:rsidR="00833B6B" w:rsidRDefault="00A3344E">
            <w:pPr>
              <w:spacing w:line="200" w:lineRule="exact"/>
              <w:rPr>
                <w:rFonts w:hAnsi="方正黑体_GBK" w:cs="方正黑体_GBK"/>
              </w:rPr>
            </w:pPr>
            <w:r>
              <w:rPr>
                <w:rFonts w:hAnsi="方正黑体_GBK" w:cs="方正黑体_GBK" w:hint="eastAsia"/>
                <w:sz w:val="18"/>
                <w:szCs w:val="18"/>
              </w:rPr>
              <w:t>D</w:t>
            </w:r>
            <w:r>
              <w:rPr>
                <w:rFonts w:hAnsi="方正黑体_GBK" w:cs="方正黑体_GBK" w:hint="eastAsia"/>
                <w:sz w:val="18"/>
                <w:szCs w:val="18"/>
              </w:rPr>
              <w:t>份额：</w:t>
            </w:r>
          </w:p>
          <w:p w:rsidR="00833B6B" w:rsidRDefault="00A3344E">
            <w:pPr>
              <w:spacing w:line="200" w:lineRule="exact"/>
              <w:rPr>
                <w:rFonts w:hAnsi="方正黑体_GBK" w:cs="方正黑体_GBK"/>
              </w:rPr>
            </w:pPr>
            <w:r>
              <w:rPr>
                <w:rFonts w:hAnsi="方正黑体_GBK" w:cs="方正黑体_GBK" w:hint="eastAsia"/>
                <w:sz w:val="18"/>
                <w:szCs w:val="18"/>
              </w:rPr>
              <w:t>个人投资者投资起点金额</w:t>
            </w:r>
            <w:r>
              <w:rPr>
                <w:rFonts w:hAnsi="方正黑体_GBK" w:cs="方正黑体_GBK" w:hint="eastAsia"/>
                <w:sz w:val="18"/>
                <w:szCs w:val="18"/>
              </w:rPr>
              <w:t>1</w:t>
            </w:r>
            <w:r>
              <w:rPr>
                <w:rFonts w:hAnsi="方正黑体_GBK" w:cs="方正黑体_GBK" w:hint="eastAsia"/>
                <w:sz w:val="18"/>
                <w:szCs w:val="18"/>
              </w:rPr>
              <w:t>元人民币，以</w:t>
            </w:r>
            <w:r>
              <w:rPr>
                <w:rFonts w:hAnsi="方正黑体_GBK" w:cs="方正黑体_GBK" w:hint="eastAsia"/>
                <w:sz w:val="18"/>
                <w:szCs w:val="18"/>
              </w:rPr>
              <w:t>1</w:t>
            </w:r>
            <w:r>
              <w:rPr>
                <w:rFonts w:hAnsi="方正黑体_GBK" w:cs="方正黑体_GBK" w:hint="eastAsia"/>
                <w:sz w:val="18"/>
                <w:szCs w:val="18"/>
              </w:rPr>
              <w:t>元的整数</w:t>
            </w:r>
            <w:proofErr w:type="gramStart"/>
            <w:r>
              <w:rPr>
                <w:rFonts w:hAnsi="方正黑体_GBK" w:cs="方正黑体_GBK" w:hint="eastAsia"/>
                <w:sz w:val="18"/>
                <w:szCs w:val="18"/>
              </w:rPr>
              <w:t>倍</w:t>
            </w:r>
            <w:proofErr w:type="gramEnd"/>
            <w:r>
              <w:rPr>
                <w:rFonts w:hAnsi="方正黑体_GBK" w:cs="方正黑体_GBK" w:hint="eastAsia"/>
                <w:sz w:val="18"/>
                <w:szCs w:val="18"/>
              </w:rPr>
              <w:t>递增；</w:t>
            </w:r>
          </w:p>
          <w:p w:rsidR="00833B6B" w:rsidRDefault="00A3344E">
            <w:pPr>
              <w:spacing w:line="200" w:lineRule="exact"/>
              <w:rPr>
                <w:rFonts w:hAnsi="方正黑体_GBK" w:cs="方正黑体_GBK"/>
              </w:rPr>
            </w:pPr>
            <w:r>
              <w:rPr>
                <w:rFonts w:hAnsi="方正黑体_GBK" w:cs="方正黑体_GBK" w:hint="eastAsia"/>
                <w:sz w:val="18"/>
                <w:szCs w:val="18"/>
              </w:rPr>
              <w:t>机构投资者投资起点金额</w:t>
            </w:r>
            <w:r>
              <w:rPr>
                <w:rFonts w:hAnsi="方正黑体_GBK" w:cs="方正黑体_GBK" w:hint="eastAsia"/>
                <w:sz w:val="18"/>
                <w:szCs w:val="18"/>
              </w:rPr>
              <w:t>1000</w:t>
            </w:r>
            <w:r>
              <w:rPr>
                <w:rFonts w:hAnsi="方正黑体_GBK" w:cs="方正黑体_GBK" w:hint="eastAsia"/>
                <w:sz w:val="18"/>
                <w:szCs w:val="18"/>
              </w:rPr>
              <w:t>万元人民币，以</w:t>
            </w:r>
            <w:r>
              <w:rPr>
                <w:rFonts w:hAnsi="方正黑体_GBK" w:cs="方正黑体_GBK" w:hint="eastAsia"/>
                <w:sz w:val="18"/>
                <w:szCs w:val="18"/>
              </w:rPr>
              <w:t>1</w:t>
            </w:r>
            <w:r>
              <w:rPr>
                <w:rFonts w:hAnsi="方正黑体_GBK" w:cs="方正黑体_GBK" w:hint="eastAsia"/>
                <w:sz w:val="18"/>
                <w:szCs w:val="18"/>
              </w:rPr>
              <w:t>元的整数</w:t>
            </w:r>
            <w:proofErr w:type="gramStart"/>
            <w:r>
              <w:rPr>
                <w:rFonts w:hAnsi="方正黑体_GBK" w:cs="方正黑体_GBK" w:hint="eastAsia"/>
                <w:sz w:val="18"/>
                <w:szCs w:val="18"/>
              </w:rPr>
              <w:t>倍</w:t>
            </w:r>
            <w:proofErr w:type="gramEnd"/>
            <w:r>
              <w:rPr>
                <w:rFonts w:hAnsi="方正黑体_GBK" w:cs="方正黑体_GBK" w:hint="eastAsia"/>
                <w:sz w:val="18"/>
                <w:szCs w:val="18"/>
              </w:rPr>
              <w:t>递增；</w:t>
            </w:r>
          </w:p>
          <w:p w:rsidR="00833B6B" w:rsidRDefault="00A3344E">
            <w:pPr>
              <w:spacing w:line="200" w:lineRule="exact"/>
              <w:rPr>
                <w:rFonts w:hAnsi="方正黑体_GBK" w:cs="方正黑体_GBK"/>
              </w:rPr>
            </w:pPr>
            <w:r>
              <w:rPr>
                <w:rFonts w:hAnsi="方正黑体_GBK" w:cs="方正黑体_GBK" w:hint="eastAsia"/>
                <w:sz w:val="18"/>
                <w:szCs w:val="18"/>
              </w:rPr>
              <w:t>后续在符合监管政策规定的条件下，理财产品管理人有权对上述投资起点金额和递增金额进行调整</w:t>
            </w:r>
            <w:r>
              <w:rPr>
                <w:rFonts w:hAnsi="方正黑体_GBK" w:cs="方正黑体_GBK" w:hint="eastAsia"/>
                <w:sz w:val="18"/>
                <w:szCs w:val="18"/>
              </w:rPr>
              <w:t>,</w:t>
            </w:r>
            <w:r>
              <w:rPr>
                <w:rFonts w:hAnsi="方正黑体_GBK" w:cs="方正黑体_GBK" w:hint="eastAsia"/>
                <w:sz w:val="18"/>
                <w:szCs w:val="18"/>
              </w:rPr>
              <w:t>并在调整日前至少</w:t>
            </w:r>
            <w:r>
              <w:rPr>
                <w:rFonts w:hAnsi="方正黑体_GBK" w:cs="方正黑体_GBK" w:hint="eastAsia"/>
                <w:sz w:val="18"/>
                <w:szCs w:val="18"/>
              </w:rPr>
              <w:t>3</w:t>
            </w:r>
            <w:r>
              <w:rPr>
                <w:rFonts w:hAnsi="方正黑体_GBK" w:cs="方正黑体_GBK" w:hint="eastAsia"/>
                <w:sz w:val="18"/>
                <w:szCs w:val="18"/>
              </w:rPr>
              <w:t>个工作日进行信息披露。</w:t>
            </w:r>
          </w:p>
          <w:p w:rsidR="00833B6B" w:rsidRDefault="00A3344E">
            <w:pPr>
              <w:spacing w:line="200" w:lineRule="exact"/>
              <w:rPr>
                <w:rFonts w:hAnsi="方正黑体_GBK" w:cs="方正黑体_GBK"/>
              </w:rPr>
            </w:pPr>
            <w:r>
              <w:rPr>
                <w:rFonts w:hAnsi="方正黑体_GBK" w:cs="方正黑体_GBK" w:hint="eastAsia"/>
                <w:sz w:val="18"/>
                <w:szCs w:val="18"/>
              </w:rPr>
              <w:t>代销机构可根据其销售需要对投资起点金额、递增金额进行重新设定，投资者通过代销机构购买本理财产品的，以该代销机构最终披露的投资起点金额、递增金额为准。</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单个投资者持有金额上限</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A/B/C</w:t>
            </w:r>
            <w:r>
              <w:rPr>
                <w:rFonts w:hAnsi="方正黑体_GBK" w:cs="方正黑体_GBK" w:hint="eastAsia"/>
                <w:sz w:val="18"/>
                <w:szCs w:val="18"/>
              </w:rPr>
              <w:t>份额：</w:t>
            </w:r>
          </w:p>
          <w:p w:rsidR="00833B6B" w:rsidRDefault="00A3344E">
            <w:pPr>
              <w:spacing w:line="200" w:lineRule="exact"/>
              <w:rPr>
                <w:rFonts w:hAnsi="方正黑体_GBK" w:cs="方正黑体_GBK"/>
              </w:rPr>
            </w:pPr>
            <w:r>
              <w:rPr>
                <w:rFonts w:hAnsi="方正黑体_GBK" w:cs="方正黑体_GBK" w:hint="eastAsia"/>
                <w:sz w:val="18"/>
                <w:szCs w:val="18"/>
              </w:rPr>
              <w:t>个人投资者：最高持有金额</w:t>
            </w:r>
            <w:r>
              <w:rPr>
                <w:rFonts w:hAnsi="方正黑体_GBK" w:cs="方正黑体_GBK" w:hint="eastAsia"/>
                <w:sz w:val="18"/>
                <w:szCs w:val="18"/>
              </w:rPr>
              <w:t>1</w:t>
            </w:r>
            <w:r>
              <w:rPr>
                <w:rFonts w:hAnsi="方正黑体_GBK" w:cs="方正黑体_GBK" w:hint="eastAsia"/>
                <w:sz w:val="18"/>
                <w:szCs w:val="18"/>
              </w:rPr>
              <w:t>亿；</w:t>
            </w:r>
          </w:p>
          <w:p w:rsidR="00833B6B" w:rsidRDefault="00A3344E">
            <w:pPr>
              <w:spacing w:line="200" w:lineRule="exact"/>
              <w:rPr>
                <w:rFonts w:hAnsi="方正黑体_GBK" w:cs="方正黑体_GBK"/>
              </w:rPr>
            </w:pPr>
            <w:r>
              <w:rPr>
                <w:rFonts w:hAnsi="方正黑体_GBK" w:cs="方正黑体_GBK" w:hint="eastAsia"/>
                <w:sz w:val="18"/>
                <w:szCs w:val="18"/>
              </w:rPr>
              <w:t>机构投资者：最高持有金额</w:t>
            </w:r>
            <w:r>
              <w:rPr>
                <w:rFonts w:hAnsi="方正黑体_GBK" w:cs="方正黑体_GBK" w:hint="eastAsia"/>
                <w:sz w:val="18"/>
                <w:szCs w:val="18"/>
              </w:rPr>
              <w:t>1</w:t>
            </w:r>
            <w:r>
              <w:rPr>
                <w:rFonts w:hAnsi="方正黑体_GBK" w:cs="方正黑体_GBK" w:hint="eastAsia"/>
                <w:sz w:val="18"/>
                <w:szCs w:val="18"/>
              </w:rPr>
              <w:t>亿；</w:t>
            </w:r>
          </w:p>
          <w:p w:rsidR="00833B6B" w:rsidRDefault="00A3344E">
            <w:pPr>
              <w:spacing w:line="200" w:lineRule="exact"/>
              <w:rPr>
                <w:rFonts w:hAnsi="方正黑体_GBK" w:cs="方正黑体_GBK"/>
                <w:sz w:val="18"/>
                <w:szCs w:val="18"/>
              </w:rPr>
            </w:pPr>
            <w:r>
              <w:rPr>
                <w:rFonts w:hAnsi="方正黑体_GBK" w:cs="方正黑体_GBK" w:hint="eastAsia"/>
                <w:sz w:val="18"/>
                <w:szCs w:val="18"/>
              </w:rPr>
              <w:t>D</w:t>
            </w:r>
            <w:r>
              <w:rPr>
                <w:rFonts w:hAnsi="方正黑体_GBK" w:cs="方正黑体_GBK" w:hint="eastAsia"/>
                <w:sz w:val="18"/>
                <w:szCs w:val="18"/>
              </w:rPr>
              <w:t>份额：</w:t>
            </w:r>
          </w:p>
          <w:p w:rsidR="00833B6B" w:rsidRDefault="00A3344E">
            <w:pPr>
              <w:spacing w:line="200" w:lineRule="exact"/>
              <w:rPr>
                <w:rFonts w:hAnsi="方正黑体_GBK" w:cs="方正黑体_GBK"/>
                <w:sz w:val="18"/>
                <w:szCs w:val="18"/>
              </w:rPr>
            </w:pPr>
            <w:r>
              <w:rPr>
                <w:rFonts w:hAnsi="方正黑体_GBK" w:cs="方正黑体_GBK" w:hint="eastAsia"/>
                <w:sz w:val="18"/>
                <w:szCs w:val="18"/>
              </w:rPr>
              <w:t>个人投资者：暂不设置</w:t>
            </w:r>
            <w:r>
              <w:rPr>
                <w:rFonts w:hAnsi="方正黑体_GBK" w:cs="方正黑体_GBK" w:hint="eastAsia"/>
                <w:kern w:val="0"/>
                <w:sz w:val="18"/>
                <w:szCs w:val="18"/>
              </w:rPr>
              <w:t>单个投资者持有金额上限；</w:t>
            </w:r>
          </w:p>
          <w:p w:rsidR="00833B6B" w:rsidRDefault="00A3344E">
            <w:pPr>
              <w:spacing w:line="200" w:lineRule="exact"/>
              <w:rPr>
                <w:rFonts w:hAnsi="方正黑体_GBK" w:cs="方正黑体_GBK"/>
              </w:rPr>
            </w:pPr>
            <w:r>
              <w:rPr>
                <w:rFonts w:hAnsi="方正黑体_GBK" w:cs="方正黑体_GBK" w:hint="eastAsia"/>
                <w:sz w:val="18"/>
                <w:szCs w:val="18"/>
              </w:rPr>
              <w:t>机构投资者：最高持有金额</w:t>
            </w:r>
            <w:r>
              <w:rPr>
                <w:rFonts w:hAnsi="方正黑体_GBK" w:cs="方正黑体_GBK" w:hint="eastAsia"/>
                <w:sz w:val="18"/>
                <w:szCs w:val="18"/>
              </w:rPr>
              <w:t>3</w:t>
            </w:r>
            <w:r>
              <w:rPr>
                <w:rFonts w:hAnsi="方正黑体_GBK" w:cs="方正黑体_GBK" w:hint="eastAsia"/>
                <w:sz w:val="18"/>
                <w:szCs w:val="18"/>
              </w:rPr>
              <w:t>亿；</w:t>
            </w:r>
          </w:p>
          <w:p w:rsidR="00833B6B" w:rsidRDefault="00A3344E">
            <w:pPr>
              <w:spacing w:line="200" w:lineRule="exact"/>
              <w:jc w:val="left"/>
              <w:rPr>
                <w:rFonts w:hAnsi="方正黑体_GBK" w:cs="方正黑体_GBK"/>
              </w:rPr>
            </w:pPr>
            <w:r>
              <w:rPr>
                <w:rFonts w:hAnsi="方正黑体_GBK" w:cs="方正黑体_GBK" w:hint="eastAsia"/>
                <w:sz w:val="18"/>
                <w:szCs w:val="18"/>
              </w:rPr>
              <w:t>注：</w:t>
            </w:r>
            <w:r>
              <w:rPr>
                <w:rFonts w:hAnsi="方正黑体_GBK" w:cs="方正黑体_GBK" w:hint="eastAsia"/>
                <w:sz w:val="18"/>
                <w:szCs w:val="18"/>
              </w:rPr>
              <w:t>1.</w:t>
            </w:r>
            <w:r>
              <w:rPr>
                <w:rFonts w:hAnsi="方正黑体_GBK" w:cs="方正黑体_GBK" w:hint="eastAsia"/>
                <w:sz w:val="18"/>
                <w:szCs w:val="18"/>
              </w:rPr>
              <w:t>管理人有权对上述单个投资者持有金额上限进行调整或取消，并在调整或取消前至少</w:t>
            </w:r>
            <w:r>
              <w:rPr>
                <w:rFonts w:hAnsi="方正黑体_GBK" w:cs="方正黑体_GBK" w:hint="eastAsia"/>
                <w:sz w:val="18"/>
                <w:szCs w:val="18"/>
              </w:rPr>
              <w:t>3</w:t>
            </w:r>
            <w:r>
              <w:rPr>
                <w:rFonts w:hAnsi="方正黑体_GBK" w:cs="方正黑体_GBK" w:hint="eastAsia"/>
                <w:sz w:val="18"/>
                <w:szCs w:val="18"/>
              </w:rPr>
              <w:t>个工作日公告。</w:t>
            </w:r>
          </w:p>
          <w:p w:rsidR="00833B6B" w:rsidRDefault="00A3344E">
            <w:pPr>
              <w:spacing w:line="200" w:lineRule="exact"/>
              <w:jc w:val="lef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hAnsi="方正黑体_GBK" w:cs="方正黑体_GBK" w:hint="eastAsia"/>
                <w:sz w:val="18"/>
                <w:szCs w:val="18"/>
              </w:rPr>
              <w:t>3.</w:t>
            </w:r>
            <w:r>
              <w:rPr>
                <w:rFonts w:hAnsi="方正黑体_GBK" w:cs="方正黑体_GBK" w:hint="eastAsia"/>
                <w:sz w:val="18"/>
                <w:szCs w:val="18"/>
              </w:rPr>
              <w:t>投资者持有本理财产品的金额将随本理财产品单位净值的变动而变动，由此导致的投资者持有金额上限突破上述上限的情形除外。</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单一投资者持有比例上限</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本理财产品单一投</w:t>
            </w:r>
            <w:r>
              <w:rPr>
                <w:rFonts w:hAnsi="方正黑体_GBK" w:cs="方正黑体_GBK" w:hint="eastAsia"/>
                <w:sz w:val="18"/>
                <w:szCs w:val="18"/>
              </w:rPr>
              <w:t>资者持有的份额（含已确认和待确认的份额）不得超过本理财产品总份额的</w:t>
            </w:r>
            <w:r>
              <w:rPr>
                <w:rFonts w:hAnsi="方正黑体_GBK" w:cs="方正黑体_GBK" w:hint="eastAsia"/>
                <w:sz w:val="18"/>
                <w:szCs w:val="18"/>
              </w:rPr>
              <w:t>50%</w:t>
            </w:r>
            <w:r>
              <w:rPr>
                <w:rFonts w:hAnsi="方正黑体_GBK" w:cs="方正黑体_GBK" w:hint="eastAsia"/>
                <w:sz w:val="18"/>
                <w:szCs w:val="18"/>
              </w:rPr>
              <w:t>，管理人有权拒绝导致投资者持有份额突破前述</w:t>
            </w:r>
            <w:r>
              <w:rPr>
                <w:rFonts w:hAnsi="方正黑体_GBK" w:cs="方正黑体_GBK" w:hint="eastAsia"/>
                <w:sz w:val="18"/>
                <w:szCs w:val="18"/>
              </w:rPr>
              <w:t>50%</w:t>
            </w:r>
            <w:r>
              <w:rPr>
                <w:rFonts w:hAnsi="方正黑体_GBK" w:cs="方正黑体_GBK" w:hint="eastAsia"/>
                <w:sz w:val="18"/>
                <w:szCs w:val="18"/>
              </w:rPr>
              <w:t>比例限制的认申购申请。</w:t>
            </w:r>
          </w:p>
          <w:p w:rsidR="00833B6B" w:rsidRDefault="00A3344E">
            <w:pPr>
              <w:spacing w:line="200" w:lineRule="exact"/>
              <w:jc w:val="left"/>
              <w:rPr>
                <w:rFonts w:hAnsi="方正黑体_GBK" w:cs="方正黑体_GBK"/>
              </w:rPr>
            </w:pPr>
            <w:r>
              <w:rPr>
                <w:rFonts w:hAnsi="方正黑体_GBK" w:cs="方正黑体_GBK" w:hint="eastAsia"/>
                <w:sz w:val="18"/>
                <w:szCs w:val="18"/>
              </w:rPr>
              <w:t>非因管理人主观因素导致突破上述</w:t>
            </w:r>
            <w:r>
              <w:rPr>
                <w:rFonts w:hAnsi="方正黑体_GBK" w:cs="方正黑体_GBK" w:hint="eastAsia"/>
                <w:sz w:val="18"/>
                <w:szCs w:val="18"/>
              </w:rPr>
              <w:t>50%</w:t>
            </w:r>
            <w:r>
              <w:rPr>
                <w:rFonts w:hAnsi="方正黑体_GBK" w:cs="方正黑体_GBK" w:hint="eastAsia"/>
                <w:sz w:val="18"/>
                <w:szCs w:val="18"/>
              </w:rPr>
              <w:t>比例限制的，在单一投资者持有比例降至</w:t>
            </w:r>
            <w:r>
              <w:rPr>
                <w:rFonts w:hAnsi="方正黑体_GBK" w:cs="方正黑体_GBK" w:hint="eastAsia"/>
                <w:sz w:val="18"/>
                <w:szCs w:val="18"/>
              </w:rPr>
              <w:t>50%</w:t>
            </w:r>
            <w:r>
              <w:rPr>
                <w:rFonts w:hAnsi="方正黑体_GBK" w:cs="方正黑体_GBK" w:hint="eastAsia"/>
                <w:sz w:val="18"/>
                <w:szCs w:val="18"/>
              </w:rPr>
              <w:t>以下之前，管理人不再接受该投资者对本理财产品的认申购申请。</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单日单户赎回份额上限</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单日单户赎回份额上限，是指单个投资者在最近一个产品开放日</w:t>
            </w:r>
            <w:r>
              <w:rPr>
                <w:rFonts w:hAnsi="方正黑体_GBK" w:cs="方正黑体_GBK" w:hint="eastAsia"/>
                <w:sz w:val="18"/>
                <w:szCs w:val="18"/>
              </w:rPr>
              <w:t>17</w:t>
            </w:r>
            <w:r>
              <w:rPr>
                <w:rFonts w:hAnsi="方正黑体_GBK" w:cs="方正黑体_GBK" w:hint="eastAsia"/>
                <w:sz w:val="18"/>
                <w:szCs w:val="18"/>
              </w:rPr>
              <w:t>：</w:t>
            </w:r>
            <w:r>
              <w:rPr>
                <w:rFonts w:hAnsi="方正黑体_GBK" w:cs="方正黑体_GBK" w:hint="eastAsia"/>
                <w:sz w:val="18"/>
                <w:szCs w:val="18"/>
              </w:rPr>
              <w:t>00</w:t>
            </w:r>
            <w:r>
              <w:rPr>
                <w:rFonts w:hAnsi="方正黑体_GBK" w:cs="方正黑体_GBK" w:hint="eastAsia"/>
                <w:sz w:val="18"/>
                <w:szCs w:val="18"/>
              </w:rPr>
              <w:t>（不含）至下一产品开放日</w:t>
            </w:r>
            <w:r>
              <w:rPr>
                <w:rFonts w:hAnsi="方正黑体_GBK" w:cs="方正黑体_GBK" w:hint="eastAsia"/>
                <w:sz w:val="18"/>
                <w:szCs w:val="18"/>
              </w:rPr>
              <w:t>17</w:t>
            </w:r>
            <w:r>
              <w:rPr>
                <w:rFonts w:hAnsi="方正黑体_GBK" w:cs="方正黑体_GBK" w:hint="eastAsia"/>
                <w:sz w:val="18"/>
                <w:szCs w:val="18"/>
              </w:rPr>
              <w:t>：</w:t>
            </w:r>
            <w:r>
              <w:rPr>
                <w:rFonts w:hAnsi="方正黑体_GBK" w:cs="方正黑体_GBK" w:hint="eastAsia"/>
                <w:sz w:val="18"/>
                <w:szCs w:val="18"/>
              </w:rPr>
              <w:t>00</w:t>
            </w:r>
            <w:r>
              <w:rPr>
                <w:rFonts w:hAnsi="方正黑体_GBK" w:cs="方正黑体_GBK" w:hint="eastAsia"/>
                <w:sz w:val="18"/>
                <w:szCs w:val="18"/>
              </w:rPr>
              <w:t>（含）之间发起的净赎回总份额上限。</w:t>
            </w:r>
          </w:p>
          <w:p w:rsidR="00833B6B" w:rsidRDefault="00A3344E">
            <w:pPr>
              <w:spacing w:line="200" w:lineRule="exact"/>
              <w:rPr>
                <w:rFonts w:hAnsi="方正黑体_GBK" w:cs="方正黑体_GBK"/>
              </w:rPr>
            </w:pPr>
            <w:r>
              <w:rPr>
                <w:rFonts w:hAnsi="方正黑体_GBK" w:cs="方正黑体_GBK" w:hint="eastAsia"/>
                <w:sz w:val="18"/>
                <w:szCs w:val="18"/>
              </w:rPr>
              <w:t>A/B/C</w:t>
            </w:r>
            <w:r>
              <w:rPr>
                <w:rFonts w:hAnsi="方正黑体_GBK" w:cs="方正黑体_GBK" w:hint="eastAsia"/>
                <w:sz w:val="18"/>
                <w:szCs w:val="18"/>
              </w:rPr>
              <w:t>份额：</w:t>
            </w:r>
          </w:p>
          <w:p w:rsidR="00833B6B" w:rsidRDefault="00A3344E">
            <w:pPr>
              <w:spacing w:line="200" w:lineRule="exact"/>
              <w:rPr>
                <w:rFonts w:hAnsi="方正黑体_GBK" w:cs="方正黑体_GBK"/>
              </w:rPr>
            </w:pPr>
            <w:r>
              <w:rPr>
                <w:rFonts w:hAnsi="方正黑体_GBK" w:cs="方正黑体_GBK" w:hint="eastAsia"/>
                <w:sz w:val="18"/>
                <w:szCs w:val="18"/>
              </w:rPr>
              <w:t>个人投资者：单日单户赎回份额上限为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833B6B" w:rsidRDefault="00A3344E">
            <w:pPr>
              <w:spacing w:line="200" w:lineRule="exact"/>
              <w:rPr>
                <w:rFonts w:hAnsi="方正黑体_GBK" w:cs="方正黑体_GBK"/>
              </w:rPr>
            </w:pPr>
            <w:r>
              <w:rPr>
                <w:rFonts w:hAnsi="方正黑体_GBK" w:cs="方正黑体_GBK" w:hint="eastAsia"/>
                <w:sz w:val="18"/>
                <w:szCs w:val="18"/>
              </w:rPr>
              <w:t>机构投资者：单日单户赎回份额上限为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833B6B" w:rsidRDefault="00A3344E">
            <w:pPr>
              <w:spacing w:line="200" w:lineRule="exact"/>
              <w:rPr>
                <w:rFonts w:hAnsi="方正黑体_GBK" w:cs="方正黑体_GBK"/>
                <w:sz w:val="18"/>
                <w:szCs w:val="18"/>
              </w:rPr>
            </w:pPr>
            <w:r>
              <w:rPr>
                <w:rFonts w:hAnsi="方正黑体_GBK" w:cs="方正黑体_GBK" w:hint="eastAsia"/>
                <w:sz w:val="18"/>
                <w:szCs w:val="18"/>
              </w:rPr>
              <w:t>D</w:t>
            </w:r>
            <w:r>
              <w:rPr>
                <w:rFonts w:hAnsi="方正黑体_GBK" w:cs="方正黑体_GBK" w:hint="eastAsia"/>
                <w:sz w:val="18"/>
                <w:szCs w:val="18"/>
              </w:rPr>
              <w:t>份额：</w:t>
            </w:r>
          </w:p>
          <w:p w:rsidR="00833B6B" w:rsidRDefault="00A3344E">
            <w:pPr>
              <w:spacing w:line="200" w:lineRule="exact"/>
              <w:rPr>
                <w:rFonts w:hAnsi="方正黑体_GBK" w:cs="方正黑体_GBK"/>
              </w:rPr>
            </w:pPr>
            <w:r>
              <w:rPr>
                <w:rFonts w:hAnsi="方正黑体_GBK" w:cs="方正黑体_GBK" w:hint="eastAsia"/>
                <w:sz w:val="18"/>
                <w:szCs w:val="18"/>
              </w:rPr>
              <w:lastRenderedPageBreak/>
              <w:t>个人投资者：暂不设</w:t>
            </w:r>
            <w:r>
              <w:rPr>
                <w:rFonts w:hAnsi="方正黑体_GBK" w:cs="方正黑体_GBK" w:hint="eastAsia"/>
                <w:kern w:val="0"/>
                <w:sz w:val="18"/>
                <w:szCs w:val="18"/>
              </w:rPr>
              <w:t>单日单户赎回份额上限</w:t>
            </w:r>
            <w:r>
              <w:rPr>
                <w:rFonts w:hAnsi="方正黑体_GBK" w:cs="方正黑体_GBK" w:hint="eastAsia"/>
                <w:kern w:val="0"/>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机构投资者：单日单户赎回份额上限为</w:t>
            </w:r>
            <w:r>
              <w:rPr>
                <w:rFonts w:hAnsi="方正黑体_GBK" w:cs="方正黑体_GBK" w:hint="eastAsia"/>
                <w:sz w:val="18"/>
                <w:szCs w:val="18"/>
              </w:rPr>
              <w:t>1</w:t>
            </w:r>
            <w:r>
              <w:rPr>
                <w:rFonts w:hAnsi="方正黑体_GBK" w:cs="方正黑体_GBK" w:hint="eastAsia"/>
                <w:sz w:val="18"/>
                <w:szCs w:val="18"/>
              </w:rPr>
              <w:t>亿份；</w:t>
            </w:r>
          </w:p>
          <w:p w:rsidR="00833B6B" w:rsidRDefault="00A3344E">
            <w:pPr>
              <w:spacing w:line="200" w:lineRule="exact"/>
              <w:rPr>
                <w:rFonts w:hAnsi="方正黑体_GBK" w:cs="方正黑体_GBK"/>
              </w:rPr>
            </w:pPr>
            <w:r>
              <w:rPr>
                <w:rFonts w:hAnsi="方正黑体_GBK" w:cs="方正黑体_GBK" w:hint="eastAsia"/>
                <w:sz w:val="18"/>
                <w:szCs w:val="18"/>
              </w:rPr>
              <w:t>注：</w:t>
            </w:r>
            <w:r>
              <w:rPr>
                <w:rFonts w:hAnsi="方正黑体_GBK" w:cs="方正黑体_GBK" w:hint="eastAsia"/>
                <w:sz w:val="18"/>
                <w:szCs w:val="18"/>
              </w:rPr>
              <w:t>1.</w:t>
            </w:r>
            <w:r>
              <w:rPr>
                <w:rFonts w:hAnsi="方正黑体_GBK" w:cs="方正黑体_GBK" w:hint="eastAsia"/>
                <w:sz w:val="18"/>
                <w:szCs w:val="18"/>
              </w:rPr>
              <w:t>该单日单户赎回份额上限管理人有权进行调整或取消，并在调整或取消前至少</w:t>
            </w:r>
            <w:r>
              <w:rPr>
                <w:rFonts w:hAnsi="方正黑体_GBK" w:cs="方正黑体_GBK" w:hint="eastAsia"/>
                <w:sz w:val="18"/>
                <w:szCs w:val="18"/>
              </w:rPr>
              <w:t>3</w:t>
            </w:r>
            <w:r>
              <w:rPr>
                <w:rFonts w:hAnsi="方正黑体_GBK" w:cs="方正黑体_GBK" w:hint="eastAsia"/>
                <w:sz w:val="18"/>
                <w:szCs w:val="18"/>
              </w:rPr>
              <w:t>个工作日公告。</w:t>
            </w:r>
          </w:p>
          <w:p w:rsidR="00833B6B" w:rsidRDefault="00A3344E">
            <w:pPr>
              <w:spacing w:line="200" w:lineRule="exact"/>
              <w:rPr>
                <w:rFonts w:hAnsi="方正黑体_GBK" w:cs="方正黑体_GBK"/>
              </w:rPr>
            </w:pPr>
            <w:r>
              <w:rPr>
                <w:rFonts w:hAnsi="方正黑体_GBK" w:cs="方正黑体_GBK" w:hint="eastAsia"/>
                <w:b/>
                <w:sz w:val="18"/>
                <w:szCs w:val="18"/>
              </w:rPr>
              <w:t>2.</w:t>
            </w:r>
            <w:r>
              <w:rPr>
                <w:rFonts w:hAnsi="方正黑体_GBK" w:cs="方正黑体_GBK" w:hint="eastAsia"/>
                <w:b/>
                <w:sz w:val="18"/>
                <w:szCs w:val="18"/>
              </w:rPr>
              <w:t>当投资者发起的最近一笔赎回申请超过投资者单日单户赎回份额上限时，销售机构或管理人有权拒绝投资者该笔赎回申请，投资者需重新进行资金安排。</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募集期</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2023</w:t>
            </w:r>
            <w:r>
              <w:rPr>
                <w:rFonts w:hAnsi="方正黑体_GBK" w:cs="方正黑体_GBK" w:hint="eastAsia"/>
                <w:color w:val="000000"/>
                <w:sz w:val="18"/>
                <w:szCs w:val="18"/>
              </w:rPr>
              <w:t>年</w:t>
            </w:r>
            <w:r>
              <w:rPr>
                <w:rFonts w:hAnsi="方正黑体_GBK" w:cs="方正黑体_GBK" w:hint="eastAsia"/>
                <w:color w:val="000000"/>
                <w:sz w:val="18"/>
                <w:szCs w:val="18"/>
              </w:rPr>
              <w:t>04</w:t>
            </w:r>
            <w:r>
              <w:rPr>
                <w:rFonts w:hAnsi="方正黑体_GBK" w:cs="方正黑体_GBK" w:hint="eastAsia"/>
                <w:color w:val="000000"/>
                <w:sz w:val="18"/>
                <w:szCs w:val="18"/>
              </w:rPr>
              <w:t>月</w:t>
            </w:r>
            <w:r>
              <w:rPr>
                <w:rFonts w:hAnsi="方正黑体_GBK" w:cs="方正黑体_GBK" w:hint="eastAsia"/>
                <w:color w:val="000000"/>
                <w:sz w:val="18"/>
                <w:szCs w:val="18"/>
              </w:rPr>
              <w:t>18</w:t>
            </w:r>
            <w:r>
              <w:rPr>
                <w:rFonts w:hAnsi="方正黑体_GBK" w:cs="方正黑体_GBK" w:hint="eastAsia"/>
                <w:color w:val="000000"/>
                <w:sz w:val="18"/>
                <w:szCs w:val="18"/>
              </w:rPr>
              <w:t>日</w:t>
            </w:r>
            <w:r>
              <w:rPr>
                <w:rFonts w:hAnsi="方正黑体_GBK" w:cs="方正黑体_GBK" w:hint="eastAsia"/>
                <w:color w:val="000000"/>
                <w:sz w:val="18"/>
                <w:szCs w:val="18"/>
              </w:rPr>
              <w:t xml:space="preserve"> 09:00</w:t>
            </w:r>
            <w:r>
              <w:rPr>
                <w:rFonts w:hAnsi="方正黑体_GBK" w:cs="方正黑体_GBK" w:hint="eastAsia"/>
                <w:color w:val="000000"/>
                <w:sz w:val="18"/>
                <w:szCs w:val="18"/>
              </w:rPr>
              <w:t>—</w:t>
            </w:r>
            <w:r>
              <w:rPr>
                <w:rFonts w:hAnsi="方正黑体_GBK" w:cs="方正黑体_GBK" w:hint="eastAsia"/>
                <w:color w:val="000000"/>
                <w:sz w:val="18"/>
                <w:szCs w:val="18"/>
              </w:rPr>
              <w:t>2023</w:t>
            </w:r>
            <w:r>
              <w:rPr>
                <w:rFonts w:hAnsi="方正黑体_GBK" w:cs="方正黑体_GBK" w:hint="eastAsia"/>
                <w:color w:val="000000"/>
                <w:sz w:val="18"/>
                <w:szCs w:val="18"/>
              </w:rPr>
              <w:t>年</w:t>
            </w:r>
            <w:r>
              <w:rPr>
                <w:rFonts w:hAnsi="方正黑体_GBK" w:cs="方正黑体_GBK" w:hint="eastAsia"/>
                <w:color w:val="000000"/>
                <w:sz w:val="18"/>
                <w:szCs w:val="18"/>
              </w:rPr>
              <w:t>04</w:t>
            </w:r>
            <w:r>
              <w:rPr>
                <w:rFonts w:hAnsi="方正黑体_GBK" w:cs="方正黑体_GBK" w:hint="eastAsia"/>
                <w:color w:val="000000"/>
                <w:sz w:val="18"/>
                <w:szCs w:val="18"/>
              </w:rPr>
              <w:t>月</w:t>
            </w:r>
            <w:r>
              <w:rPr>
                <w:rFonts w:hAnsi="方正黑体_GBK" w:cs="方正黑体_GBK" w:hint="eastAsia"/>
                <w:color w:val="000000"/>
                <w:sz w:val="18"/>
                <w:szCs w:val="18"/>
              </w:rPr>
              <w:t>24</w:t>
            </w:r>
            <w:r>
              <w:rPr>
                <w:rFonts w:hAnsi="方正黑体_GBK" w:cs="方正黑体_GBK" w:hint="eastAsia"/>
                <w:color w:val="000000"/>
                <w:sz w:val="18"/>
                <w:szCs w:val="18"/>
              </w:rPr>
              <w:t>日</w:t>
            </w:r>
            <w:r>
              <w:rPr>
                <w:rFonts w:hAnsi="方正黑体_GBK" w:cs="方正黑体_GBK" w:hint="eastAsia"/>
                <w:color w:val="000000"/>
                <w:sz w:val="18"/>
                <w:szCs w:val="18"/>
              </w:rPr>
              <w:t xml:space="preserve"> </w:t>
            </w:r>
            <w:r>
              <w:rPr>
                <w:rFonts w:hAnsi="方正黑体_GBK" w:cs="方正黑体_GBK" w:hint="eastAsia"/>
                <w:color w:val="000000"/>
                <w:sz w:val="18"/>
                <w:szCs w:val="18"/>
              </w:rPr>
              <w:t>17:00</w:t>
            </w:r>
            <w:r>
              <w:rPr>
                <w:rFonts w:hAnsi="方正黑体_GBK" w:cs="方正黑体_GBK" w:hint="eastAsia"/>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hAnsi="方正黑体_GBK" w:cs="方正黑体_GBK" w:hint="eastAsia"/>
                <w:color w:val="000000"/>
                <w:sz w:val="18"/>
                <w:szCs w:val="18"/>
              </w:rPr>
              <w:t>期范围</w:t>
            </w:r>
            <w:proofErr w:type="gramEnd"/>
            <w:r>
              <w:rPr>
                <w:rFonts w:hAnsi="方正黑体_GBK" w:cs="方正黑体_GBK" w:hint="eastAsia"/>
                <w:color w:val="000000"/>
                <w:sz w:val="18"/>
                <w:szCs w:val="18"/>
              </w:rPr>
              <w:t>内对募集时间进行重新设定，投资者通过代销机构购买本理财产品的，以该代销机构最终披露的募集时间为准。</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认购份额计算</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rPr>
                <w:rFonts w:hAnsi="方正黑体_GBK" w:cs="方正黑体_GBK"/>
              </w:rPr>
            </w:pPr>
            <w:r>
              <w:rPr>
                <w:rFonts w:hAnsi="方正黑体_GBK" w:cs="方正黑体_GBK" w:hint="eastAsia"/>
                <w:sz w:val="18"/>
                <w:szCs w:val="18"/>
              </w:rPr>
              <w:t>认购份额</w:t>
            </w:r>
            <w:r>
              <w:rPr>
                <w:rFonts w:hAnsi="方正黑体_GBK" w:cs="方正黑体_GBK" w:hint="eastAsia"/>
                <w:sz w:val="18"/>
                <w:szCs w:val="18"/>
              </w:rPr>
              <w:t>=</w:t>
            </w:r>
            <w:r>
              <w:rPr>
                <w:rFonts w:hAnsi="方正黑体_GBK" w:cs="方正黑体_GBK" w:hint="eastAsia"/>
                <w:sz w:val="18"/>
                <w:szCs w:val="18"/>
              </w:rPr>
              <w:t>确认认购金额</w:t>
            </w:r>
            <w:r>
              <w:rPr>
                <w:rFonts w:hAnsi="方正黑体_GBK" w:cs="方正黑体_GBK" w:hint="eastAsia"/>
                <w:sz w:val="18"/>
                <w:szCs w:val="18"/>
              </w:rPr>
              <w:t>/1</w:t>
            </w:r>
            <w:r>
              <w:rPr>
                <w:rFonts w:hAnsi="方正黑体_GBK" w:cs="方正黑体_GBK" w:hint="eastAsia"/>
                <w:sz w:val="18"/>
                <w:szCs w:val="18"/>
              </w:rPr>
              <w:t>。（认购份额以去尾法保留两位小数）</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认购确认日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color w:val="000000"/>
                <w:kern w:val="0"/>
                <w:sz w:val="18"/>
                <w:szCs w:val="18"/>
              </w:rPr>
            </w:pPr>
            <w:r>
              <w:rPr>
                <w:rFonts w:hAnsi="方正黑体_GBK" w:cs="方正黑体_GBK" w:hint="eastAsia"/>
                <w:color w:val="000000"/>
                <w:kern w:val="0"/>
                <w:sz w:val="18"/>
                <w:szCs w:val="18"/>
              </w:rPr>
              <w:t>同产品成立日</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产品成立日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kern w:val="0"/>
                <w:sz w:val="18"/>
                <w:szCs w:val="18"/>
              </w:rPr>
              <w:t>2023</w:t>
            </w:r>
            <w:r>
              <w:rPr>
                <w:rFonts w:hAnsi="方正黑体_GBK" w:cs="方正黑体_GBK" w:hint="eastAsia"/>
                <w:kern w:val="0"/>
                <w:sz w:val="18"/>
                <w:szCs w:val="18"/>
              </w:rPr>
              <w:t>年</w:t>
            </w:r>
            <w:r>
              <w:rPr>
                <w:rFonts w:hAnsi="方正黑体_GBK" w:cs="方正黑体_GBK" w:hint="eastAsia"/>
                <w:kern w:val="0"/>
                <w:sz w:val="18"/>
                <w:szCs w:val="18"/>
              </w:rPr>
              <w:t>04</w:t>
            </w:r>
            <w:r>
              <w:rPr>
                <w:rFonts w:hAnsi="方正黑体_GBK" w:cs="方正黑体_GBK" w:hint="eastAsia"/>
                <w:kern w:val="0"/>
                <w:sz w:val="18"/>
                <w:szCs w:val="18"/>
              </w:rPr>
              <w:t>月</w:t>
            </w:r>
            <w:r>
              <w:rPr>
                <w:rFonts w:hAnsi="方正黑体_GBK" w:cs="方正黑体_GBK" w:hint="eastAsia"/>
                <w:kern w:val="0"/>
                <w:sz w:val="18"/>
                <w:szCs w:val="18"/>
              </w:rPr>
              <w:t>25</w:t>
            </w:r>
            <w:r>
              <w:rPr>
                <w:rFonts w:hAnsi="方正黑体_GBK" w:cs="方正黑体_GBK" w:hint="eastAsia"/>
                <w:kern w:val="0"/>
                <w:sz w:val="18"/>
                <w:szCs w:val="18"/>
              </w:rPr>
              <w:t>日</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产品存续期</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2023</w:t>
            </w:r>
            <w:r>
              <w:rPr>
                <w:rFonts w:hAnsi="方正黑体_GBK" w:cs="方正黑体_GBK" w:hint="eastAsia"/>
                <w:sz w:val="18"/>
                <w:szCs w:val="18"/>
              </w:rPr>
              <w:t>年</w:t>
            </w:r>
            <w:r>
              <w:rPr>
                <w:rFonts w:hAnsi="方正黑体_GBK" w:cs="方正黑体_GBK" w:hint="eastAsia"/>
                <w:sz w:val="18"/>
                <w:szCs w:val="18"/>
              </w:rPr>
              <w:t>04</w:t>
            </w:r>
            <w:r>
              <w:rPr>
                <w:rFonts w:hAnsi="方正黑体_GBK" w:cs="方正黑体_GBK" w:hint="eastAsia"/>
                <w:sz w:val="18"/>
                <w:szCs w:val="18"/>
              </w:rPr>
              <w:t>月</w:t>
            </w:r>
            <w:r>
              <w:rPr>
                <w:rFonts w:hAnsi="方正黑体_GBK" w:cs="方正黑体_GBK" w:hint="eastAsia"/>
                <w:sz w:val="18"/>
                <w:szCs w:val="18"/>
              </w:rPr>
              <w:t>25</w:t>
            </w:r>
            <w:r>
              <w:rPr>
                <w:rFonts w:hAnsi="方正黑体_GBK" w:cs="方正黑体_GBK" w:hint="eastAsia"/>
                <w:sz w:val="18"/>
                <w:szCs w:val="18"/>
              </w:rPr>
              <w:t>日—实际到期日（若本理财产品未被提前终止或延期终止，则实际到期日即为名义到期日，存续期限</w:t>
            </w:r>
            <w:r>
              <w:rPr>
                <w:rFonts w:hAnsi="方正黑体_GBK" w:cs="方正黑体_GBK" w:hint="eastAsia"/>
                <w:sz w:val="18"/>
                <w:szCs w:val="18"/>
              </w:rPr>
              <w:t>10</w:t>
            </w:r>
            <w:r>
              <w:rPr>
                <w:rFonts w:hAnsi="方正黑体_GBK" w:cs="方正黑体_GBK" w:hint="eastAsia"/>
                <w:sz w:val="18"/>
                <w:szCs w:val="18"/>
              </w:rPr>
              <w:t>年；若本理财产品被提前终止或延期终止，则实际到期日为提前终止日或延期终止日。</w:t>
            </w:r>
            <w:r>
              <w:rPr>
                <w:rFonts w:hAnsi="方正黑体_GBK" w:cs="方正黑体_GBK" w:hint="eastAsia"/>
                <w:b/>
                <w:sz w:val="18"/>
                <w:szCs w:val="18"/>
              </w:rPr>
              <w:t>理财产品管理人有权根据市场变化情况调整产品存续期，届时管理人将调整相关日期并进行信息披露。）</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名义到期日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2033</w:t>
            </w:r>
            <w:r>
              <w:rPr>
                <w:rFonts w:hAnsi="方正黑体_GBK" w:cs="方正黑体_GBK" w:hint="eastAsia"/>
                <w:kern w:val="0"/>
                <w:sz w:val="18"/>
                <w:szCs w:val="18"/>
              </w:rPr>
              <w:t>年</w:t>
            </w:r>
            <w:r>
              <w:rPr>
                <w:rFonts w:hAnsi="方正黑体_GBK" w:cs="方正黑体_GBK" w:hint="eastAsia"/>
                <w:kern w:val="0"/>
                <w:sz w:val="18"/>
                <w:szCs w:val="18"/>
              </w:rPr>
              <w:t>04</w:t>
            </w:r>
            <w:r>
              <w:rPr>
                <w:rFonts w:hAnsi="方正黑体_GBK" w:cs="方正黑体_GBK" w:hint="eastAsia"/>
                <w:kern w:val="0"/>
                <w:sz w:val="18"/>
                <w:szCs w:val="18"/>
              </w:rPr>
              <w:t>月</w:t>
            </w:r>
            <w:r>
              <w:rPr>
                <w:rFonts w:hAnsi="方正黑体_GBK" w:cs="方正黑体_GBK" w:hint="eastAsia"/>
                <w:kern w:val="0"/>
                <w:sz w:val="18"/>
                <w:szCs w:val="18"/>
              </w:rPr>
              <w:t>28</w:t>
            </w:r>
            <w:r>
              <w:rPr>
                <w:rFonts w:hAnsi="方正黑体_GBK" w:cs="方正黑体_GBK" w:hint="eastAsia"/>
                <w:kern w:val="0"/>
                <w:sz w:val="18"/>
                <w:szCs w:val="18"/>
              </w:rPr>
              <w:t>日</w:t>
            </w:r>
            <w:r>
              <w:rPr>
                <w:rFonts w:hAnsi="方正黑体_GBK" w:cs="方正黑体_GBK" w:hint="eastAsia"/>
                <w:b/>
                <w:bCs/>
                <w:kern w:val="0"/>
                <w:sz w:val="18"/>
                <w:szCs w:val="18"/>
              </w:rPr>
              <w:t>（如遇国家法定节假日，管理人可结合国家法定节假日安排进行调整，并进行信息披露）</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申购规则</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b/>
                <w:sz w:val="18"/>
                <w:szCs w:val="18"/>
              </w:rPr>
              <w:t>产品开放日</w:t>
            </w:r>
            <w:r>
              <w:rPr>
                <w:rFonts w:hAnsi="方正黑体_GBK" w:cs="方正黑体_GBK" w:hint="eastAsia"/>
                <w:b/>
                <w:sz w:val="18"/>
                <w:szCs w:val="18"/>
              </w:rPr>
              <w:t>17:00</w:t>
            </w:r>
            <w:r>
              <w:rPr>
                <w:rFonts w:hAnsi="方正黑体_GBK" w:cs="方正黑体_GBK" w:hint="eastAsia"/>
                <w:b/>
                <w:sz w:val="18"/>
                <w:szCs w:val="18"/>
              </w:rPr>
              <w:t>（含）前的申购于当日受理，其他时间的申购于下一产品开放日受理。</w:t>
            </w:r>
            <w:r>
              <w:rPr>
                <w:rFonts w:hAnsi="方正黑体_GBK" w:cs="方正黑体_GBK" w:hint="eastAsia"/>
                <w:sz w:val="18"/>
                <w:szCs w:val="18"/>
              </w:rPr>
              <w:t>上述申购规则如下（系</w:t>
            </w:r>
            <w:r>
              <w:rPr>
                <w:rFonts w:hAnsi="方正黑体_GBK" w:cs="方正黑体_GBK" w:hint="eastAsia"/>
                <w:sz w:val="18"/>
                <w:szCs w:val="18"/>
              </w:rPr>
              <w:t>统批处理时间内无法操作）：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00"/>
              <w:gridCol w:w="1600"/>
              <w:gridCol w:w="1600"/>
            </w:tblGrid>
            <w:tr w:rsidR="00833B6B">
              <w:tc>
                <w:tcPr>
                  <w:tcW w:w="1600" w:type="dxa"/>
                </w:tcPr>
                <w:p w:rsidR="00833B6B" w:rsidRDefault="00A3344E">
                  <w:pPr>
                    <w:rPr>
                      <w:rFonts w:hAnsi="方正黑体_GBK" w:cs="方正黑体_GBK"/>
                    </w:rPr>
                  </w:pPr>
                  <w:r>
                    <w:rPr>
                      <w:rFonts w:hAnsi="方正黑体_GBK" w:cs="方正黑体_GBK" w:hint="eastAsia"/>
                      <w:sz w:val="18"/>
                      <w:szCs w:val="18"/>
                    </w:rPr>
                    <w:t>申购时间</w:t>
                  </w:r>
                </w:p>
              </w:tc>
              <w:tc>
                <w:tcPr>
                  <w:tcW w:w="1600" w:type="dxa"/>
                </w:tcPr>
                <w:p w:rsidR="00833B6B" w:rsidRDefault="00A3344E">
                  <w:pPr>
                    <w:rPr>
                      <w:rFonts w:hAnsi="方正黑体_GBK" w:cs="方正黑体_GBK"/>
                    </w:rPr>
                  </w:pPr>
                  <w:r>
                    <w:rPr>
                      <w:rFonts w:hAnsi="方正黑体_GBK" w:cs="方正黑体_GBK" w:hint="eastAsia"/>
                      <w:sz w:val="18"/>
                      <w:szCs w:val="18"/>
                    </w:rPr>
                    <w:t>申购受理日</w:t>
                  </w:r>
                </w:p>
              </w:tc>
              <w:tc>
                <w:tcPr>
                  <w:tcW w:w="1600" w:type="dxa"/>
                </w:tcPr>
                <w:p w:rsidR="00833B6B" w:rsidRDefault="00A3344E">
                  <w:pPr>
                    <w:rPr>
                      <w:rFonts w:hAnsi="方正黑体_GBK" w:cs="方正黑体_GBK"/>
                    </w:rPr>
                  </w:pPr>
                  <w:r>
                    <w:rPr>
                      <w:rFonts w:hAnsi="方正黑体_GBK" w:cs="方正黑体_GBK" w:hint="eastAsia"/>
                      <w:sz w:val="18"/>
                      <w:szCs w:val="18"/>
                    </w:rPr>
                    <w:t>份额运作起始日</w:t>
                  </w:r>
                </w:p>
              </w:tc>
            </w:tr>
            <w:tr w:rsidR="00833B6B">
              <w:tc>
                <w:tcPr>
                  <w:tcW w:w="1600" w:type="dxa"/>
                </w:tcPr>
                <w:p w:rsidR="00833B6B" w:rsidRDefault="00A3344E">
                  <w:pPr>
                    <w:rPr>
                      <w:rFonts w:hAnsi="方正黑体_GBK" w:cs="方正黑体_GBK"/>
                    </w:rPr>
                  </w:pPr>
                  <w:r>
                    <w:rPr>
                      <w:rFonts w:hAnsi="方正黑体_GBK" w:cs="方正黑体_GBK" w:hint="eastAsia"/>
                      <w:sz w:val="18"/>
                      <w:szCs w:val="18"/>
                    </w:rPr>
                    <w:t>产品开放日：</w:t>
                  </w:r>
                  <w:r>
                    <w:rPr>
                      <w:rFonts w:hAnsi="方正黑体_GBK" w:cs="方正黑体_GBK" w:hint="eastAsia"/>
                      <w:sz w:val="18"/>
                      <w:szCs w:val="18"/>
                    </w:rPr>
                    <w:t>0:00-17:00</w:t>
                  </w:r>
                  <w:r>
                    <w:rPr>
                      <w:rFonts w:hAnsi="方正黑体_GBK" w:cs="方正黑体_GBK" w:hint="eastAsia"/>
                      <w:sz w:val="18"/>
                      <w:szCs w:val="18"/>
                    </w:rPr>
                    <w:t>（含）</w:t>
                  </w:r>
                </w:p>
              </w:tc>
              <w:tc>
                <w:tcPr>
                  <w:tcW w:w="1600" w:type="dxa"/>
                </w:tcPr>
                <w:p w:rsidR="00833B6B" w:rsidRDefault="00A3344E">
                  <w:pPr>
                    <w:rPr>
                      <w:rFonts w:hAnsi="方正黑体_GBK" w:cs="方正黑体_GBK"/>
                    </w:rPr>
                  </w:pPr>
                  <w:r>
                    <w:rPr>
                      <w:rFonts w:hAnsi="方正黑体_GBK" w:cs="方正黑体_GBK" w:hint="eastAsia"/>
                      <w:sz w:val="18"/>
                      <w:szCs w:val="18"/>
                    </w:rPr>
                    <w:t>当日</w:t>
                  </w:r>
                </w:p>
              </w:tc>
              <w:tc>
                <w:tcPr>
                  <w:tcW w:w="1600" w:type="dxa"/>
                </w:tcPr>
                <w:p w:rsidR="00833B6B" w:rsidRDefault="00A3344E">
                  <w:pPr>
                    <w:rPr>
                      <w:rFonts w:hAnsi="方正黑体_GBK" w:cs="方正黑体_GBK"/>
                    </w:rPr>
                  </w:pPr>
                  <w:r>
                    <w:rPr>
                      <w:rFonts w:hAnsi="方正黑体_GBK" w:cs="方正黑体_GBK" w:hint="eastAsia"/>
                      <w:sz w:val="18"/>
                      <w:szCs w:val="18"/>
                    </w:rPr>
                    <w:t>申购受理日下</w:t>
                  </w:r>
                  <w:proofErr w:type="gramStart"/>
                  <w:r>
                    <w:rPr>
                      <w:rFonts w:hAnsi="方正黑体_GBK" w:cs="方正黑体_GBK" w:hint="eastAsia"/>
                      <w:sz w:val="18"/>
                      <w:szCs w:val="18"/>
                    </w:rPr>
                    <w:t>一</w:t>
                  </w:r>
                  <w:proofErr w:type="gramEnd"/>
                  <w:r>
                    <w:rPr>
                      <w:rFonts w:hAnsi="方正黑体_GBK" w:cs="方正黑体_GBK" w:hint="eastAsia"/>
                      <w:sz w:val="18"/>
                      <w:szCs w:val="18"/>
                    </w:rPr>
                    <w:t>产品开放日</w:t>
                  </w:r>
                </w:p>
              </w:tc>
            </w:tr>
            <w:tr w:rsidR="00833B6B">
              <w:tc>
                <w:tcPr>
                  <w:tcW w:w="1600" w:type="dxa"/>
                </w:tcPr>
                <w:p w:rsidR="00833B6B" w:rsidRDefault="00A3344E">
                  <w:pPr>
                    <w:rPr>
                      <w:rFonts w:hAnsi="方正黑体_GBK" w:cs="方正黑体_GBK"/>
                    </w:rPr>
                  </w:pPr>
                  <w:r>
                    <w:rPr>
                      <w:rFonts w:hAnsi="方正黑体_GBK" w:cs="方正黑体_GBK" w:hint="eastAsia"/>
                      <w:sz w:val="18"/>
                      <w:szCs w:val="18"/>
                    </w:rPr>
                    <w:t>产品开放日：</w:t>
                  </w:r>
                  <w:r>
                    <w:rPr>
                      <w:rFonts w:hAnsi="方正黑体_GBK" w:cs="方正黑体_GBK" w:hint="eastAsia"/>
                      <w:sz w:val="18"/>
                      <w:szCs w:val="18"/>
                    </w:rPr>
                    <w:t>17:00</w:t>
                  </w:r>
                  <w:r>
                    <w:rPr>
                      <w:rFonts w:hAnsi="方正黑体_GBK" w:cs="方正黑体_GBK" w:hint="eastAsia"/>
                      <w:sz w:val="18"/>
                      <w:szCs w:val="18"/>
                    </w:rPr>
                    <w:t>（不含）</w:t>
                  </w:r>
                  <w:r>
                    <w:rPr>
                      <w:rFonts w:hAnsi="方正黑体_GBK" w:cs="方正黑体_GBK" w:hint="eastAsia"/>
                      <w:sz w:val="18"/>
                      <w:szCs w:val="18"/>
                    </w:rPr>
                    <w:t>-24:00</w:t>
                  </w:r>
                  <w:r>
                    <w:rPr>
                      <w:rFonts w:hAnsi="方正黑体_GBK" w:cs="方正黑体_GBK" w:hint="eastAsia"/>
                      <w:sz w:val="18"/>
                      <w:szCs w:val="18"/>
                    </w:rPr>
                    <w:t>或非产品开放日</w:t>
                  </w:r>
                </w:p>
              </w:tc>
              <w:tc>
                <w:tcPr>
                  <w:tcW w:w="1600" w:type="dxa"/>
                </w:tcPr>
                <w:p w:rsidR="00833B6B" w:rsidRDefault="00A3344E">
                  <w:pPr>
                    <w:rPr>
                      <w:rFonts w:hAnsi="方正黑体_GBK" w:cs="方正黑体_GBK"/>
                    </w:rPr>
                  </w:pPr>
                  <w:r>
                    <w:rPr>
                      <w:rFonts w:hAnsi="方正黑体_GBK" w:cs="方正黑体_GBK" w:hint="eastAsia"/>
                      <w:sz w:val="18"/>
                      <w:szCs w:val="18"/>
                    </w:rPr>
                    <w:t>下一产品开放日</w:t>
                  </w:r>
                </w:p>
              </w:tc>
              <w:tc>
                <w:tcPr>
                  <w:tcW w:w="1600" w:type="dxa"/>
                </w:tcPr>
                <w:p w:rsidR="00833B6B" w:rsidRDefault="00A3344E">
                  <w:pPr>
                    <w:rPr>
                      <w:rFonts w:hAnsi="方正黑体_GBK" w:cs="方正黑体_GBK"/>
                    </w:rPr>
                  </w:pPr>
                  <w:r>
                    <w:rPr>
                      <w:rFonts w:hAnsi="方正黑体_GBK" w:cs="方正黑体_GBK" w:hint="eastAsia"/>
                      <w:sz w:val="18"/>
                      <w:szCs w:val="18"/>
                    </w:rPr>
                    <w:t>申购受理日下</w:t>
                  </w:r>
                  <w:proofErr w:type="gramStart"/>
                  <w:r>
                    <w:rPr>
                      <w:rFonts w:hAnsi="方正黑体_GBK" w:cs="方正黑体_GBK" w:hint="eastAsia"/>
                      <w:sz w:val="18"/>
                      <w:szCs w:val="18"/>
                    </w:rPr>
                    <w:t>一</w:t>
                  </w:r>
                  <w:proofErr w:type="gramEnd"/>
                  <w:r>
                    <w:rPr>
                      <w:rFonts w:hAnsi="方正黑体_GBK" w:cs="方正黑体_GBK" w:hint="eastAsia"/>
                      <w:sz w:val="18"/>
                      <w:szCs w:val="18"/>
                    </w:rPr>
                    <w:t>产品开放日</w:t>
                  </w:r>
                </w:p>
              </w:tc>
            </w:tr>
          </w:tbl>
          <w:p w:rsidR="00833B6B" w:rsidRDefault="00A3344E">
            <w:pPr>
              <w:spacing w:line="200" w:lineRule="exact"/>
              <w:jc w:val="left"/>
              <w:rPr>
                <w:rFonts w:hAnsi="方正黑体_GBK" w:cs="方正黑体_GBK"/>
              </w:rPr>
            </w:pPr>
            <w:r>
              <w:rPr>
                <w:rFonts w:hAnsi="方正黑体_GBK" w:cs="方正黑体_GBK" w:hint="eastAsia"/>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hAnsi="方正黑体_GBK" w:cs="方正黑体_GBK" w:hint="eastAsia"/>
                <w:b/>
                <w:sz w:val="18"/>
                <w:szCs w:val="18"/>
              </w:rPr>
              <w:t>17:00</w:t>
            </w:r>
            <w:r>
              <w:rPr>
                <w:rFonts w:hAnsi="方正黑体_GBK" w:cs="方正黑体_GBK" w:hint="eastAsia"/>
                <w:b/>
                <w:sz w:val="18"/>
                <w:szCs w:val="18"/>
              </w:rPr>
              <w:t>。</w:t>
            </w:r>
          </w:p>
          <w:p w:rsidR="00833B6B" w:rsidRDefault="00833B6B">
            <w:pPr>
              <w:spacing w:line="200" w:lineRule="exact"/>
              <w:rPr>
                <w:rFonts w:hAnsi="方正黑体_GBK" w:cs="方正黑体_GBK"/>
              </w:rPr>
            </w:pPr>
          </w:p>
          <w:p w:rsidR="00833B6B" w:rsidRDefault="00A3344E">
            <w:pPr>
              <w:spacing w:line="200" w:lineRule="exact"/>
              <w:jc w:val="left"/>
              <w:rPr>
                <w:rFonts w:hAnsi="方正黑体_GBK" w:cs="方正黑体_GBK"/>
              </w:rPr>
            </w:pPr>
            <w:r>
              <w:rPr>
                <w:rFonts w:hAnsi="方正黑体_GBK" w:cs="方正黑体_GBK" w:hint="eastAsia"/>
                <w:b/>
                <w:sz w:val="18"/>
                <w:szCs w:val="18"/>
              </w:rPr>
              <w:t>注</w:t>
            </w:r>
            <w:r>
              <w:rPr>
                <w:rFonts w:hAnsi="方正黑体_GBK" w:cs="方正黑体_GBK" w:hint="eastAsia"/>
                <w:sz w:val="18"/>
                <w:szCs w:val="18"/>
              </w:rPr>
              <w:t>：</w:t>
            </w:r>
          </w:p>
          <w:p w:rsidR="00833B6B" w:rsidRDefault="00A3344E">
            <w:pPr>
              <w:spacing w:line="200" w:lineRule="exact"/>
              <w:jc w:val="left"/>
              <w:rPr>
                <w:rFonts w:hAnsi="方正黑体_GBK" w:cs="方正黑体_GBK"/>
              </w:rPr>
            </w:pPr>
            <w:r>
              <w:rPr>
                <w:rFonts w:hAnsi="方正黑体_GBK" w:cs="方正黑体_GBK" w:hint="eastAsia"/>
                <w:b/>
                <w:sz w:val="18"/>
                <w:szCs w:val="18"/>
              </w:rPr>
              <w:t>1.</w:t>
            </w:r>
            <w:r>
              <w:rPr>
                <w:rFonts w:hAnsi="方正黑体_GBK" w:cs="方正黑体_GBK" w:hint="eastAsia"/>
                <w:b/>
                <w:sz w:val="18"/>
                <w:szCs w:val="18"/>
              </w:rPr>
              <w:t>在销售机构支持的前提下，申购受理日</w:t>
            </w:r>
            <w:r>
              <w:rPr>
                <w:rFonts w:hAnsi="方正黑体_GBK" w:cs="方正黑体_GBK" w:hint="eastAsia"/>
                <w:b/>
                <w:sz w:val="18"/>
                <w:szCs w:val="18"/>
              </w:rPr>
              <w:t>17:00</w:t>
            </w:r>
            <w:r>
              <w:rPr>
                <w:rFonts w:hAnsi="方正黑体_GBK" w:cs="方正黑体_GBK" w:hint="eastAsia"/>
                <w:b/>
                <w:sz w:val="18"/>
                <w:szCs w:val="18"/>
              </w:rPr>
              <w:t>（含）前可以撤销申购申请。</w:t>
            </w:r>
          </w:p>
          <w:p w:rsidR="00833B6B" w:rsidRDefault="00A3344E">
            <w:pPr>
              <w:spacing w:line="200" w:lineRule="exac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产品开放日为产品存续期内每周一至周五（指工作日），但不包括国家法定节假日、休息日和南银理财公告暂停开放的日期。</w:t>
            </w:r>
            <w:r>
              <w:rPr>
                <w:rFonts w:hAnsi="方正黑体_GBK" w:cs="方正黑体_GBK" w:hint="eastAsia"/>
                <w:b/>
                <w:sz w:val="18"/>
                <w:szCs w:val="18"/>
              </w:rPr>
              <w:t>系统批处理时间无法进行任何操作，届时系统将相应提示，系统批处理时间预计在</w:t>
            </w:r>
            <w:r>
              <w:rPr>
                <w:rFonts w:hAnsi="方正黑体_GBK" w:cs="方正黑体_GBK" w:hint="eastAsia"/>
                <w:b/>
                <w:sz w:val="18"/>
                <w:szCs w:val="18"/>
              </w:rPr>
              <w:t>0</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至</w:t>
            </w:r>
            <w:r>
              <w:rPr>
                <w:rFonts w:hAnsi="方正黑体_GBK" w:cs="方正黑体_GBK" w:hint="eastAsia"/>
                <w:b/>
                <w:sz w:val="18"/>
                <w:szCs w:val="18"/>
              </w:rPr>
              <w:t>3</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之间，如遇特殊情况延迟，敬请投资者注意。</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申购开放日和确认日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产品封闭期后的每周一至周五（指工作日），但不包括国家法定节假日、休息日和管理人、代销机构公告暂停开放的日期。</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赎回开放日和确认日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产品封闭期后的每周一至周五（指工作日），但不包括国家法定节假日、休息日和管理人、代销机构公告暂停开放的日期。</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申购份额计算</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rPr>
                <w:rFonts w:hAnsi="方正黑体_GBK" w:cs="方正黑体_GBK"/>
              </w:rPr>
            </w:pPr>
            <w:r>
              <w:rPr>
                <w:rFonts w:hAnsi="方正黑体_GBK" w:cs="方正黑体_GBK" w:hint="eastAsia"/>
                <w:sz w:val="18"/>
                <w:szCs w:val="18"/>
              </w:rPr>
              <w:t>申购份额</w:t>
            </w:r>
            <w:r>
              <w:rPr>
                <w:rFonts w:hAnsi="方正黑体_GBK" w:cs="方正黑体_GBK" w:hint="eastAsia"/>
                <w:sz w:val="18"/>
                <w:szCs w:val="18"/>
              </w:rPr>
              <w:t>=</w:t>
            </w:r>
            <w:r>
              <w:rPr>
                <w:rFonts w:hAnsi="方正黑体_GBK" w:cs="方正黑体_GBK" w:hint="eastAsia"/>
                <w:sz w:val="18"/>
                <w:szCs w:val="18"/>
              </w:rPr>
              <w:t>申购金额</w:t>
            </w:r>
            <w:r>
              <w:rPr>
                <w:rFonts w:hAnsi="方正黑体_GBK" w:cs="方正黑体_GBK" w:hint="eastAsia"/>
                <w:sz w:val="18"/>
                <w:szCs w:val="18"/>
              </w:rPr>
              <w:t>/</w:t>
            </w:r>
            <w:r>
              <w:rPr>
                <w:rFonts w:hAnsi="方正黑体_GBK" w:cs="方正黑体_GBK" w:hint="eastAsia"/>
                <w:sz w:val="18"/>
                <w:szCs w:val="18"/>
              </w:rPr>
              <w:t>申购确认日产</w:t>
            </w:r>
            <w:proofErr w:type="gramStart"/>
            <w:r>
              <w:rPr>
                <w:rFonts w:hAnsi="方正黑体_GBK" w:cs="方正黑体_GBK" w:hint="eastAsia"/>
                <w:sz w:val="18"/>
                <w:szCs w:val="18"/>
              </w:rPr>
              <w:t>品单位</w:t>
            </w:r>
            <w:proofErr w:type="gramEnd"/>
            <w:r>
              <w:rPr>
                <w:rFonts w:hAnsi="方正黑体_GBK" w:cs="方正黑体_GBK" w:hint="eastAsia"/>
                <w:sz w:val="18"/>
                <w:szCs w:val="18"/>
              </w:rPr>
              <w:t>净值（申购确认日为申购受理日当日）（申购份额按去尾法保留两位小数）。</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赎回规则</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b/>
                <w:sz w:val="18"/>
                <w:szCs w:val="18"/>
              </w:rPr>
              <w:t>持有期</w:t>
            </w:r>
            <w:r>
              <w:rPr>
                <w:rFonts w:hAnsi="方正黑体_GBK" w:cs="方正黑体_GBK" w:hint="eastAsia"/>
                <w:b/>
                <w:sz w:val="18"/>
                <w:szCs w:val="18"/>
              </w:rPr>
              <w:t>28</w:t>
            </w:r>
            <w:r>
              <w:rPr>
                <w:rFonts w:hAnsi="方正黑体_GBK" w:cs="方正黑体_GBK" w:hint="eastAsia"/>
                <w:b/>
                <w:sz w:val="18"/>
                <w:szCs w:val="18"/>
              </w:rPr>
              <w:t>天以内的份额不可提出赎回申请。</w:t>
            </w:r>
          </w:p>
          <w:p w:rsidR="00833B6B" w:rsidRDefault="00A3344E">
            <w:pPr>
              <w:spacing w:line="200" w:lineRule="exact"/>
              <w:jc w:val="left"/>
              <w:rPr>
                <w:rFonts w:hAnsi="方正黑体_GBK" w:cs="方正黑体_GBK"/>
              </w:rPr>
            </w:pPr>
            <w:r>
              <w:rPr>
                <w:rFonts w:hAnsi="方正黑体_GBK" w:cs="方正黑体_GBK" w:hint="eastAsia"/>
                <w:b/>
                <w:sz w:val="18"/>
                <w:szCs w:val="18"/>
              </w:rPr>
              <w:t>持有满</w:t>
            </w:r>
            <w:r>
              <w:rPr>
                <w:rFonts w:hAnsi="方正黑体_GBK" w:cs="方正黑体_GBK" w:hint="eastAsia"/>
                <w:b/>
                <w:sz w:val="18"/>
                <w:szCs w:val="18"/>
              </w:rPr>
              <w:t>28</w:t>
            </w:r>
            <w:r>
              <w:rPr>
                <w:rFonts w:hAnsi="方正黑体_GBK" w:cs="方正黑体_GBK" w:hint="eastAsia"/>
                <w:b/>
                <w:sz w:val="18"/>
                <w:szCs w:val="18"/>
              </w:rPr>
              <w:t>天及以上的份额可在之后的每个产品开放日提出赎回申请，非巨额赎回时，产品开放日</w:t>
            </w:r>
            <w:r>
              <w:rPr>
                <w:rFonts w:hAnsi="方正黑体_GBK" w:cs="方正黑体_GBK" w:hint="eastAsia"/>
                <w:b/>
                <w:sz w:val="18"/>
                <w:szCs w:val="18"/>
              </w:rPr>
              <w:t>17:00</w:t>
            </w:r>
            <w:r>
              <w:rPr>
                <w:rFonts w:hAnsi="方正黑体_GBK" w:cs="方正黑体_GBK" w:hint="eastAsia"/>
                <w:b/>
                <w:sz w:val="18"/>
                <w:szCs w:val="18"/>
              </w:rPr>
              <w:t>（含）前的赎回于当日受理，其他时间的赎回于下一产品开放日受理，赎回款项将于份额运作终止日后</w:t>
            </w:r>
            <w:r>
              <w:rPr>
                <w:rFonts w:hAnsi="方正黑体_GBK" w:cs="方正黑体_GBK" w:hint="eastAsia"/>
                <w:b/>
                <w:sz w:val="18"/>
                <w:szCs w:val="18"/>
              </w:rPr>
              <w:t>5</w:t>
            </w:r>
            <w:r>
              <w:rPr>
                <w:rFonts w:hAnsi="方正黑体_GBK" w:cs="方正黑体_GBK" w:hint="eastAsia"/>
                <w:b/>
                <w:sz w:val="18"/>
                <w:szCs w:val="18"/>
              </w:rPr>
              <w:t>个工作日内到账</w:t>
            </w:r>
            <w:r>
              <w:rPr>
                <w:rFonts w:hAnsi="方正黑体_GBK" w:cs="方正黑体_GBK" w:hint="eastAsia"/>
                <w:sz w:val="18"/>
                <w:szCs w:val="18"/>
              </w:rPr>
              <w:t>。上述赎回规则如下（系统批处理时间内无法操作）：</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2"/>
              <w:gridCol w:w="1312"/>
              <w:gridCol w:w="1312"/>
              <w:gridCol w:w="1312"/>
            </w:tblGrid>
            <w:tr w:rsidR="00833B6B">
              <w:tc>
                <w:tcPr>
                  <w:tcW w:w="1312" w:type="dxa"/>
                </w:tcPr>
                <w:p w:rsidR="00833B6B" w:rsidRDefault="00A3344E">
                  <w:pPr>
                    <w:rPr>
                      <w:rFonts w:hAnsi="方正黑体_GBK" w:cs="方正黑体_GBK"/>
                    </w:rPr>
                  </w:pPr>
                  <w:r>
                    <w:rPr>
                      <w:rFonts w:hAnsi="方正黑体_GBK" w:cs="方正黑体_GBK" w:hint="eastAsia"/>
                      <w:sz w:val="18"/>
                      <w:szCs w:val="18"/>
                    </w:rPr>
                    <w:t>赎回时间</w:t>
                  </w:r>
                </w:p>
              </w:tc>
              <w:tc>
                <w:tcPr>
                  <w:tcW w:w="1312" w:type="dxa"/>
                </w:tcPr>
                <w:p w:rsidR="00833B6B" w:rsidRDefault="00A3344E">
                  <w:pPr>
                    <w:rPr>
                      <w:rFonts w:hAnsi="方正黑体_GBK" w:cs="方正黑体_GBK"/>
                    </w:rPr>
                  </w:pPr>
                  <w:r>
                    <w:rPr>
                      <w:rFonts w:hAnsi="方正黑体_GBK" w:cs="方正黑体_GBK" w:hint="eastAsia"/>
                      <w:sz w:val="18"/>
                      <w:szCs w:val="18"/>
                    </w:rPr>
                    <w:t>赎回受理日</w:t>
                  </w:r>
                </w:p>
              </w:tc>
              <w:tc>
                <w:tcPr>
                  <w:tcW w:w="1312" w:type="dxa"/>
                </w:tcPr>
                <w:p w:rsidR="00833B6B" w:rsidRDefault="00A3344E">
                  <w:pPr>
                    <w:rPr>
                      <w:rFonts w:hAnsi="方正黑体_GBK" w:cs="方正黑体_GBK"/>
                    </w:rPr>
                  </w:pPr>
                  <w:r>
                    <w:rPr>
                      <w:rFonts w:hAnsi="方正黑体_GBK" w:cs="方正黑体_GBK" w:hint="eastAsia"/>
                      <w:sz w:val="18"/>
                      <w:szCs w:val="18"/>
                    </w:rPr>
                    <w:t>份额运作终止日</w:t>
                  </w:r>
                </w:p>
              </w:tc>
              <w:tc>
                <w:tcPr>
                  <w:tcW w:w="1312" w:type="dxa"/>
                </w:tcPr>
                <w:p w:rsidR="00833B6B" w:rsidRDefault="00A3344E">
                  <w:pPr>
                    <w:rPr>
                      <w:rFonts w:hAnsi="方正黑体_GBK" w:cs="方正黑体_GBK"/>
                    </w:rPr>
                  </w:pPr>
                  <w:r>
                    <w:rPr>
                      <w:rFonts w:hAnsi="方正黑体_GBK" w:cs="方正黑体_GBK" w:hint="eastAsia"/>
                      <w:sz w:val="18"/>
                      <w:szCs w:val="18"/>
                    </w:rPr>
                    <w:t>资金到账日</w:t>
                  </w:r>
                </w:p>
              </w:tc>
            </w:tr>
            <w:tr w:rsidR="00833B6B">
              <w:tc>
                <w:tcPr>
                  <w:tcW w:w="1312" w:type="dxa"/>
                </w:tcPr>
                <w:p w:rsidR="00833B6B" w:rsidRDefault="00A3344E">
                  <w:pPr>
                    <w:rPr>
                      <w:rFonts w:hAnsi="方正黑体_GBK" w:cs="方正黑体_GBK"/>
                    </w:rPr>
                  </w:pPr>
                  <w:r>
                    <w:rPr>
                      <w:rFonts w:hAnsi="方正黑体_GBK" w:cs="方正黑体_GBK" w:hint="eastAsia"/>
                      <w:sz w:val="18"/>
                      <w:szCs w:val="18"/>
                    </w:rPr>
                    <w:t>份额持有满</w:t>
                  </w:r>
                  <w:r>
                    <w:rPr>
                      <w:rFonts w:hAnsi="方正黑体_GBK" w:cs="方正黑体_GBK" w:hint="eastAsia"/>
                      <w:sz w:val="18"/>
                      <w:szCs w:val="18"/>
                    </w:rPr>
                    <w:t>28</w:t>
                  </w:r>
                  <w:r>
                    <w:rPr>
                      <w:rFonts w:hAnsi="方正黑体_GBK" w:cs="方正黑体_GBK" w:hint="eastAsia"/>
                      <w:sz w:val="18"/>
                      <w:szCs w:val="18"/>
                    </w:rPr>
                    <w:t>天后的产品开放日：</w:t>
                  </w:r>
                  <w:r>
                    <w:rPr>
                      <w:rFonts w:hAnsi="方正黑体_GBK" w:cs="方正黑体_GBK" w:hint="eastAsia"/>
                      <w:sz w:val="18"/>
                      <w:szCs w:val="18"/>
                    </w:rPr>
                    <w:t>0:00-17:00</w:t>
                  </w:r>
                  <w:r>
                    <w:rPr>
                      <w:rFonts w:hAnsi="方正黑体_GBK" w:cs="方正黑体_GBK" w:hint="eastAsia"/>
                      <w:sz w:val="18"/>
                      <w:szCs w:val="18"/>
                    </w:rPr>
                    <w:t>（含）</w:t>
                  </w:r>
                </w:p>
              </w:tc>
              <w:tc>
                <w:tcPr>
                  <w:tcW w:w="1312" w:type="dxa"/>
                </w:tcPr>
                <w:p w:rsidR="00833B6B" w:rsidRDefault="00A3344E">
                  <w:pPr>
                    <w:rPr>
                      <w:rFonts w:hAnsi="方正黑体_GBK" w:cs="方正黑体_GBK"/>
                    </w:rPr>
                  </w:pPr>
                  <w:r>
                    <w:rPr>
                      <w:rFonts w:hAnsi="方正黑体_GBK" w:cs="方正黑体_GBK" w:hint="eastAsia"/>
                      <w:sz w:val="18"/>
                      <w:szCs w:val="18"/>
                    </w:rPr>
                    <w:t>当日</w:t>
                  </w:r>
                </w:p>
              </w:tc>
              <w:tc>
                <w:tcPr>
                  <w:tcW w:w="1312" w:type="dxa"/>
                </w:tcPr>
                <w:p w:rsidR="00833B6B" w:rsidRDefault="00A3344E">
                  <w:pPr>
                    <w:rPr>
                      <w:rFonts w:hAnsi="方正黑体_GBK" w:cs="方正黑体_GBK"/>
                    </w:rPr>
                  </w:pPr>
                  <w:r>
                    <w:rPr>
                      <w:rFonts w:hAnsi="方正黑体_GBK" w:cs="方正黑体_GBK" w:hint="eastAsia"/>
                      <w:sz w:val="18"/>
                      <w:szCs w:val="18"/>
                    </w:rPr>
                    <w:t>赎回受理日下</w:t>
                  </w:r>
                  <w:proofErr w:type="gramStart"/>
                  <w:r>
                    <w:rPr>
                      <w:rFonts w:hAnsi="方正黑体_GBK" w:cs="方正黑体_GBK" w:hint="eastAsia"/>
                      <w:sz w:val="18"/>
                      <w:szCs w:val="18"/>
                    </w:rPr>
                    <w:t>一</w:t>
                  </w:r>
                  <w:proofErr w:type="gramEnd"/>
                  <w:r>
                    <w:rPr>
                      <w:rFonts w:hAnsi="方正黑体_GBK" w:cs="方正黑体_GBK" w:hint="eastAsia"/>
                      <w:sz w:val="18"/>
                      <w:szCs w:val="18"/>
                    </w:rPr>
                    <w:t>产品开放日</w:t>
                  </w:r>
                </w:p>
              </w:tc>
              <w:tc>
                <w:tcPr>
                  <w:tcW w:w="1312" w:type="dxa"/>
                  <w:vMerge w:val="restart"/>
                </w:tcPr>
                <w:p w:rsidR="00833B6B" w:rsidRDefault="00A3344E">
                  <w:pPr>
                    <w:rPr>
                      <w:rFonts w:hAnsi="方正黑体_GBK" w:cs="方正黑体_GBK"/>
                    </w:rPr>
                  </w:pPr>
                  <w:r>
                    <w:rPr>
                      <w:rFonts w:hAnsi="方正黑体_GBK" w:cs="方正黑体_GBK" w:hint="eastAsia"/>
                      <w:sz w:val="18"/>
                      <w:szCs w:val="18"/>
                    </w:rPr>
                    <w:t>份额运作终止日后</w:t>
                  </w:r>
                  <w:r>
                    <w:rPr>
                      <w:rFonts w:hAnsi="方正黑体_GBK" w:cs="方正黑体_GBK" w:hint="eastAsia"/>
                      <w:sz w:val="18"/>
                      <w:szCs w:val="18"/>
                    </w:rPr>
                    <w:t>5</w:t>
                  </w:r>
                  <w:r>
                    <w:rPr>
                      <w:rFonts w:hAnsi="方正黑体_GBK" w:cs="方正黑体_GBK" w:hint="eastAsia"/>
                      <w:sz w:val="18"/>
                      <w:szCs w:val="18"/>
                    </w:rPr>
                    <w:t>个工作日内</w:t>
                  </w:r>
                </w:p>
              </w:tc>
            </w:tr>
            <w:tr w:rsidR="00833B6B">
              <w:tc>
                <w:tcPr>
                  <w:tcW w:w="1312" w:type="dxa"/>
                </w:tcPr>
                <w:p w:rsidR="00833B6B" w:rsidRDefault="00A3344E">
                  <w:pPr>
                    <w:rPr>
                      <w:rFonts w:hAnsi="方正黑体_GBK" w:cs="方正黑体_GBK"/>
                    </w:rPr>
                  </w:pPr>
                  <w:r>
                    <w:rPr>
                      <w:rFonts w:hAnsi="方正黑体_GBK" w:cs="方正黑体_GBK" w:hint="eastAsia"/>
                      <w:sz w:val="18"/>
                      <w:szCs w:val="18"/>
                    </w:rPr>
                    <w:t>份额持有满</w:t>
                  </w:r>
                  <w:r>
                    <w:rPr>
                      <w:rFonts w:hAnsi="方正黑体_GBK" w:cs="方正黑体_GBK" w:hint="eastAsia"/>
                      <w:sz w:val="18"/>
                      <w:szCs w:val="18"/>
                    </w:rPr>
                    <w:t>28</w:t>
                  </w:r>
                  <w:r>
                    <w:rPr>
                      <w:rFonts w:hAnsi="方正黑体_GBK" w:cs="方正黑体_GBK" w:hint="eastAsia"/>
                      <w:sz w:val="18"/>
                      <w:szCs w:val="18"/>
                    </w:rPr>
                    <w:t>天后的产品开放日：</w:t>
                  </w:r>
                  <w:r>
                    <w:rPr>
                      <w:rFonts w:hAnsi="方正黑体_GBK" w:cs="方正黑体_GBK" w:hint="eastAsia"/>
                      <w:sz w:val="18"/>
                      <w:szCs w:val="18"/>
                    </w:rPr>
                    <w:t>17:00</w:t>
                  </w:r>
                  <w:r>
                    <w:rPr>
                      <w:rFonts w:hAnsi="方正黑体_GBK" w:cs="方正黑体_GBK" w:hint="eastAsia"/>
                      <w:sz w:val="18"/>
                      <w:szCs w:val="18"/>
                    </w:rPr>
                    <w:t>（不含）</w:t>
                  </w:r>
                  <w:r>
                    <w:rPr>
                      <w:rFonts w:hAnsi="方正黑体_GBK" w:cs="方正黑体_GBK" w:hint="eastAsia"/>
                      <w:sz w:val="18"/>
                      <w:szCs w:val="18"/>
                    </w:rPr>
                    <w:t>-24:00</w:t>
                  </w:r>
                  <w:r>
                    <w:rPr>
                      <w:rFonts w:hAnsi="方正黑体_GBK" w:cs="方正黑体_GBK" w:hint="eastAsia"/>
                      <w:sz w:val="18"/>
                      <w:szCs w:val="18"/>
                    </w:rPr>
                    <w:t>或非</w:t>
                  </w:r>
                  <w:r>
                    <w:rPr>
                      <w:rFonts w:hAnsi="方正黑体_GBK" w:cs="方正黑体_GBK" w:hint="eastAsia"/>
                      <w:sz w:val="18"/>
                      <w:szCs w:val="18"/>
                    </w:rPr>
                    <w:lastRenderedPageBreak/>
                    <w:t>产品开放日</w:t>
                  </w:r>
                </w:p>
              </w:tc>
              <w:tc>
                <w:tcPr>
                  <w:tcW w:w="1312" w:type="dxa"/>
                </w:tcPr>
                <w:p w:rsidR="00833B6B" w:rsidRDefault="00A3344E">
                  <w:pPr>
                    <w:rPr>
                      <w:rFonts w:hAnsi="方正黑体_GBK" w:cs="方正黑体_GBK"/>
                    </w:rPr>
                  </w:pPr>
                  <w:r>
                    <w:rPr>
                      <w:rFonts w:hAnsi="方正黑体_GBK" w:cs="方正黑体_GBK" w:hint="eastAsia"/>
                      <w:sz w:val="18"/>
                      <w:szCs w:val="18"/>
                    </w:rPr>
                    <w:lastRenderedPageBreak/>
                    <w:t>下一产品开放日</w:t>
                  </w:r>
                </w:p>
              </w:tc>
              <w:tc>
                <w:tcPr>
                  <w:tcW w:w="1312" w:type="dxa"/>
                </w:tcPr>
                <w:p w:rsidR="00833B6B" w:rsidRDefault="00A3344E">
                  <w:pPr>
                    <w:rPr>
                      <w:rFonts w:hAnsi="方正黑体_GBK" w:cs="方正黑体_GBK"/>
                    </w:rPr>
                  </w:pPr>
                  <w:r>
                    <w:rPr>
                      <w:rFonts w:hAnsi="方正黑体_GBK" w:cs="方正黑体_GBK" w:hint="eastAsia"/>
                      <w:sz w:val="18"/>
                      <w:szCs w:val="18"/>
                    </w:rPr>
                    <w:t>赎回受理日下</w:t>
                  </w:r>
                  <w:proofErr w:type="gramStart"/>
                  <w:r>
                    <w:rPr>
                      <w:rFonts w:hAnsi="方正黑体_GBK" w:cs="方正黑体_GBK" w:hint="eastAsia"/>
                      <w:sz w:val="18"/>
                      <w:szCs w:val="18"/>
                    </w:rPr>
                    <w:t>一</w:t>
                  </w:r>
                  <w:proofErr w:type="gramEnd"/>
                  <w:r>
                    <w:rPr>
                      <w:rFonts w:hAnsi="方正黑体_GBK" w:cs="方正黑体_GBK" w:hint="eastAsia"/>
                      <w:sz w:val="18"/>
                      <w:szCs w:val="18"/>
                    </w:rPr>
                    <w:t>产品开放日</w:t>
                  </w:r>
                </w:p>
              </w:tc>
              <w:tc>
                <w:tcPr>
                  <w:tcW w:w="1312" w:type="dxa"/>
                  <w:vMerge/>
                </w:tcPr>
                <w:p w:rsidR="00833B6B" w:rsidRDefault="00833B6B">
                  <w:pPr>
                    <w:rPr>
                      <w:rFonts w:hAnsi="方正黑体_GBK" w:cs="方正黑体_GBK"/>
                    </w:rPr>
                  </w:pPr>
                </w:p>
              </w:tc>
            </w:tr>
          </w:tbl>
          <w:p w:rsidR="00833B6B" w:rsidRDefault="00A3344E">
            <w:pPr>
              <w:spacing w:line="200" w:lineRule="exact"/>
              <w:jc w:val="left"/>
              <w:rPr>
                <w:rFonts w:hAnsi="方正黑体_GBK" w:cs="方正黑体_GBK"/>
              </w:rPr>
            </w:pPr>
            <w:r>
              <w:rPr>
                <w:rFonts w:hAnsi="方正黑体_GBK" w:cs="方正黑体_GBK" w:hint="eastAsia"/>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hAnsi="方正黑体_GBK" w:cs="方正黑体_GBK" w:hint="eastAsia"/>
                <w:b/>
                <w:sz w:val="18"/>
                <w:szCs w:val="18"/>
              </w:rPr>
              <w:t>17:00</w:t>
            </w:r>
            <w:r>
              <w:rPr>
                <w:rFonts w:hAnsi="方正黑体_GBK" w:cs="方正黑体_GBK" w:hint="eastAsia"/>
                <w:b/>
                <w:sz w:val="18"/>
                <w:szCs w:val="18"/>
              </w:rPr>
              <w:t>。</w:t>
            </w:r>
          </w:p>
          <w:p w:rsidR="00833B6B" w:rsidRDefault="00833B6B">
            <w:pPr>
              <w:spacing w:line="200" w:lineRule="exact"/>
              <w:jc w:val="left"/>
              <w:rPr>
                <w:rFonts w:hAnsi="方正黑体_GBK" w:cs="方正黑体_GBK"/>
              </w:rPr>
            </w:pPr>
          </w:p>
          <w:p w:rsidR="00833B6B" w:rsidRDefault="00A3344E">
            <w:pPr>
              <w:spacing w:line="200" w:lineRule="exact"/>
              <w:jc w:val="left"/>
              <w:rPr>
                <w:rFonts w:hAnsi="方正黑体_GBK" w:cs="方正黑体_GBK"/>
              </w:rPr>
            </w:pPr>
            <w:r>
              <w:rPr>
                <w:rFonts w:hAnsi="方正黑体_GBK" w:cs="方正黑体_GBK" w:hint="eastAsia"/>
                <w:b/>
                <w:sz w:val="18"/>
                <w:szCs w:val="18"/>
              </w:rPr>
              <w:t>注：</w:t>
            </w:r>
          </w:p>
          <w:p w:rsidR="00833B6B" w:rsidRDefault="00A3344E">
            <w:pPr>
              <w:spacing w:line="200" w:lineRule="exact"/>
              <w:rPr>
                <w:rFonts w:hAnsi="方正黑体_GBK" w:cs="方正黑体_GBK"/>
              </w:rPr>
            </w:pPr>
            <w:r>
              <w:rPr>
                <w:rFonts w:hAnsi="方正黑体_GBK" w:cs="方正黑体_GBK" w:hint="eastAsia"/>
                <w:sz w:val="18"/>
                <w:szCs w:val="18"/>
              </w:rPr>
              <w:t>1.</w:t>
            </w:r>
            <w:r>
              <w:rPr>
                <w:rFonts w:hAnsi="方正黑体_GBK" w:cs="方正黑体_GBK" w:hint="eastAsia"/>
                <w:b/>
                <w:sz w:val="18"/>
                <w:szCs w:val="18"/>
              </w:rPr>
              <w:t>如投资者多次认申购本理财产品，其中持有满</w:t>
            </w:r>
            <w:r>
              <w:rPr>
                <w:rFonts w:hAnsi="方正黑体_GBK" w:cs="方正黑体_GBK" w:hint="eastAsia"/>
                <w:b/>
                <w:sz w:val="18"/>
                <w:szCs w:val="18"/>
              </w:rPr>
              <w:t>28</w:t>
            </w:r>
            <w:r>
              <w:rPr>
                <w:rFonts w:hAnsi="方正黑体_GBK" w:cs="方正黑体_GBK" w:hint="eastAsia"/>
                <w:b/>
                <w:sz w:val="18"/>
                <w:szCs w:val="18"/>
              </w:rPr>
              <w:t>天及以上的份额可提出赎回申请，持有期</w:t>
            </w:r>
            <w:r>
              <w:rPr>
                <w:rFonts w:hAnsi="方正黑体_GBK" w:cs="方正黑体_GBK" w:hint="eastAsia"/>
                <w:b/>
                <w:sz w:val="18"/>
                <w:szCs w:val="18"/>
              </w:rPr>
              <w:t>28</w:t>
            </w:r>
            <w:r>
              <w:rPr>
                <w:rFonts w:hAnsi="方正黑体_GBK" w:cs="方正黑体_GBK" w:hint="eastAsia"/>
                <w:b/>
                <w:sz w:val="18"/>
                <w:szCs w:val="18"/>
              </w:rPr>
              <w:t>天以内的份额不可提出赎回申请。</w:t>
            </w:r>
          </w:p>
          <w:p w:rsidR="00833B6B" w:rsidRDefault="00A3344E">
            <w:pPr>
              <w:spacing w:line="200" w:lineRule="exact"/>
              <w:rPr>
                <w:rFonts w:hAnsi="方正黑体_GBK" w:cs="方正黑体_GBK"/>
              </w:rPr>
            </w:pPr>
            <w:r>
              <w:rPr>
                <w:rFonts w:hAnsi="方正黑体_GBK" w:cs="方正黑体_GBK" w:hint="eastAsia"/>
                <w:color w:val="000000"/>
                <w:sz w:val="18"/>
                <w:szCs w:val="18"/>
              </w:rPr>
              <w:t>2.</w:t>
            </w:r>
            <w:r>
              <w:rPr>
                <w:rFonts w:hAnsi="方正黑体_GBK" w:cs="方正黑体_GBK" w:hint="eastAsia"/>
                <w:b/>
                <w:sz w:val="18"/>
                <w:szCs w:val="18"/>
              </w:rPr>
              <w:t>单个投资者的赎回遵循“先进先出”原则，即单个投资者先认</w:t>
            </w:r>
            <w:r>
              <w:rPr>
                <w:rFonts w:hAnsi="方正黑体_GBK" w:cs="方正黑体_GBK" w:hint="eastAsia"/>
                <w:b/>
                <w:sz w:val="18"/>
                <w:szCs w:val="18"/>
              </w:rPr>
              <w:t>/</w:t>
            </w:r>
            <w:r>
              <w:rPr>
                <w:rFonts w:hAnsi="方正黑体_GBK" w:cs="方正黑体_GBK" w:hint="eastAsia"/>
                <w:b/>
                <w:sz w:val="18"/>
                <w:szCs w:val="18"/>
              </w:rPr>
              <w:t>申购的份额先被赎回。</w:t>
            </w:r>
          </w:p>
          <w:p w:rsidR="00833B6B" w:rsidRDefault="00A3344E">
            <w:pPr>
              <w:spacing w:line="200" w:lineRule="exact"/>
              <w:rPr>
                <w:rFonts w:hAnsi="方正黑体_GBK" w:cs="方正黑体_GBK"/>
              </w:rPr>
            </w:pPr>
            <w:r>
              <w:rPr>
                <w:rFonts w:hAnsi="方正黑体_GBK" w:cs="方正黑体_GBK" w:hint="eastAsia"/>
                <w:b/>
                <w:sz w:val="18"/>
                <w:szCs w:val="18"/>
              </w:rPr>
              <w:t>3.</w:t>
            </w:r>
            <w:r>
              <w:rPr>
                <w:rFonts w:hAnsi="方正黑体_GBK" w:cs="方正黑体_GBK" w:hint="eastAsia"/>
                <w:b/>
                <w:sz w:val="18"/>
                <w:szCs w:val="18"/>
              </w:rPr>
              <w:t>在销售机构支持的前提下，赎回受理日</w:t>
            </w:r>
            <w:r>
              <w:rPr>
                <w:rFonts w:hAnsi="方正黑体_GBK" w:cs="方正黑体_GBK" w:hint="eastAsia"/>
                <w:b/>
                <w:sz w:val="18"/>
                <w:szCs w:val="18"/>
              </w:rPr>
              <w:t>17:00</w:t>
            </w:r>
            <w:r>
              <w:rPr>
                <w:rFonts w:hAnsi="方正黑体_GBK" w:cs="方正黑体_GBK" w:hint="eastAsia"/>
                <w:b/>
                <w:sz w:val="18"/>
                <w:szCs w:val="18"/>
              </w:rPr>
              <w:t>（含）前可以撤销赎回申请。</w:t>
            </w:r>
          </w:p>
          <w:p w:rsidR="00833B6B" w:rsidRDefault="00A3344E">
            <w:pPr>
              <w:spacing w:line="200" w:lineRule="exact"/>
              <w:jc w:val="left"/>
              <w:rPr>
                <w:rFonts w:hAnsi="方正黑体_GBK" w:cs="方正黑体_GBK"/>
              </w:rPr>
            </w:pPr>
            <w:r>
              <w:rPr>
                <w:rFonts w:hAnsi="方正黑体_GBK" w:cs="方正黑体_GBK" w:hint="eastAsia"/>
                <w:b/>
                <w:sz w:val="18"/>
                <w:szCs w:val="18"/>
              </w:rPr>
              <w:t>4.</w:t>
            </w:r>
            <w:r>
              <w:rPr>
                <w:rFonts w:hAnsi="方正黑体_GBK" w:cs="方正黑体_GBK" w:hint="eastAsia"/>
                <w:sz w:val="18"/>
                <w:szCs w:val="18"/>
              </w:rPr>
              <w:t>产品开放日为产品存续期内每周一至周五（指工作日），但不包括国家法定节假日、休息日和南银理财公告暂停开放的日期。</w:t>
            </w:r>
            <w:r>
              <w:rPr>
                <w:rFonts w:hAnsi="方正黑体_GBK" w:cs="方正黑体_GBK" w:hint="eastAsia"/>
                <w:b/>
                <w:sz w:val="18"/>
                <w:szCs w:val="18"/>
              </w:rPr>
              <w:t>系统批处理时间无法进行任何操作，届时系统将相应提示，系统批处理时间预计在</w:t>
            </w:r>
            <w:r>
              <w:rPr>
                <w:rFonts w:hAnsi="方正黑体_GBK" w:cs="方正黑体_GBK" w:hint="eastAsia"/>
                <w:b/>
                <w:sz w:val="18"/>
                <w:szCs w:val="18"/>
              </w:rPr>
              <w:t>0</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至</w:t>
            </w:r>
            <w:r>
              <w:rPr>
                <w:rFonts w:hAnsi="方正黑体_GBK" w:cs="方正黑体_GBK" w:hint="eastAsia"/>
                <w:b/>
                <w:sz w:val="18"/>
                <w:szCs w:val="18"/>
              </w:rPr>
              <w:t>3</w:t>
            </w:r>
            <w:r>
              <w:rPr>
                <w:rFonts w:hAnsi="方正黑体_GBK" w:cs="方正黑体_GBK" w:hint="eastAsia"/>
                <w:b/>
                <w:sz w:val="18"/>
                <w:szCs w:val="18"/>
              </w:rPr>
              <w:t>：</w:t>
            </w:r>
            <w:r>
              <w:rPr>
                <w:rFonts w:hAnsi="方正黑体_GBK" w:cs="方正黑体_GBK" w:hint="eastAsia"/>
                <w:b/>
                <w:sz w:val="18"/>
                <w:szCs w:val="18"/>
              </w:rPr>
              <w:t>00</w:t>
            </w:r>
            <w:r>
              <w:rPr>
                <w:rFonts w:hAnsi="方正黑体_GBK" w:cs="方正黑体_GBK" w:hint="eastAsia"/>
                <w:b/>
                <w:sz w:val="18"/>
                <w:szCs w:val="18"/>
              </w:rPr>
              <w:t>之间，如遇特殊情况延迟，敬请投资者</w:t>
            </w:r>
            <w:r>
              <w:rPr>
                <w:rFonts w:hAnsi="方正黑体_GBK" w:cs="方正黑体_GBK" w:hint="eastAsia"/>
                <w:b/>
                <w:sz w:val="18"/>
                <w:szCs w:val="18"/>
              </w:rPr>
              <w:t>注意。</w:t>
            </w:r>
          </w:p>
          <w:p w:rsidR="00833B6B" w:rsidRDefault="00A3344E">
            <w:pPr>
              <w:spacing w:line="200" w:lineRule="exact"/>
              <w:rPr>
                <w:rFonts w:hAnsi="方正黑体_GBK" w:cs="方正黑体_GBK"/>
              </w:rPr>
            </w:pPr>
            <w:r>
              <w:rPr>
                <w:rFonts w:hAnsi="方正黑体_GBK" w:cs="方正黑体_GBK" w:hint="eastAsia"/>
                <w:b/>
                <w:sz w:val="18"/>
                <w:szCs w:val="18"/>
              </w:rPr>
              <w:t>5.</w:t>
            </w:r>
            <w:r>
              <w:rPr>
                <w:rFonts w:hAnsi="方正黑体_GBK" w:cs="方正黑体_GBK" w:hint="eastAsia"/>
                <w:b/>
                <w:sz w:val="18"/>
                <w:szCs w:val="18"/>
              </w:rPr>
              <w:t>份额运作终止日至资金到账日间赎回款项不计任何收益。</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赎回金额计算</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赎回金额</w:t>
            </w:r>
            <w:r>
              <w:rPr>
                <w:rFonts w:hAnsi="方正黑体_GBK" w:cs="方正黑体_GBK" w:hint="eastAsia"/>
                <w:sz w:val="18"/>
                <w:szCs w:val="18"/>
              </w:rPr>
              <w:t>=</w:t>
            </w:r>
            <w:r>
              <w:rPr>
                <w:rFonts w:hAnsi="方正黑体_GBK" w:cs="方正黑体_GBK" w:hint="eastAsia"/>
                <w:sz w:val="18"/>
                <w:szCs w:val="18"/>
              </w:rPr>
              <w:t>赎回份额×赎回确认日产</w:t>
            </w:r>
            <w:proofErr w:type="gramStart"/>
            <w:r>
              <w:rPr>
                <w:rFonts w:hAnsi="方正黑体_GBK" w:cs="方正黑体_GBK" w:hint="eastAsia"/>
                <w:sz w:val="18"/>
                <w:szCs w:val="18"/>
              </w:rPr>
              <w:t>品单位</w:t>
            </w:r>
            <w:proofErr w:type="gramEnd"/>
            <w:r>
              <w:rPr>
                <w:rFonts w:hAnsi="方正黑体_GBK" w:cs="方正黑体_GBK" w:hint="eastAsia"/>
                <w:sz w:val="18"/>
                <w:szCs w:val="18"/>
              </w:rPr>
              <w:t>净值（赎回确认日为赎回受理日当日）（赎回金额按去尾法保留两位小数）产品的赎回费、业绩报酬等费用（如有）将从赎回金额中扣除。</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到期兑付金额计算</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color w:val="000000"/>
                <w:sz w:val="18"/>
                <w:szCs w:val="18"/>
              </w:rPr>
              <w:t>到期兑付金额</w:t>
            </w:r>
            <w:r>
              <w:rPr>
                <w:rFonts w:hAnsi="方正黑体_GBK" w:cs="方正黑体_GBK" w:hint="eastAsia"/>
                <w:color w:val="000000"/>
                <w:sz w:val="18"/>
                <w:szCs w:val="18"/>
              </w:rPr>
              <w:t>=</w:t>
            </w:r>
            <w:r>
              <w:rPr>
                <w:rFonts w:hAnsi="方正黑体_GBK" w:cs="方正黑体_GBK" w:hint="eastAsia"/>
                <w:color w:val="000000"/>
                <w:sz w:val="18"/>
                <w:szCs w:val="18"/>
              </w:rPr>
              <w:t>到期时持有份额×</w:t>
            </w:r>
            <w:r>
              <w:rPr>
                <w:rFonts w:hAnsi="方正黑体_GBK" w:cs="方正黑体_GBK" w:hint="eastAsia"/>
                <w:color w:val="000000"/>
                <w:sz w:val="18"/>
                <w:szCs w:val="18"/>
              </w:rPr>
              <w:t>P</w:t>
            </w:r>
            <w:r>
              <w:rPr>
                <w:rFonts w:hAnsi="方正黑体_GBK" w:cs="方正黑体_GBK" w:hint="eastAsia"/>
                <w:color w:val="000000"/>
                <w:sz w:val="18"/>
                <w:szCs w:val="18"/>
              </w:rPr>
              <w:t>。</w:t>
            </w:r>
            <w:r>
              <w:rPr>
                <w:rFonts w:hAnsi="方正黑体_GBK" w:cs="方正黑体_GBK" w:hint="eastAsia"/>
                <w:color w:val="000000"/>
                <w:sz w:val="18"/>
                <w:szCs w:val="18"/>
              </w:rPr>
              <w:t xml:space="preserve"> P</w:t>
            </w:r>
            <w:r>
              <w:rPr>
                <w:rFonts w:hAnsi="方正黑体_GBK" w:cs="方正黑体_GBK" w:hint="eastAsia"/>
                <w:color w:val="000000"/>
                <w:sz w:val="18"/>
                <w:szCs w:val="18"/>
              </w:rPr>
              <w:t>为期末理财产品单位净值。（已扣除相关费用，到期兑付金额以去尾法保留两位小数）</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color w:val="000000"/>
                <w:kern w:val="0"/>
                <w:sz w:val="18"/>
                <w:szCs w:val="18"/>
              </w:rPr>
            </w:pPr>
            <w:r>
              <w:rPr>
                <w:rFonts w:hAnsi="方正黑体_GBK" w:cs="方正黑体_GBK" w:hint="eastAsia"/>
                <w:color w:val="000000"/>
                <w:kern w:val="0"/>
                <w:sz w:val="18"/>
                <w:szCs w:val="18"/>
              </w:rPr>
              <w:t>份额最低持有期</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28</w:t>
            </w:r>
            <w:r>
              <w:rPr>
                <w:rFonts w:hAnsi="方正黑体_GBK" w:cs="方正黑体_GBK" w:hint="eastAsia"/>
                <w:sz w:val="18"/>
                <w:szCs w:val="18"/>
              </w:rPr>
              <w:t>天</w:t>
            </w:r>
          </w:p>
          <w:p w:rsidR="00833B6B" w:rsidRDefault="00A3344E">
            <w:pPr>
              <w:spacing w:line="200" w:lineRule="exact"/>
              <w:rPr>
                <w:rFonts w:hAnsi="方正黑体_GBK" w:cs="方正黑体_GBK"/>
              </w:rPr>
            </w:pPr>
            <w:r>
              <w:rPr>
                <w:rFonts w:hAnsi="方正黑体_GBK" w:cs="方正黑体_GBK" w:hint="eastAsia"/>
                <w:sz w:val="18"/>
                <w:szCs w:val="18"/>
              </w:rPr>
              <w:t>（认购份额从成立日起最低持有期为</w:t>
            </w:r>
            <w:r>
              <w:rPr>
                <w:rFonts w:hAnsi="方正黑体_GBK" w:cs="方正黑体_GBK" w:hint="eastAsia"/>
                <w:sz w:val="18"/>
                <w:szCs w:val="18"/>
              </w:rPr>
              <w:t>28</w:t>
            </w:r>
            <w:r>
              <w:rPr>
                <w:rFonts w:hAnsi="方正黑体_GBK" w:cs="方正黑体_GBK" w:hint="eastAsia"/>
                <w:sz w:val="18"/>
                <w:szCs w:val="18"/>
              </w:rPr>
              <w:t>天，</w:t>
            </w:r>
            <w:r>
              <w:rPr>
                <w:rFonts w:hAnsi="方正黑体_GBK" w:cs="方正黑体_GBK" w:hint="eastAsia"/>
                <w:sz w:val="18"/>
                <w:szCs w:val="18"/>
              </w:rPr>
              <w:t>2023</w:t>
            </w:r>
            <w:r>
              <w:rPr>
                <w:rFonts w:hAnsi="方正黑体_GBK" w:cs="方正黑体_GBK" w:hint="eastAsia"/>
                <w:sz w:val="18"/>
                <w:szCs w:val="18"/>
              </w:rPr>
              <w:t>年</w:t>
            </w:r>
            <w:r>
              <w:rPr>
                <w:rFonts w:hAnsi="方正黑体_GBK" w:cs="方正黑体_GBK" w:hint="eastAsia"/>
                <w:sz w:val="18"/>
                <w:szCs w:val="18"/>
              </w:rPr>
              <w:t>05</w:t>
            </w:r>
            <w:r>
              <w:rPr>
                <w:rFonts w:hAnsi="方正黑体_GBK" w:cs="方正黑体_GBK" w:hint="eastAsia"/>
                <w:sz w:val="18"/>
                <w:szCs w:val="18"/>
              </w:rPr>
              <w:t>月</w:t>
            </w:r>
            <w:r>
              <w:rPr>
                <w:rFonts w:hAnsi="方正黑体_GBK" w:cs="方正黑体_GBK" w:hint="eastAsia"/>
                <w:sz w:val="18"/>
                <w:szCs w:val="18"/>
              </w:rPr>
              <w:t>21</w:t>
            </w:r>
            <w:r>
              <w:rPr>
                <w:rFonts w:hAnsi="方正黑体_GBK" w:cs="方正黑体_GBK" w:hint="eastAsia"/>
                <w:sz w:val="18"/>
                <w:szCs w:val="18"/>
              </w:rPr>
              <w:t>日</w:t>
            </w:r>
            <w:proofErr w:type="gramStart"/>
            <w:r>
              <w:rPr>
                <w:rFonts w:hAnsi="方正黑体_GBK" w:cs="方正黑体_GBK" w:hint="eastAsia"/>
                <w:sz w:val="18"/>
                <w:szCs w:val="18"/>
              </w:rPr>
              <w:t>及之前</w:t>
            </w:r>
            <w:proofErr w:type="gramEnd"/>
            <w:r>
              <w:rPr>
                <w:rFonts w:hAnsi="方正黑体_GBK" w:cs="方正黑体_GBK" w:hint="eastAsia"/>
                <w:sz w:val="18"/>
                <w:szCs w:val="18"/>
              </w:rPr>
              <w:t>不可提出赎回申请；申购份额从份额运作起始日起最低持有期为</w:t>
            </w:r>
            <w:r>
              <w:rPr>
                <w:rFonts w:hAnsi="方正黑体_GBK" w:cs="方正黑体_GBK" w:hint="eastAsia"/>
                <w:sz w:val="18"/>
                <w:szCs w:val="18"/>
              </w:rPr>
              <w:t>28</w:t>
            </w:r>
            <w:r>
              <w:rPr>
                <w:rFonts w:hAnsi="方正黑体_GBK" w:cs="方正黑体_GBK" w:hint="eastAsia"/>
                <w:sz w:val="18"/>
                <w:szCs w:val="18"/>
              </w:rPr>
              <w:t>天，</w:t>
            </w:r>
            <w:r>
              <w:rPr>
                <w:rFonts w:hAnsi="方正黑体_GBK" w:cs="方正黑体_GBK" w:hint="eastAsia"/>
                <w:sz w:val="18"/>
                <w:szCs w:val="18"/>
              </w:rPr>
              <w:t>28</w:t>
            </w:r>
            <w:r>
              <w:rPr>
                <w:rFonts w:hAnsi="方正黑体_GBK" w:cs="方正黑体_GBK" w:hint="eastAsia"/>
                <w:sz w:val="18"/>
                <w:szCs w:val="18"/>
              </w:rPr>
              <w:t>天以内不可提出赎回申请。）</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收益分配</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当理财产品单位净值不低于</w:t>
            </w:r>
            <w:r>
              <w:rPr>
                <w:rFonts w:hAnsi="方正黑体_GBK" w:cs="方正黑体_GBK" w:hint="eastAsia"/>
                <w:sz w:val="18"/>
                <w:szCs w:val="18"/>
              </w:rPr>
              <w:t>1</w:t>
            </w:r>
            <w:r>
              <w:rPr>
                <w:rFonts w:hAnsi="方正黑体_GBK" w:cs="方正黑体_GBK" w:hint="eastAsia"/>
                <w:sz w:val="18"/>
                <w:szCs w:val="18"/>
              </w:rPr>
              <w:t>时，管理人可以根据实际情况进行收益分配，分配方式为现金分红，具体分配方案以信息披露为准（分配后理财产品净值不低于</w:t>
            </w:r>
            <w:r>
              <w:rPr>
                <w:rFonts w:hAnsi="方正黑体_GBK" w:cs="方正黑体_GBK" w:hint="eastAsia"/>
                <w:sz w:val="18"/>
                <w:szCs w:val="18"/>
              </w:rPr>
              <w:t>1</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产品到期后，理财产品管理人和代销机构将根据理财资金所投资资产实际运作情况向投资者分配到期款项。</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资金到账日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赎回资金、分红资金（如有）、到期资金将于赎回确认日、分红权益登记日（如有）、实际到期日后</w:t>
            </w:r>
            <w:r>
              <w:rPr>
                <w:rFonts w:hAnsi="方正黑体_GBK" w:cs="方正黑体_GBK" w:hint="eastAsia"/>
                <w:sz w:val="18"/>
                <w:szCs w:val="18"/>
              </w:rPr>
              <w:t>5</w:t>
            </w:r>
            <w:r>
              <w:rPr>
                <w:rFonts w:hAnsi="方正黑体_GBK" w:cs="方正黑体_GBK" w:hint="eastAsia"/>
                <w:sz w:val="18"/>
                <w:szCs w:val="18"/>
              </w:rPr>
              <w:t>个工作日内划入投资者授权指定账户，赎回确认日、分红权益登记日（如有）、实际到期日后至投资者收益划到投资者授权指定账户之前不计任何收益。</w:t>
            </w:r>
          </w:p>
          <w:p w:rsidR="00833B6B" w:rsidRDefault="00A3344E">
            <w:pPr>
              <w:spacing w:line="200" w:lineRule="exact"/>
              <w:jc w:val="left"/>
              <w:rPr>
                <w:rFonts w:hAnsi="方正黑体_GBK" w:cs="方正黑体_GBK"/>
              </w:rPr>
            </w:pPr>
            <w:r>
              <w:rPr>
                <w:rFonts w:hAnsi="方正黑体_GBK" w:cs="方正黑体_GBK" w:hint="eastAsia"/>
                <w:sz w:val="18"/>
                <w:szCs w:val="18"/>
              </w:rPr>
              <w:t>分红权益登记日指管理人确认投资者所持份额是否享受本次分红的日期。</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投资范围</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本理财产品募集的资金投资于以下金融资产和金融工具，包括但不限于：</w:t>
            </w:r>
          </w:p>
          <w:p w:rsidR="00833B6B" w:rsidRDefault="00A3344E">
            <w:pPr>
              <w:spacing w:line="200" w:lineRule="exact"/>
              <w:jc w:val="left"/>
              <w:rPr>
                <w:rFonts w:hAnsi="方正黑体_GBK" w:cs="方正黑体_GBK"/>
              </w:rPr>
            </w:pPr>
            <w:r>
              <w:rPr>
                <w:rFonts w:hAnsi="方正黑体_GBK" w:cs="方正黑体_GBK" w:hint="eastAsia"/>
                <w:sz w:val="18"/>
                <w:szCs w:val="18"/>
              </w:rPr>
              <w:t>1.</w:t>
            </w:r>
            <w:r>
              <w:rPr>
                <w:rFonts w:hAnsi="方正黑体_GBK" w:cs="方正黑体_GBK" w:hint="eastAsia"/>
                <w:sz w:val="18"/>
                <w:szCs w:val="18"/>
              </w:rPr>
              <w:t>现金、银行存款、银行承兑汇票、同业存款、大额存单、同业存单、债券回购、货币基金等货币市场工具；</w:t>
            </w:r>
          </w:p>
          <w:p w:rsidR="00833B6B" w:rsidRDefault="00A3344E">
            <w:pPr>
              <w:spacing w:line="200" w:lineRule="exact"/>
              <w:jc w:val="lef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国债、央票、企业债、金融债、政策性金融债、次级债、二级资本债、永续债、资产支持证券、资产支持票据、地方政府债、中期票据、超短期融资</w:t>
            </w:r>
            <w:proofErr w:type="gramStart"/>
            <w:r>
              <w:rPr>
                <w:rFonts w:hAnsi="方正黑体_GBK" w:cs="方正黑体_GBK" w:hint="eastAsia"/>
                <w:sz w:val="18"/>
                <w:szCs w:val="18"/>
              </w:rPr>
              <w:t>券</w:t>
            </w:r>
            <w:proofErr w:type="gramEnd"/>
            <w:r>
              <w:rPr>
                <w:rFonts w:hAnsi="方正黑体_GBK" w:cs="方正黑体_GBK" w:hint="eastAsia"/>
                <w:sz w:val="18"/>
                <w:szCs w:val="18"/>
              </w:rPr>
              <w:t>、短期融资</w:t>
            </w:r>
            <w:proofErr w:type="gramStart"/>
            <w:r>
              <w:rPr>
                <w:rFonts w:hAnsi="方正黑体_GBK" w:cs="方正黑体_GBK" w:hint="eastAsia"/>
                <w:sz w:val="18"/>
                <w:szCs w:val="18"/>
              </w:rPr>
              <w:t>券</w:t>
            </w:r>
            <w:proofErr w:type="gramEnd"/>
            <w:r>
              <w:rPr>
                <w:rFonts w:hAnsi="方正黑体_GBK" w:cs="方正黑体_GBK" w:hint="eastAsia"/>
                <w:sz w:val="18"/>
                <w:szCs w:val="18"/>
              </w:rPr>
              <w:t>、公司债、可转债、可交债、非公开定向债务融资工具</w:t>
            </w:r>
            <w:r>
              <w:rPr>
                <w:rFonts w:hAnsi="方正黑体_GBK" w:cs="方正黑体_GBK" w:hint="eastAsia"/>
                <w:sz w:val="18"/>
                <w:szCs w:val="18"/>
              </w:rPr>
              <w:t>(PPN)</w:t>
            </w:r>
            <w:r>
              <w:rPr>
                <w:rFonts w:hAnsi="方正黑体_GBK" w:cs="方正黑体_GBK" w:hint="eastAsia"/>
                <w:sz w:val="18"/>
                <w:szCs w:val="18"/>
              </w:rPr>
              <w:t>、公募债券型证券投资基金等标准化债权类资产；</w:t>
            </w:r>
          </w:p>
          <w:p w:rsidR="00833B6B" w:rsidRDefault="00A3344E">
            <w:pPr>
              <w:spacing w:line="200" w:lineRule="exact"/>
              <w:jc w:val="left"/>
              <w:rPr>
                <w:rFonts w:hAnsi="方正黑体_GBK" w:cs="方正黑体_GBK"/>
              </w:rPr>
            </w:pPr>
            <w:r>
              <w:rPr>
                <w:rFonts w:hAnsi="方正黑体_GBK" w:cs="方正黑体_GBK" w:hint="eastAsia"/>
                <w:sz w:val="18"/>
                <w:szCs w:val="18"/>
              </w:rPr>
              <w:t>3.</w:t>
            </w:r>
            <w:r>
              <w:rPr>
                <w:rFonts w:hAnsi="方正黑体_GBK" w:cs="方正黑体_GBK" w:hint="eastAsia"/>
                <w:sz w:val="18"/>
                <w:szCs w:val="18"/>
              </w:rPr>
              <w:t>公开募集基础设施证券投资基金等符合监管要求的公募证券投资基金；</w:t>
            </w:r>
          </w:p>
          <w:p w:rsidR="00833B6B" w:rsidRDefault="00A3344E">
            <w:pPr>
              <w:spacing w:line="200" w:lineRule="exact"/>
              <w:jc w:val="left"/>
              <w:rPr>
                <w:rFonts w:hAnsi="方正黑体_GBK" w:cs="方正黑体_GBK"/>
              </w:rPr>
            </w:pPr>
            <w:r>
              <w:rPr>
                <w:rFonts w:hAnsi="方正黑体_GBK" w:cs="方正黑体_GBK" w:hint="eastAsia"/>
                <w:sz w:val="18"/>
                <w:szCs w:val="18"/>
              </w:rPr>
              <w:t>4.</w:t>
            </w:r>
            <w:r>
              <w:rPr>
                <w:rFonts w:hAnsi="方正黑体_GBK" w:cs="方正黑体_GBK" w:hint="eastAsia"/>
                <w:sz w:val="18"/>
                <w:szCs w:val="18"/>
              </w:rPr>
              <w:t>投资范围为上述资产的信托计划、资产管理计划等资产管理产品；</w:t>
            </w:r>
          </w:p>
          <w:p w:rsidR="00833B6B" w:rsidRDefault="00A3344E">
            <w:pPr>
              <w:spacing w:line="200" w:lineRule="exact"/>
              <w:jc w:val="left"/>
              <w:rPr>
                <w:rFonts w:hAnsi="方正黑体_GBK" w:cs="方正黑体_GBK"/>
              </w:rPr>
            </w:pPr>
            <w:r>
              <w:rPr>
                <w:rFonts w:hAnsi="方正黑体_GBK" w:cs="方正黑体_GBK" w:hint="eastAsia"/>
                <w:sz w:val="18"/>
                <w:szCs w:val="18"/>
              </w:rPr>
              <w:t>5.</w:t>
            </w:r>
            <w:r>
              <w:rPr>
                <w:rFonts w:hAnsi="方正黑体_GBK" w:cs="方正黑体_GBK" w:hint="eastAsia"/>
                <w:sz w:val="18"/>
                <w:szCs w:val="18"/>
              </w:rPr>
              <w:t>法律法规或监管机构允许投资的符合本理财产品投资性质的其他金融工具；</w:t>
            </w:r>
          </w:p>
          <w:p w:rsidR="00833B6B" w:rsidRDefault="00A3344E">
            <w:pPr>
              <w:spacing w:line="200" w:lineRule="exact"/>
              <w:rPr>
                <w:rFonts w:hAnsi="方正黑体_GBK" w:cs="方正黑体_GBK"/>
              </w:rPr>
            </w:pPr>
            <w:r>
              <w:rPr>
                <w:rFonts w:hAnsi="方正黑体_GBK" w:cs="方正黑体_GBK" w:hint="eastAsia"/>
                <w:sz w:val="18"/>
                <w:szCs w:val="18"/>
              </w:rPr>
              <w:t>6.</w:t>
            </w:r>
            <w:r>
              <w:rPr>
                <w:rFonts w:hAnsi="方正黑体_GBK" w:cs="方正黑体_GBK" w:hint="eastAsia"/>
                <w:sz w:val="18"/>
                <w:szCs w:val="18"/>
              </w:rPr>
              <w:t>如存在法律法规或监管机构以后允许投资的其他品种或法律</w:t>
            </w:r>
            <w:r>
              <w:rPr>
                <w:rFonts w:hAnsi="方正黑体_GBK" w:cs="方正黑体_GBK" w:hint="eastAsia"/>
                <w:sz w:val="18"/>
                <w:szCs w:val="18"/>
              </w:rPr>
              <w:t>法规或监管政策出现调整，管理人在履行本理财产品销售文件规定的适当程序后，有权调整以上品种。</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投资比例</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本理财产品投资于固定收益类资产的比例不低于本理财产品总资产的</w:t>
            </w:r>
            <w:r>
              <w:rPr>
                <w:rFonts w:hAnsi="方正黑体_GBK" w:cs="方正黑体_GBK" w:hint="eastAsia"/>
                <w:sz w:val="18"/>
                <w:szCs w:val="18"/>
              </w:rPr>
              <w:t>80%</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注：非因管理人主观因素导致突破上述比例限制的，管理人将在流动性受限资产可出售、可转让或者恢复交易的</w:t>
            </w:r>
            <w:r>
              <w:rPr>
                <w:rFonts w:hAnsi="方正黑体_GBK" w:cs="方正黑体_GBK" w:hint="eastAsia"/>
                <w:sz w:val="18"/>
                <w:szCs w:val="18"/>
              </w:rPr>
              <w:t>15</w:t>
            </w:r>
            <w:r>
              <w:rPr>
                <w:rFonts w:hAnsi="方正黑体_GBK" w:cs="方正黑体_GBK" w:hint="eastAsia"/>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投资策略</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bCs/>
                <w:kern w:val="0"/>
                <w:sz w:val="18"/>
                <w:szCs w:val="18"/>
              </w:rPr>
              <w:t>业绩比较基准</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A</w:t>
            </w:r>
            <w:r>
              <w:rPr>
                <w:rFonts w:hAnsi="方正黑体_GBK" w:cs="方正黑体_GBK" w:hint="eastAsia"/>
                <w:sz w:val="18"/>
                <w:szCs w:val="18"/>
              </w:rPr>
              <w:t>份额：业绩比较基准</w:t>
            </w:r>
            <w:proofErr w:type="gramStart"/>
            <w:r>
              <w:rPr>
                <w:rFonts w:hAnsi="方正黑体_GBK" w:cs="方正黑体_GBK" w:hint="eastAsia"/>
                <w:sz w:val="18"/>
                <w:szCs w:val="18"/>
              </w:rPr>
              <w:t>为年化</w:t>
            </w:r>
            <w:proofErr w:type="gramEnd"/>
            <w:r>
              <w:rPr>
                <w:rFonts w:hAnsi="方正黑体_GBK" w:cs="方正黑体_GBK" w:hint="eastAsia"/>
                <w:sz w:val="18"/>
                <w:szCs w:val="18"/>
              </w:rPr>
              <w:t>2.</w:t>
            </w:r>
            <w:r>
              <w:rPr>
                <w:rFonts w:hAnsi="方正黑体_GBK" w:cs="方正黑体_GBK" w:hint="eastAsia"/>
                <w:sz w:val="18"/>
                <w:szCs w:val="18"/>
              </w:rPr>
              <w:t>1</w:t>
            </w:r>
            <w:r>
              <w:rPr>
                <w:rFonts w:hAnsi="方正黑体_GBK" w:cs="方正黑体_GBK" w:hint="eastAsia"/>
                <w:sz w:val="18"/>
                <w:szCs w:val="18"/>
              </w:rPr>
              <w:t>5%-</w:t>
            </w:r>
            <w:r>
              <w:rPr>
                <w:rFonts w:hAnsi="方正黑体_GBK" w:cs="方正黑体_GBK" w:hint="eastAsia"/>
                <w:sz w:val="18"/>
                <w:szCs w:val="18"/>
              </w:rPr>
              <w:t>2.7</w:t>
            </w:r>
            <w:r>
              <w:rPr>
                <w:rFonts w:hAnsi="方正黑体_GBK" w:cs="方正黑体_GBK" w:hint="eastAsia"/>
                <w:sz w:val="18"/>
                <w:szCs w:val="18"/>
              </w:rPr>
              <w:t xml:space="preserve">% </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B</w:t>
            </w:r>
            <w:r>
              <w:rPr>
                <w:rFonts w:hAnsi="方正黑体_GBK" w:cs="方正黑体_GBK" w:hint="eastAsia"/>
                <w:sz w:val="18"/>
                <w:szCs w:val="18"/>
              </w:rPr>
              <w:t>份额：业绩比较基准</w:t>
            </w:r>
            <w:proofErr w:type="gramStart"/>
            <w:r>
              <w:rPr>
                <w:rFonts w:hAnsi="方正黑体_GBK" w:cs="方正黑体_GBK" w:hint="eastAsia"/>
                <w:sz w:val="18"/>
                <w:szCs w:val="18"/>
              </w:rPr>
              <w:t>为年化</w:t>
            </w:r>
            <w:proofErr w:type="gramEnd"/>
            <w:r>
              <w:rPr>
                <w:rFonts w:hAnsi="方正黑体_GBK" w:cs="方正黑体_GBK" w:hint="eastAsia"/>
                <w:sz w:val="18"/>
                <w:szCs w:val="18"/>
              </w:rPr>
              <w:t>2.</w:t>
            </w:r>
            <w:r>
              <w:rPr>
                <w:rFonts w:hAnsi="方正黑体_GBK" w:cs="方正黑体_GBK" w:hint="eastAsia"/>
                <w:sz w:val="18"/>
                <w:szCs w:val="18"/>
              </w:rPr>
              <w:t>1</w:t>
            </w:r>
            <w:r>
              <w:rPr>
                <w:rFonts w:hAnsi="方正黑体_GBK" w:cs="方正黑体_GBK" w:hint="eastAsia"/>
                <w:sz w:val="18"/>
                <w:szCs w:val="18"/>
              </w:rPr>
              <w:t>5%-</w:t>
            </w:r>
            <w:r>
              <w:rPr>
                <w:rFonts w:hAnsi="方正黑体_GBK" w:cs="方正黑体_GBK" w:hint="eastAsia"/>
                <w:sz w:val="18"/>
                <w:szCs w:val="18"/>
              </w:rPr>
              <w:t>2.7</w:t>
            </w:r>
            <w:r>
              <w:rPr>
                <w:rFonts w:hAnsi="方正黑体_GBK" w:cs="方正黑体_GBK" w:hint="eastAsia"/>
                <w:sz w:val="18"/>
                <w:szCs w:val="18"/>
              </w:rPr>
              <w:t xml:space="preserve">% </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C</w:t>
            </w:r>
            <w:r>
              <w:rPr>
                <w:rFonts w:hAnsi="方正黑体_GBK" w:cs="方正黑体_GBK" w:hint="eastAsia"/>
                <w:sz w:val="18"/>
                <w:szCs w:val="18"/>
              </w:rPr>
              <w:t>份额：业绩比较基准</w:t>
            </w:r>
            <w:proofErr w:type="gramStart"/>
            <w:r>
              <w:rPr>
                <w:rFonts w:hAnsi="方正黑体_GBK" w:cs="方正黑体_GBK" w:hint="eastAsia"/>
                <w:sz w:val="18"/>
                <w:szCs w:val="18"/>
              </w:rPr>
              <w:t>为年化</w:t>
            </w:r>
            <w:proofErr w:type="gramEnd"/>
            <w:r>
              <w:rPr>
                <w:rFonts w:hAnsi="方正黑体_GBK" w:cs="方正黑体_GBK" w:hint="eastAsia"/>
                <w:sz w:val="18"/>
                <w:szCs w:val="18"/>
              </w:rPr>
              <w:t>2.</w:t>
            </w:r>
            <w:r>
              <w:rPr>
                <w:rFonts w:hAnsi="方正黑体_GBK" w:cs="方正黑体_GBK" w:hint="eastAsia"/>
                <w:sz w:val="18"/>
                <w:szCs w:val="18"/>
              </w:rPr>
              <w:t>1</w:t>
            </w:r>
            <w:r>
              <w:rPr>
                <w:rFonts w:hAnsi="方正黑体_GBK" w:cs="方正黑体_GBK" w:hint="eastAsia"/>
                <w:sz w:val="18"/>
                <w:szCs w:val="18"/>
              </w:rPr>
              <w:t>5%-</w:t>
            </w:r>
            <w:r>
              <w:rPr>
                <w:rFonts w:hAnsi="方正黑体_GBK" w:cs="方正黑体_GBK" w:hint="eastAsia"/>
                <w:sz w:val="18"/>
                <w:szCs w:val="18"/>
              </w:rPr>
              <w:t>2.7</w:t>
            </w:r>
            <w:r>
              <w:rPr>
                <w:rFonts w:hAnsi="方正黑体_GBK" w:cs="方正黑体_GBK" w:hint="eastAsia"/>
                <w:sz w:val="18"/>
                <w:szCs w:val="18"/>
              </w:rPr>
              <w:t xml:space="preserve">% </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D</w:t>
            </w:r>
            <w:r>
              <w:rPr>
                <w:rFonts w:hAnsi="方正黑体_GBK" w:cs="方正黑体_GBK" w:hint="eastAsia"/>
                <w:sz w:val="18"/>
                <w:szCs w:val="18"/>
              </w:rPr>
              <w:t>份额：业绩比较基准</w:t>
            </w:r>
            <w:proofErr w:type="gramStart"/>
            <w:r>
              <w:rPr>
                <w:rFonts w:hAnsi="方正黑体_GBK" w:cs="方正黑体_GBK" w:hint="eastAsia"/>
                <w:sz w:val="18"/>
                <w:szCs w:val="18"/>
              </w:rPr>
              <w:t>为年化</w:t>
            </w:r>
            <w:proofErr w:type="gramEnd"/>
            <w:r>
              <w:rPr>
                <w:rFonts w:hAnsi="方正黑体_GBK" w:cs="方正黑体_GBK" w:hint="eastAsia"/>
                <w:sz w:val="18"/>
                <w:szCs w:val="18"/>
              </w:rPr>
              <w:t>2.</w:t>
            </w:r>
            <w:r>
              <w:rPr>
                <w:rFonts w:hAnsi="方正黑体_GBK" w:cs="方正黑体_GBK" w:hint="eastAsia"/>
                <w:sz w:val="18"/>
                <w:szCs w:val="18"/>
              </w:rPr>
              <w:t>1</w:t>
            </w:r>
            <w:r>
              <w:rPr>
                <w:rFonts w:hAnsi="方正黑体_GBK" w:cs="方正黑体_GBK" w:hint="eastAsia"/>
                <w:sz w:val="18"/>
                <w:szCs w:val="18"/>
              </w:rPr>
              <w:t>5%-</w:t>
            </w:r>
            <w:r>
              <w:rPr>
                <w:rFonts w:hAnsi="方正黑体_GBK" w:cs="方正黑体_GBK" w:hint="eastAsia"/>
                <w:sz w:val="18"/>
                <w:szCs w:val="18"/>
              </w:rPr>
              <w:t>2.7</w:t>
            </w:r>
            <w:r>
              <w:rPr>
                <w:rFonts w:hAnsi="方正黑体_GBK" w:cs="方正黑体_GBK" w:hint="eastAsia"/>
                <w:sz w:val="18"/>
                <w:szCs w:val="18"/>
              </w:rPr>
              <w:t xml:space="preserve">% </w:t>
            </w:r>
            <w:r>
              <w:rPr>
                <w:rFonts w:hAnsi="方正黑体_GBK" w:cs="方正黑体_GBK" w:hint="eastAsia"/>
                <w:sz w:val="18"/>
                <w:szCs w:val="18"/>
              </w:rPr>
              <w:t>。</w:t>
            </w:r>
          </w:p>
          <w:p w:rsidR="00833B6B" w:rsidRDefault="00A3344E">
            <w:pPr>
              <w:spacing w:line="200" w:lineRule="exact"/>
              <w:jc w:val="left"/>
              <w:rPr>
                <w:rFonts w:hAnsi="方正黑体_GBK" w:cs="方正黑体_GBK"/>
                <w:sz w:val="18"/>
                <w:szCs w:val="18"/>
              </w:rPr>
            </w:pPr>
            <w:r>
              <w:rPr>
                <w:rFonts w:ascii="宋体" w:hAnsi="宋体" w:cs="宋体" w:hint="eastAsia"/>
                <w:kern w:val="0"/>
                <w:sz w:val="18"/>
                <w:szCs w:val="18"/>
              </w:rPr>
              <w:t>本理财产品业绩比较基准是管理人基于过往投资经验、对产品</w:t>
            </w:r>
            <w:proofErr w:type="gramStart"/>
            <w:r>
              <w:rPr>
                <w:rFonts w:ascii="宋体" w:hAnsi="宋体" w:cs="宋体" w:hint="eastAsia"/>
                <w:kern w:val="0"/>
                <w:sz w:val="18"/>
                <w:szCs w:val="18"/>
              </w:rPr>
              <w:t>存续期拟投资</w:t>
            </w:r>
            <w:proofErr w:type="gramEnd"/>
            <w:r>
              <w:rPr>
                <w:rFonts w:ascii="宋体" w:hAnsi="宋体" w:cs="宋体" w:hint="eastAsia"/>
                <w:kern w:val="0"/>
                <w:sz w:val="18"/>
                <w:szCs w:val="18"/>
              </w:rPr>
              <w:t>标的和相应投资市场波动的预判设定的投资目标。本理财产品投资于固定收益类资产的比例不低于</w:t>
            </w:r>
            <w:r>
              <w:rPr>
                <w:rFonts w:ascii="宋体" w:hAnsi="宋体" w:cs="宋体"/>
                <w:kern w:val="0"/>
                <w:sz w:val="18"/>
                <w:szCs w:val="18"/>
              </w:rPr>
              <w:t>80</w:t>
            </w:r>
            <w:r>
              <w:rPr>
                <w:rFonts w:ascii="宋体" w:hAnsi="宋体" w:cs="宋体" w:hint="eastAsia"/>
                <w:kern w:val="0"/>
                <w:sz w:val="18"/>
                <w:szCs w:val="18"/>
              </w:rPr>
              <w:t>%</w:t>
            </w:r>
            <w:r>
              <w:rPr>
                <w:rFonts w:ascii="宋体" w:hAnsi="宋体" w:cs="宋体" w:hint="eastAsia"/>
                <w:kern w:val="0"/>
                <w:sz w:val="18"/>
                <w:szCs w:val="18"/>
              </w:rPr>
              <w:t>。结合债券市场的收益和波动水平预判，在本理财产品约定的投资策略基础上，管理人设定了本理财产品投资周期内的业绩比较基准。</w:t>
            </w:r>
          </w:p>
          <w:p w:rsidR="00833B6B" w:rsidRDefault="00A3344E">
            <w:pPr>
              <w:spacing w:line="200" w:lineRule="exact"/>
              <w:jc w:val="left"/>
              <w:rPr>
                <w:rFonts w:hAnsi="方正黑体_GBK" w:cs="方正黑体_GBK"/>
              </w:rPr>
            </w:pPr>
            <w:r>
              <w:rPr>
                <w:rFonts w:hAnsi="方正黑体_GBK" w:cs="方正黑体_GBK" w:hint="eastAsia"/>
                <w:sz w:val="18"/>
                <w:szCs w:val="18"/>
              </w:rPr>
              <w:t>注：管理人可根据市场情况对业绩比较基准进行适当调整，如有调整，将至少于调整前</w:t>
            </w:r>
            <w:r>
              <w:rPr>
                <w:rFonts w:hAnsi="方正黑体_GBK" w:cs="方正黑体_GBK" w:hint="eastAsia"/>
                <w:sz w:val="18"/>
                <w:szCs w:val="18"/>
              </w:rPr>
              <w:t>3</w:t>
            </w:r>
            <w:r>
              <w:rPr>
                <w:rFonts w:hAnsi="方正黑体_GBK" w:cs="方正黑体_GBK" w:hint="eastAsia"/>
                <w:sz w:val="18"/>
                <w:szCs w:val="18"/>
              </w:rPr>
              <w:t>个工作日公布调整方案。</w:t>
            </w:r>
          </w:p>
          <w:p w:rsidR="00833B6B" w:rsidRDefault="00A3344E">
            <w:pPr>
              <w:spacing w:line="200" w:lineRule="exact"/>
              <w:rPr>
                <w:rFonts w:hAnsi="方正黑体_GBK" w:cs="方正黑体_GBK"/>
              </w:rPr>
            </w:pPr>
            <w:r>
              <w:rPr>
                <w:rFonts w:hAnsi="方正黑体_GBK" w:cs="方正黑体_GBK" w:hint="eastAsia"/>
                <w:b/>
                <w:sz w:val="18"/>
                <w:szCs w:val="18"/>
              </w:rPr>
              <w:t>本理财产品为净值型理财产品，业绩比较基准不是预期收益率，不代表产品的未来表现和实际收益，不构成对产品收益的承诺。</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bCs/>
                <w:kern w:val="0"/>
                <w:sz w:val="18"/>
                <w:szCs w:val="18"/>
              </w:rPr>
            </w:pPr>
            <w:r>
              <w:rPr>
                <w:rFonts w:hAnsi="方正黑体_GBK" w:cs="方正黑体_GBK" w:hint="eastAsia"/>
                <w:kern w:val="0"/>
                <w:sz w:val="18"/>
                <w:szCs w:val="18"/>
              </w:rPr>
              <w:t>产品费用</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b/>
                <w:sz w:val="18"/>
                <w:szCs w:val="18"/>
              </w:rPr>
              <w:t>认</w:t>
            </w:r>
            <w:r>
              <w:rPr>
                <w:rFonts w:hAnsi="方正黑体_GBK" w:cs="方正黑体_GBK" w:hint="eastAsia"/>
                <w:b/>
                <w:sz w:val="18"/>
                <w:szCs w:val="18"/>
              </w:rPr>
              <w:t>/</w:t>
            </w:r>
            <w:r>
              <w:rPr>
                <w:rFonts w:hAnsi="方正黑体_GBK" w:cs="方正黑体_GBK" w:hint="eastAsia"/>
                <w:b/>
                <w:sz w:val="18"/>
                <w:szCs w:val="18"/>
              </w:rPr>
              <w:t>申购费：本理财产品暂不收取认</w:t>
            </w:r>
            <w:r>
              <w:rPr>
                <w:rFonts w:hAnsi="方正黑体_GBK" w:cs="方正黑体_GBK" w:hint="eastAsia"/>
                <w:b/>
                <w:sz w:val="18"/>
                <w:szCs w:val="18"/>
              </w:rPr>
              <w:t>/</w:t>
            </w:r>
            <w:r>
              <w:rPr>
                <w:rFonts w:hAnsi="方正黑体_GBK" w:cs="方正黑体_GBK" w:hint="eastAsia"/>
                <w:b/>
                <w:sz w:val="18"/>
                <w:szCs w:val="18"/>
              </w:rPr>
              <w:t>申购费。</w:t>
            </w:r>
          </w:p>
          <w:p w:rsidR="00833B6B" w:rsidRDefault="00A3344E">
            <w:pPr>
              <w:spacing w:line="200" w:lineRule="exact"/>
              <w:rPr>
                <w:rFonts w:hAnsi="方正黑体_GBK" w:cs="方正黑体_GBK"/>
              </w:rPr>
            </w:pPr>
            <w:r>
              <w:rPr>
                <w:rFonts w:hAnsi="方正黑体_GBK" w:cs="方正黑体_GBK" w:hint="eastAsia"/>
                <w:b/>
                <w:sz w:val="18"/>
                <w:szCs w:val="18"/>
              </w:rPr>
              <w:t>赎回费：本理财产品暂不收取赎回费。</w:t>
            </w:r>
          </w:p>
          <w:p w:rsidR="00833B6B" w:rsidRDefault="00A3344E">
            <w:pPr>
              <w:spacing w:line="200" w:lineRule="exact"/>
              <w:rPr>
                <w:rFonts w:hAnsi="方正黑体_GBK" w:cs="方正黑体_GBK"/>
              </w:rPr>
            </w:pPr>
            <w:r>
              <w:rPr>
                <w:rFonts w:hAnsi="方正黑体_GBK" w:cs="方正黑体_GBK" w:hint="eastAsia"/>
                <w:b/>
                <w:sz w:val="18"/>
                <w:szCs w:val="18"/>
              </w:rPr>
              <w:t>销售费：本理财产品按前一日理财产品资产净值收取销售费，按日计提。</w:t>
            </w:r>
          </w:p>
          <w:p w:rsidR="00833B6B" w:rsidRDefault="00A3344E">
            <w:pPr>
              <w:spacing w:line="200" w:lineRule="exact"/>
              <w:rPr>
                <w:rFonts w:hAnsi="方正黑体_GBK" w:cs="方正黑体_GBK"/>
              </w:rPr>
            </w:pPr>
            <w:r>
              <w:rPr>
                <w:rFonts w:hAnsi="方正黑体_GBK" w:cs="方正黑体_GBK" w:hint="eastAsia"/>
                <w:b/>
                <w:sz w:val="18"/>
                <w:szCs w:val="18"/>
              </w:rPr>
              <w:t>A</w:t>
            </w:r>
            <w:r>
              <w:rPr>
                <w:rFonts w:hAnsi="方正黑体_GBK" w:cs="方正黑体_GBK" w:hint="eastAsia"/>
                <w:b/>
                <w:sz w:val="18"/>
                <w:szCs w:val="18"/>
              </w:rPr>
              <w:t>份额：销售</w:t>
            </w:r>
            <w:proofErr w:type="gramStart"/>
            <w:r>
              <w:rPr>
                <w:rFonts w:hAnsi="方正黑体_GBK" w:cs="方正黑体_GBK" w:hint="eastAsia"/>
                <w:b/>
                <w:sz w:val="18"/>
                <w:szCs w:val="18"/>
              </w:rPr>
              <w:t>费年化</w:t>
            </w:r>
            <w:proofErr w:type="gramEnd"/>
            <w:r>
              <w:rPr>
                <w:rFonts w:hAnsi="方正黑体_GBK" w:cs="方正黑体_GBK" w:hint="eastAsia"/>
                <w:b/>
                <w:sz w:val="18"/>
                <w:szCs w:val="18"/>
              </w:rPr>
              <w:t>0.2%</w:t>
            </w:r>
          </w:p>
          <w:p w:rsidR="00833B6B" w:rsidRDefault="00A3344E">
            <w:pPr>
              <w:spacing w:line="200" w:lineRule="exact"/>
              <w:rPr>
                <w:rFonts w:hAnsi="方正黑体_GBK" w:cs="方正黑体_GBK"/>
              </w:rPr>
            </w:pPr>
            <w:r>
              <w:rPr>
                <w:rFonts w:hAnsi="方正黑体_GBK" w:cs="方正黑体_GBK" w:hint="eastAsia"/>
                <w:b/>
                <w:sz w:val="18"/>
                <w:szCs w:val="18"/>
              </w:rPr>
              <w:t>B</w:t>
            </w:r>
            <w:r>
              <w:rPr>
                <w:rFonts w:hAnsi="方正黑体_GBK" w:cs="方正黑体_GBK" w:hint="eastAsia"/>
                <w:b/>
                <w:sz w:val="18"/>
                <w:szCs w:val="18"/>
              </w:rPr>
              <w:t>份额：销售</w:t>
            </w:r>
            <w:proofErr w:type="gramStart"/>
            <w:r>
              <w:rPr>
                <w:rFonts w:hAnsi="方正黑体_GBK" w:cs="方正黑体_GBK" w:hint="eastAsia"/>
                <w:b/>
                <w:sz w:val="18"/>
                <w:szCs w:val="18"/>
              </w:rPr>
              <w:t>费年化</w:t>
            </w:r>
            <w:proofErr w:type="gramEnd"/>
            <w:r>
              <w:rPr>
                <w:rFonts w:hAnsi="方正黑体_GBK" w:cs="方正黑体_GBK" w:hint="eastAsia"/>
                <w:b/>
                <w:sz w:val="18"/>
                <w:szCs w:val="18"/>
              </w:rPr>
              <w:t>0.2%</w:t>
            </w:r>
          </w:p>
          <w:p w:rsidR="00833B6B" w:rsidRDefault="00A3344E">
            <w:pPr>
              <w:spacing w:line="200" w:lineRule="exact"/>
              <w:rPr>
                <w:rFonts w:hAnsi="方正黑体_GBK" w:cs="方正黑体_GBK"/>
              </w:rPr>
            </w:pPr>
            <w:r>
              <w:rPr>
                <w:rFonts w:hAnsi="方正黑体_GBK" w:cs="方正黑体_GBK" w:hint="eastAsia"/>
                <w:b/>
                <w:sz w:val="18"/>
                <w:szCs w:val="18"/>
              </w:rPr>
              <w:t>C</w:t>
            </w:r>
            <w:r>
              <w:rPr>
                <w:rFonts w:hAnsi="方正黑体_GBK" w:cs="方正黑体_GBK" w:hint="eastAsia"/>
                <w:b/>
                <w:sz w:val="18"/>
                <w:szCs w:val="18"/>
              </w:rPr>
              <w:t>份额：销售</w:t>
            </w:r>
            <w:proofErr w:type="gramStart"/>
            <w:r>
              <w:rPr>
                <w:rFonts w:hAnsi="方正黑体_GBK" w:cs="方正黑体_GBK" w:hint="eastAsia"/>
                <w:b/>
                <w:sz w:val="18"/>
                <w:szCs w:val="18"/>
              </w:rPr>
              <w:t>费年化</w:t>
            </w:r>
            <w:proofErr w:type="gramEnd"/>
            <w:r>
              <w:rPr>
                <w:rFonts w:hAnsi="方正黑体_GBK" w:cs="方正黑体_GBK" w:hint="eastAsia"/>
                <w:b/>
                <w:sz w:val="18"/>
                <w:szCs w:val="18"/>
              </w:rPr>
              <w:t>0.4%</w:t>
            </w:r>
          </w:p>
          <w:p w:rsidR="00833B6B" w:rsidRDefault="00A3344E">
            <w:pPr>
              <w:spacing w:line="200" w:lineRule="exact"/>
              <w:rPr>
                <w:rFonts w:hAnsi="方正黑体_GBK" w:cs="方正黑体_GBK"/>
              </w:rPr>
            </w:pPr>
            <w:r>
              <w:rPr>
                <w:rFonts w:hAnsi="方正黑体_GBK" w:cs="方正黑体_GBK" w:hint="eastAsia"/>
                <w:b/>
                <w:sz w:val="18"/>
                <w:szCs w:val="18"/>
              </w:rPr>
              <w:t>D</w:t>
            </w:r>
            <w:r>
              <w:rPr>
                <w:rFonts w:hAnsi="方正黑体_GBK" w:cs="方正黑体_GBK" w:hint="eastAsia"/>
                <w:b/>
                <w:sz w:val="18"/>
                <w:szCs w:val="18"/>
              </w:rPr>
              <w:t>份额：销售</w:t>
            </w:r>
            <w:proofErr w:type="gramStart"/>
            <w:r>
              <w:rPr>
                <w:rFonts w:hAnsi="方正黑体_GBK" w:cs="方正黑体_GBK" w:hint="eastAsia"/>
                <w:b/>
                <w:sz w:val="18"/>
                <w:szCs w:val="18"/>
              </w:rPr>
              <w:t>费年化</w:t>
            </w:r>
            <w:proofErr w:type="gramEnd"/>
            <w:r>
              <w:rPr>
                <w:rFonts w:hAnsi="方正黑体_GBK" w:cs="方正黑体_GBK" w:hint="eastAsia"/>
                <w:b/>
                <w:sz w:val="18"/>
                <w:szCs w:val="18"/>
              </w:rPr>
              <w:t>0.2%</w:t>
            </w:r>
          </w:p>
          <w:p w:rsidR="00833B6B" w:rsidRDefault="00A3344E">
            <w:pPr>
              <w:spacing w:line="200" w:lineRule="exact"/>
              <w:rPr>
                <w:rFonts w:hAnsi="方正黑体_GBK" w:cs="方正黑体_GBK"/>
              </w:rPr>
            </w:pPr>
            <w:r>
              <w:rPr>
                <w:rFonts w:hAnsi="方正黑体_GBK" w:cs="方正黑体_GBK" w:hint="eastAsia"/>
                <w:b/>
                <w:sz w:val="18"/>
                <w:szCs w:val="18"/>
              </w:rPr>
              <w:t>每日计提的销售费</w:t>
            </w:r>
            <w:r>
              <w:rPr>
                <w:rFonts w:hAnsi="方正黑体_GBK" w:cs="方正黑体_GBK" w:hint="eastAsia"/>
                <w:b/>
                <w:sz w:val="18"/>
                <w:szCs w:val="18"/>
              </w:rPr>
              <w:t>=</w:t>
            </w:r>
            <w:r>
              <w:rPr>
                <w:rFonts w:hAnsi="方正黑体_GBK" w:cs="方正黑体_GBK" w:hint="eastAsia"/>
                <w:b/>
                <w:sz w:val="18"/>
                <w:szCs w:val="18"/>
              </w:rPr>
              <w:t>前一日理财产品资产净值×</w:t>
            </w:r>
            <w:proofErr w:type="gramStart"/>
            <w:r>
              <w:rPr>
                <w:rFonts w:hAnsi="方正黑体_GBK" w:cs="方正黑体_GBK" w:hint="eastAsia"/>
                <w:b/>
                <w:sz w:val="18"/>
                <w:szCs w:val="18"/>
              </w:rPr>
              <w:t>年化销售</w:t>
            </w:r>
            <w:proofErr w:type="gramEnd"/>
            <w:r>
              <w:rPr>
                <w:rFonts w:hAnsi="方正黑体_GBK" w:cs="方正黑体_GBK" w:hint="eastAsia"/>
                <w:b/>
                <w:sz w:val="18"/>
                <w:szCs w:val="18"/>
              </w:rPr>
              <w:t>费率÷</w:t>
            </w:r>
            <w:r>
              <w:rPr>
                <w:rFonts w:hAnsi="方正黑体_GBK" w:cs="方正黑体_GBK" w:hint="eastAsia"/>
                <w:b/>
                <w:sz w:val="18"/>
                <w:szCs w:val="18"/>
              </w:rPr>
              <w:t>365</w:t>
            </w:r>
          </w:p>
          <w:p w:rsidR="00833B6B" w:rsidRDefault="00A3344E">
            <w:pPr>
              <w:spacing w:line="200" w:lineRule="exact"/>
              <w:rPr>
                <w:rFonts w:hAnsi="方正黑体_GBK" w:cs="方正黑体_GBK"/>
              </w:rPr>
            </w:pPr>
            <w:r>
              <w:rPr>
                <w:rFonts w:hAnsi="方正黑体_GBK" w:cs="方正黑体_GBK" w:hint="eastAsia"/>
                <w:b/>
                <w:sz w:val="18"/>
                <w:szCs w:val="18"/>
              </w:rPr>
              <w:t>固定管理费：本理财产品按前一日理财产品资产净值收取固定管理费，按日计提。</w:t>
            </w:r>
          </w:p>
          <w:p w:rsidR="00833B6B" w:rsidRDefault="00A3344E">
            <w:pPr>
              <w:spacing w:line="200" w:lineRule="exact"/>
              <w:rPr>
                <w:rFonts w:hAnsi="方正黑体_GBK" w:cs="方正黑体_GBK"/>
              </w:rPr>
            </w:pPr>
            <w:r>
              <w:rPr>
                <w:rFonts w:hAnsi="方正黑体_GBK" w:cs="方正黑体_GBK" w:hint="eastAsia"/>
                <w:b/>
                <w:sz w:val="18"/>
                <w:szCs w:val="18"/>
              </w:rPr>
              <w:t>A</w:t>
            </w:r>
            <w:r>
              <w:rPr>
                <w:rFonts w:hAnsi="方正黑体_GBK" w:cs="方正黑体_GBK" w:hint="eastAsia"/>
                <w:b/>
                <w:sz w:val="18"/>
                <w:szCs w:val="18"/>
              </w:rPr>
              <w:t>份额：固定</w:t>
            </w:r>
            <w:proofErr w:type="gramStart"/>
            <w:r>
              <w:rPr>
                <w:rFonts w:hAnsi="方正黑体_GBK" w:cs="方正黑体_GBK" w:hint="eastAsia"/>
                <w:b/>
                <w:sz w:val="18"/>
                <w:szCs w:val="18"/>
              </w:rPr>
              <w:t>管理费年化</w:t>
            </w:r>
            <w:proofErr w:type="gramEnd"/>
            <w:r>
              <w:rPr>
                <w:rFonts w:hAnsi="方正黑体_GBK" w:cs="方正黑体_GBK" w:hint="eastAsia"/>
                <w:b/>
                <w:sz w:val="18"/>
                <w:szCs w:val="18"/>
              </w:rPr>
              <w:t>0.4%</w:t>
            </w:r>
          </w:p>
          <w:p w:rsidR="00833B6B" w:rsidRDefault="00A3344E">
            <w:pPr>
              <w:spacing w:line="200" w:lineRule="exact"/>
              <w:rPr>
                <w:rFonts w:hAnsi="方正黑体_GBK" w:cs="方正黑体_GBK"/>
              </w:rPr>
            </w:pPr>
            <w:r>
              <w:rPr>
                <w:rFonts w:hAnsi="方正黑体_GBK" w:cs="方正黑体_GBK" w:hint="eastAsia"/>
                <w:b/>
                <w:sz w:val="18"/>
                <w:szCs w:val="18"/>
              </w:rPr>
              <w:lastRenderedPageBreak/>
              <w:t>B</w:t>
            </w:r>
            <w:r>
              <w:rPr>
                <w:rFonts w:hAnsi="方正黑体_GBK" w:cs="方正黑体_GBK" w:hint="eastAsia"/>
                <w:b/>
                <w:sz w:val="18"/>
                <w:szCs w:val="18"/>
              </w:rPr>
              <w:t>份额：固定</w:t>
            </w:r>
            <w:proofErr w:type="gramStart"/>
            <w:r>
              <w:rPr>
                <w:rFonts w:hAnsi="方正黑体_GBK" w:cs="方正黑体_GBK" w:hint="eastAsia"/>
                <w:b/>
                <w:sz w:val="18"/>
                <w:szCs w:val="18"/>
              </w:rPr>
              <w:t>管理费年化</w:t>
            </w:r>
            <w:proofErr w:type="gramEnd"/>
            <w:r>
              <w:rPr>
                <w:rFonts w:hAnsi="方正黑体_GBK" w:cs="方正黑体_GBK" w:hint="eastAsia"/>
                <w:b/>
                <w:sz w:val="18"/>
                <w:szCs w:val="18"/>
              </w:rPr>
              <w:t>0.4%</w:t>
            </w:r>
          </w:p>
          <w:p w:rsidR="00833B6B" w:rsidRDefault="00A3344E">
            <w:pPr>
              <w:spacing w:line="200" w:lineRule="exact"/>
              <w:rPr>
                <w:rFonts w:hAnsi="方正黑体_GBK" w:cs="方正黑体_GBK"/>
              </w:rPr>
            </w:pPr>
            <w:r>
              <w:rPr>
                <w:rFonts w:hAnsi="方正黑体_GBK" w:cs="方正黑体_GBK" w:hint="eastAsia"/>
                <w:b/>
                <w:sz w:val="18"/>
                <w:szCs w:val="18"/>
              </w:rPr>
              <w:t>C</w:t>
            </w:r>
            <w:r>
              <w:rPr>
                <w:rFonts w:hAnsi="方正黑体_GBK" w:cs="方正黑体_GBK" w:hint="eastAsia"/>
                <w:b/>
                <w:sz w:val="18"/>
                <w:szCs w:val="18"/>
              </w:rPr>
              <w:t>份额：固定</w:t>
            </w:r>
            <w:proofErr w:type="gramStart"/>
            <w:r>
              <w:rPr>
                <w:rFonts w:hAnsi="方正黑体_GBK" w:cs="方正黑体_GBK" w:hint="eastAsia"/>
                <w:b/>
                <w:sz w:val="18"/>
                <w:szCs w:val="18"/>
              </w:rPr>
              <w:t>管理费年化</w:t>
            </w:r>
            <w:proofErr w:type="gramEnd"/>
            <w:r>
              <w:rPr>
                <w:rFonts w:hAnsi="方正黑体_GBK" w:cs="方正黑体_GBK" w:hint="eastAsia"/>
                <w:b/>
                <w:sz w:val="18"/>
                <w:szCs w:val="18"/>
              </w:rPr>
              <w:t>0.4%</w:t>
            </w:r>
          </w:p>
          <w:p w:rsidR="00833B6B" w:rsidRDefault="00A3344E">
            <w:pPr>
              <w:spacing w:line="200" w:lineRule="exact"/>
              <w:rPr>
                <w:rFonts w:hAnsi="方正黑体_GBK" w:cs="方正黑体_GBK"/>
              </w:rPr>
            </w:pPr>
            <w:r>
              <w:rPr>
                <w:rFonts w:hAnsi="方正黑体_GBK" w:cs="方正黑体_GBK" w:hint="eastAsia"/>
                <w:b/>
                <w:sz w:val="18"/>
                <w:szCs w:val="18"/>
              </w:rPr>
              <w:t>D</w:t>
            </w:r>
            <w:r>
              <w:rPr>
                <w:rFonts w:hAnsi="方正黑体_GBK" w:cs="方正黑体_GBK" w:hint="eastAsia"/>
                <w:b/>
                <w:sz w:val="18"/>
                <w:szCs w:val="18"/>
              </w:rPr>
              <w:t>份额：固定</w:t>
            </w:r>
            <w:proofErr w:type="gramStart"/>
            <w:r>
              <w:rPr>
                <w:rFonts w:hAnsi="方正黑体_GBK" w:cs="方正黑体_GBK" w:hint="eastAsia"/>
                <w:b/>
                <w:sz w:val="18"/>
                <w:szCs w:val="18"/>
              </w:rPr>
              <w:t>管理费年化</w:t>
            </w:r>
            <w:proofErr w:type="gramEnd"/>
            <w:r>
              <w:rPr>
                <w:rFonts w:hAnsi="方正黑体_GBK" w:cs="方正黑体_GBK" w:hint="eastAsia"/>
                <w:b/>
                <w:sz w:val="18"/>
                <w:szCs w:val="18"/>
              </w:rPr>
              <w:t>0.5%</w:t>
            </w:r>
          </w:p>
          <w:p w:rsidR="00833B6B" w:rsidRDefault="00A3344E">
            <w:pPr>
              <w:spacing w:line="200" w:lineRule="exact"/>
              <w:rPr>
                <w:rFonts w:hAnsi="方正黑体_GBK" w:cs="方正黑体_GBK"/>
              </w:rPr>
            </w:pPr>
            <w:r>
              <w:rPr>
                <w:rFonts w:hAnsi="方正黑体_GBK" w:cs="方正黑体_GBK" w:hint="eastAsia"/>
                <w:b/>
                <w:sz w:val="18"/>
                <w:szCs w:val="18"/>
              </w:rPr>
              <w:t>每日计提的固定管理费</w:t>
            </w:r>
            <w:r>
              <w:rPr>
                <w:rFonts w:hAnsi="方正黑体_GBK" w:cs="方正黑体_GBK" w:hint="eastAsia"/>
                <w:b/>
                <w:sz w:val="18"/>
                <w:szCs w:val="18"/>
              </w:rPr>
              <w:t>=</w:t>
            </w:r>
            <w:r>
              <w:rPr>
                <w:rFonts w:hAnsi="方正黑体_GBK" w:cs="方正黑体_GBK" w:hint="eastAsia"/>
                <w:b/>
                <w:sz w:val="18"/>
                <w:szCs w:val="18"/>
              </w:rPr>
              <w:t>前一日理财产品资产净值×</w:t>
            </w:r>
            <w:proofErr w:type="gramStart"/>
            <w:r>
              <w:rPr>
                <w:rFonts w:hAnsi="方正黑体_GBK" w:cs="方正黑体_GBK" w:hint="eastAsia"/>
                <w:b/>
                <w:sz w:val="18"/>
                <w:szCs w:val="18"/>
              </w:rPr>
              <w:t>年化固定</w:t>
            </w:r>
            <w:proofErr w:type="gramEnd"/>
            <w:r>
              <w:rPr>
                <w:rFonts w:hAnsi="方正黑体_GBK" w:cs="方正黑体_GBK" w:hint="eastAsia"/>
                <w:b/>
                <w:sz w:val="18"/>
                <w:szCs w:val="18"/>
              </w:rPr>
              <w:t>管理费率÷</w:t>
            </w:r>
            <w:r>
              <w:rPr>
                <w:rFonts w:hAnsi="方正黑体_GBK" w:cs="方正黑体_GBK" w:hint="eastAsia"/>
                <w:b/>
                <w:sz w:val="18"/>
                <w:szCs w:val="18"/>
              </w:rPr>
              <w:t>365</w:t>
            </w:r>
          </w:p>
          <w:p w:rsidR="00833B6B" w:rsidRDefault="00A3344E">
            <w:pPr>
              <w:spacing w:line="200" w:lineRule="exact"/>
              <w:rPr>
                <w:rFonts w:hAnsi="方正黑体_GBK" w:cs="方正黑体_GBK"/>
              </w:rPr>
            </w:pPr>
            <w:r>
              <w:rPr>
                <w:rFonts w:hAnsi="方正黑体_GBK" w:cs="方正黑体_GBK" w:hint="eastAsia"/>
                <w:b/>
                <w:sz w:val="18"/>
                <w:szCs w:val="18"/>
              </w:rPr>
              <w:t>托管费：本理财产品按前一日理财产品资产净值</w:t>
            </w:r>
            <w:proofErr w:type="gramStart"/>
            <w:r>
              <w:rPr>
                <w:rFonts w:hAnsi="方正黑体_GBK" w:cs="方正黑体_GBK" w:hint="eastAsia"/>
                <w:b/>
                <w:sz w:val="18"/>
                <w:szCs w:val="18"/>
              </w:rPr>
              <w:t>收取年化</w:t>
            </w:r>
            <w:proofErr w:type="gramEnd"/>
            <w:r>
              <w:rPr>
                <w:rFonts w:hAnsi="方正黑体_GBK" w:cs="方正黑体_GBK" w:hint="eastAsia"/>
                <w:b/>
                <w:sz w:val="18"/>
                <w:szCs w:val="18"/>
              </w:rPr>
              <w:t>0.02%</w:t>
            </w:r>
            <w:r>
              <w:rPr>
                <w:rFonts w:hAnsi="方正黑体_GBK" w:cs="方正黑体_GBK" w:hint="eastAsia"/>
                <w:b/>
                <w:sz w:val="18"/>
                <w:szCs w:val="18"/>
              </w:rPr>
              <w:t>的托管费，按日计提。</w:t>
            </w:r>
          </w:p>
          <w:p w:rsidR="00833B6B" w:rsidRDefault="00A3344E">
            <w:pPr>
              <w:spacing w:line="200" w:lineRule="exact"/>
              <w:rPr>
                <w:rFonts w:hAnsi="方正黑体_GBK" w:cs="方正黑体_GBK"/>
              </w:rPr>
            </w:pPr>
            <w:r>
              <w:rPr>
                <w:rFonts w:hAnsi="方正黑体_GBK" w:cs="方正黑体_GBK" w:hint="eastAsia"/>
                <w:b/>
                <w:sz w:val="18"/>
                <w:szCs w:val="18"/>
              </w:rPr>
              <w:t>每日计提的托管费</w:t>
            </w:r>
            <w:r>
              <w:rPr>
                <w:rFonts w:hAnsi="方正黑体_GBK" w:cs="方正黑体_GBK" w:hint="eastAsia"/>
                <w:b/>
                <w:sz w:val="18"/>
                <w:szCs w:val="18"/>
              </w:rPr>
              <w:t>=</w:t>
            </w:r>
            <w:r>
              <w:rPr>
                <w:rFonts w:hAnsi="方正黑体_GBK" w:cs="方正黑体_GBK" w:hint="eastAsia"/>
                <w:b/>
                <w:sz w:val="18"/>
                <w:szCs w:val="18"/>
              </w:rPr>
              <w:t>前一日理财产品资产净值×</w:t>
            </w:r>
            <w:proofErr w:type="gramStart"/>
            <w:r>
              <w:rPr>
                <w:rFonts w:hAnsi="方正黑体_GBK" w:cs="方正黑体_GBK" w:hint="eastAsia"/>
                <w:b/>
                <w:sz w:val="18"/>
                <w:szCs w:val="18"/>
              </w:rPr>
              <w:t>年化托管</w:t>
            </w:r>
            <w:proofErr w:type="gramEnd"/>
            <w:r>
              <w:rPr>
                <w:rFonts w:hAnsi="方正黑体_GBK" w:cs="方正黑体_GBK" w:hint="eastAsia"/>
                <w:b/>
                <w:sz w:val="18"/>
                <w:szCs w:val="18"/>
              </w:rPr>
              <w:t>费率÷</w:t>
            </w:r>
            <w:r>
              <w:rPr>
                <w:rFonts w:hAnsi="方正黑体_GBK" w:cs="方正黑体_GBK" w:hint="eastAsia"/>
                <w:b/>
                <w:sz w:val="18"/>
                <w:szCs w:val="18"/>
              </w:rPr>
              <w:t>365</w:t>
            </w:r>
          </w:p>
          <w:p w:rsidR="00833B6B" w:rsidRDefault="00A3344E">
            <w:pPr>
              <w:spacing w:line="200" w:lineRule="exact"/>
              <w:rPr>
                <w:rFonts w:hAnsi="方正黑体_GBK" w:cs="方正黑体_GBK"/>
              </w:rPr>
            </w:pPr>
            <w:r>
              <w:rPr>
                <w:rFonts w:hAnsi="方正黑体_GBK" w:cs="方正黑体_GBK" w:hint="eastAsia"/>
                <w:b/>
                <w:sz w:val="18"/>
                <w:szCs w:val="18"/>
              </w:rPr>
              <w:t>业绩报酬：本理财产品暂不收取业绩报酬。</w:t>
            </w:r>
          </w:p>
          <w:p w:rsidR="00833B6B" w:rsidRDefault="00A3344E">
            <w:pPr>
              <w:spacing w:line="200" w:lineRule="exact"/>
              <w:rPr>
                <w:rFonts w:hAnsi="方正黑体_GBK" w:cs="方正黑体_GBK"/>
              </w:rPr>
            </w:pPr>
            <w:r>
              <w:rPr>
                <w:rFonts w:hAnsi="方正黑体_GBK" w:cs="方正黑体_GBK" w:hint="eastAsia"/>
                <w:b/>
                <w:sz w:val="18"/>
                <w:szCs w:val="18"/>
              </w:rPr>
              <w:t>注：投资者份额持有</w:t>
            </w:r>
            <w:proofErr w:type="gramStart"/>
            <w:r>
              <w:rPr>
                <w:rFonts w:hAnsi="方正黑体_GBK" w:cs="方正黑体_GBK" w:hint="eastAsia"/>
                <w:b/>
                <w:sz w:val="18"/>
                <w:szCs w:val="18"/>
              </w:rPr>
              <w:t>期间年化收益率</w:t>
            </w:r>
            <w:proofErr w:type="gramEnd"/>
            <w:r>
              <w:rPr>
                <w:rFonts w:hAnsi="方正黑体_GBK" w:cs="方正黑体_GBK" w:hint="eastAsia"/>
                <w:b/>
                <w:sz w:val="18"/>
                <w:szCs w:val="18"/>
              </w:rPr>
              <w:t>=</w:t>
            </w:r>
            <w:r>
              <w:rPr>
                <w:rFonts w:hAnsi="方正黑体_GBK" w:cs="方正黑体_GBK" w:hint="eastAsia"/>
                <w:b/>
                <w:sz w:val="18"/>
                <w:szCs w:val="18"/>
              </w:rPr>
              <w:t>（赎回确认日产品累计净值或实际到期日前</w:t>
            </w:r>
            <w:proofErr w:type="gramStart"/>
            <w:r>
              <w:rPr>
                <w:rFonts w:hAnsi="方正黑体_GBK" w:cs="方正黑体_GBK" w:hint="eastAsia"/>
                <w:b/>
                <w:sz w:val="18"/>
                <w:szCs w:val="18"/>
              </w:rPr>
              <w:t>一</w:t>
            </w:r>
            <w:proofErr w:type="gramEnd"/>
            <w:r>
              <w:rPr>
                <w:rFonts w:hAnsi="方正黑体_GBK" w:cs="方正黑体_GBK" w:hint="eastAsia"/>
                <w:b/>
                <w:sz w:val="18"/>
                <w:szCs w:val="18"/>
              </w:rPr>
              <w:t>产品开放日产品累计净值</w:t>
            </w:r>
            <w:r>
              <w:rPr>
                <w:rFonts w:hAnsi="方正黑体_GBK" w:cs="方正黑体_GBK" w:hint="eastAsia"/>
                <w:b/>
                <w:sz w:val="18"/>
                <w:szCs w:val="18"/>
              </w:rPr>
              <w:t>-</w:t>
            </w:r>
            <w:r>
              <w:rPr>
                <w:rFonts w:hAnsi="方正黑体_GBK" w:cs="方正黑体_GBK" w:hint="eastAsia"/>
                <w:b/>
                <w:sz w:val="18"/>
                <w:szCs w:val="18"/>
              </w:rPr>
              <w:t>申购确认日产品累计净值）÷申购确认日产</w:t>
            </w:r>
            <w:proofErr w:type="gramStart"/>
            <w:r>
              <w:rPr>
                <w:rFonts w:hAnsi="方正黑体_GBK" w:cs="方正黑体_GBK" w:hint="eastAsia"/>
                <w:b/>
                <w:sz w:val="18"/>
                <w:szCs w:val="18"/>
              </w:rPr>
              <w:t>品单位</w:t>
            </w:r>
            <w:proofErr w:type="gramEnd"/>
            <w:r>
              <w:rPr>
                <w:rFonts w:hAnsi="方正黑体_GBK" w:cs="方正黑体_GBK" w:hint="eastAsia"/>
                <w:b/>
                <w:sz w:val="18"/>
                <w:szCs w:val="18"/>
              </w:rPr>
              <w:t>净值÷投资者份额实际持有天数×</w:t>
            </w:r>
            <w:r>
              <w:rPr>
                <w:rFonts w:hAnsi="方正黑体_GBK" w:cs="方正黑体_GBK" w:hint="eastAsia"/>
                <w:b/>
                <w:sz w:val="18"/>
                <w:szCs w:val="18"/>
              </w:rPr>
              <w:t>365</w:t>
            </w:r>
            <w:r>
              <w:rPr>
                <w:rFonts w:hAnsi="方正黑体_GBK" w:cs="方正黑体_GBK" w:hint="eastAsia"/>
                <w:b/>
                <w:sz w:val="18"/>
                <w:szCs w:val="18"/>
              </w:rPr>
              <w:t>天。投资者份额实际持有天数为份额运作起始日（</w:t>
            </w:r>
            <w:r>
              <w:rPr>
                <w:rFonts w:hAnsi="方正黑体_GBK" w:cs="方正黑体_GBK" w:hint="eastAsia"/>
                <w:b/>
                <w:sz w:val="18"/>
                <w:szCs w:val="18"/>
              </w:rPr>
              <w:t>含）至份额运作终止日（不含）之间的天数。</w:t>
            </w:r>
          </w:p>
          <w:p w:rsidR="00833B6B" w:rsidRDefault="00A3344E">
            <w:pPr>
              <w:spacing w:line="200" w:lineRule="exact"/>
              <w:rPr>
                <w:rFonts w:hAnsi="方正黑体_GBK" w:cs="方正黑体_GBK"/>
              </w:rPr>
            </w:pPr>
            <w:r>
              <w:rPr>
                <w:rFonts w:hAnsi="方正黑体_GBK" w:cs="方正黑体_GBK" w:hint="eastAsia"/>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风险事件说明</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具体参见本理财产品风险揭示书。</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一是建仓或进行组合调整时，若投资资产包括债券或基金，可能由于特定债券或基金的流动性相对不足而无法按预期的价格买进（申购）或卖出（赎回）；</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二是为应对投资者的赎回，被迫以不适当的价格卖出债券或赎回基金；</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三是若投资资产包括非标准化</w:t>
            </w:r>
            <w:r>
              <w:rPr>
                <w:rFonts w:hAnsi="方正黑体_GBK" w:cs="方正黑体_GBK" w:hint="eastAsia"/>
                <w:color w:val="000000"/>
                <w:sz w:val="18"/>
                <w:szCs w:val="18"/>
              </w:rPr>
              <w:t>债权类资产，可能由于资产缺少流动性而难以变现。</w:t>
            </w:r>
            <w:r>
              <w:rPr>
                <w:rFonts w:hAnsi="方正黑体_GBK" w:cs="方正黑体_GBK" w:hint="eastAsia"/>
                <w:color w:val="000000"/>
                <w:sz w:val="18"/>
                <w:szCs w:val="18"/>
              </w:rPr>
              <w:t xml:space="preserve"> </w:t>
            </w:r>
            <w:r>
              <w:rPr>
                <w:rFonts w:hAnsi="方正黑体_GBK" w:cs="方正黑体_GBK" w:hint="eastAsia"/>
                <w:color w:val="000000"/>
                <w:sz w:val="18"/>
                <w:szCs w:val="18"/>
              </w:rPr>
              <w:t>以上情形均可能使产品净值受到不利影响。</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理财产品管理人及管理人职责</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本理财产品管理人为南银理财有限责任公司，南银理财系南京银行股份有限公司全资控股的银行理财子公司。南银理财成立于</w:t>
            </w:r>
            <w:r>
              <w:rPr>
                <w:rFonts w:hAnsi="方正黑体_GBK" w:cs="方正黑体_GBK" w:hint="eastAsia"/>
                <w:color w:val="000000"/>
                <w:sz w:val="18"/>
                <w:szCs w:val="18"/>
              </w:rPr>
              <w:t>2020</w:t>
            </w:r>
            <w:r>
              <w:rPr>
                <w:rFonts w:hAnsi="方正黑体_GBK" w:cs="方正黑体_GBK" w:hint="eastAsia"/>
                <w:color w:val="000000"/>
                <w:sz w:val="18"/>
                <w:szCs w:val="18"/>
              </w:rPr>
              <w:t>年</w:t>
            </w:r>
            <w:r>
              <w:rPr>
                <w:rFonts w:hAnsi="方正黑体_GBK" w:cs="方正黑体_GBK" w:hint="eastAsia"/>
                <w:color w:val="000000"/>
                <w:sz w:val="18"/>
                <w:szCs w:val="18"/>
              </w:rPr>
              <w:t>8</w:t>
            </w:r>
            <w:r>
              <w:rPr>
                <w:rFonts w:hAnsi="方正黑体_GBK" w:cs="方正黑体_GBK" w:hint="eastAsia"/>
                <w:color w:val="000000"/>
                <w:sz w:val="18"/>
                <w:szCs w:val="18"/>
              </w:rPr>
              <w:t>月，专业从事理财产品发行、投资管理、理财顾问和咨询服务等业务，注册资本金</w:t>
            </w:r>
            <w:r>
              <w:rPr>
                <w:rFonts w:hAnsi="方正黑体_GBK" w:cs="方正黑体_GBK" w:hint="eastAsia"/>
                <w:color w:val="000000"/>
                <w:sz w:val="18"/>
                <w:szCs w:val="18"/>
              </w:rPr>
              <w:t xml:space="preserve">20 </w:t>
            </w:r>
            <w:r>
              <w:rPr>
                <w:rFonts w:hAnsi="方正黑体_GBK" w:cs="方正黑体_GBK" w:hint="eastAsia"/>
                <w:color w:val="000000"/>
                <w:sz w:val="18"/>
                <w:szCs w:val="18"/>
              </w:rPr>
              <w:t>亿元人民币。管理人主要职责如下：</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1.</w:t>
            </w:r>
            <w:r>
              <w:rPr>
                <w:rFonts w:hAnsi="方正黑体_GBK" w:cs="方正黑体_GBK" w:hint="eastAsia"/>
                <w:color w:val="000000"/>
                <w:sz w:val="18"/>
                <w:szCs w:val="18"/>
              </w:rPr>
              <w:t>按照法律法规、监管规定及理财产品销售文件的约定，发行并管理理财产品；</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2.</w:t>
            </w:r>
            <w:r>
              <w:rPr>
                <w:rFonts w:hAnsi="方正黑体_GBK" w:cs="方正黑体_GBK" w:hint="eastAsia"/>
                <w:color w:val="000000"/>
                <w:sz w:val="18"/>
                <w:szCs w:val="18"/>
              </w:rPr>
              <w:t>根据理财产品的投资组合、同类产品过往业绩和风险状况等因素，对理财产品进行评级；</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3.</w:t>
            </w:r>
            <w:r>
              <w:rPr>
                <w:rFonts w:hAnsi="方正黑体_GBK" w:cs="方正黑体_GBK" w:hint="eastAsia"/>
                <w:color w:val="000000"/>
                <w:sz w:val="18"/>
                <w:szCs w:val="18"/>
              </w:rPr>
              <w:t>按照法律法规、监管规定及与投资者约定的信息披露渠道及时披露理财产品相关信息；</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4.</w:t>
            </w:r>
            <w:r>
              <w:rPr>
                <w:rFonts w:hAnsi="方正黑体_GBK" w:cs="方正黑体_GBK" w:hint="eastAsia"/>
                <w:color w:val="000000"/>
                <w:sz w:val="18"/>
                <w:szCs w:val="18"/>
              </w:rPr>
              <w:t>按照理财产品销售文件约定的投资范围和权限，负责理财产品资金的运用和管理，向投资者进行收益分配；</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5.</w:t>
            </w:r>
            <w:r>
              <w:rPr>
                <w:rFonts w:hAnsi="方正黑体_GBK" w:cs="方正黑体_GBK" w:hint="eastAsia"/>
                <w:color w:val="000000"/>
                <w:sz w:val="18"/>
                <w:szCs w:val="18"/>
              </w:rPr>
              <w:t>审慎选择理财产品销售机构，切实履行对销售机构的管理责任；</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6.</w:t>
            </w:r>
            <w:r>
              <w:rPr>
                <w:rFonts w:hAnsi="方正黑体_GBK" w:cs="方正黑体_GBK" w:hint="eastAsia"/>
                <w:color w:val="000000"/>
                <w:sz w:val="18"/>
                <w:szCs w:val="18"/>
              </w:rPr>
              <w:t>根据法律法规、监管规定建立健全投资者权益保护管理体系；</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7.</w:t>
            </w:r>
            <w:r>
              <w:rPr>
                <w:rFonts w:hAnsi="方正黑体_GBK" w:cs="方正黑体_GBK" w:hint="eastAsia"/>
                <w:color w:val="000000"/>
                <w:sz w:val="18"/>
                <w:szCs w:val="18"/>
              </w:rPr>
              <w:t>国务院银行业监督管理机构规定及本理财产品销售文件中约定的其他职责。</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销售机构及销售机构职责</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sz w:val="18"/>
                <w:szCs w:val="18"/>
              </w:rPr>
              <w:t>本理财产品销售机构为南银理财有限责任公司、南京银行股份有限公司、江苏太仓农村商业银行股份有限公司、杭州银行股份</w:t>
            </w:r>
            <w:r>
              <w:rPr>
                <w:rFonts w:hAnsi="方正黑体_GBK" w:cs="方正黑体_GBK" w:hint="eastAsia"/>
                <w:sz w:val="18"/>
                <w:szCs w:val="18"/>
              </w:rPr>
              <w:t>有限公司、齐鲁银行股份有限公司、云南红塔银行股份有限公司、青海银行股份有限公司、九江银行股份有限公司、江苏紫金农村商业银行股份有限公司、日照银行股份有限公司、无锡农村商业银行股份有限公司、江苏丹阳农村商业银行股份有限公司、江苏南通农村商业银行股份有限公司、江苏扬州农村商业银行股份有限公司、浙江网商银行股份有限公司、江苏丰县农村商业银行股份有限公司、烟台银行股份有限公司、江苏高邮农村商业银行股份有限公司、乌鲁木齐银行股份有限公司、河北银行股份有限公司、郑州银行股份有限公司、江苏如东农村商业银行股份有限公司。管</w:t>
            </w:r>
            <w:r>
              <w:rPr>
                <w:rFonts w:hAnsi="方正黑体_GBK" w:cs="方正黑体_GBK" w:hint="eastAsia"/>
                <w:sz w:val="18"/>
                <w:szCs w:val="18"/>
              </w:rPr>
              <w:t>理人有权调整本理财产品的销售机构并进行信息披露。</w:t>
            </w:r>
          </w:p>
          <w:p w:rsidR="00833B6B" w:rsidRDefault="00A3344E">
            <w:pPr>
              <w:spacing w:line="200" w:lineRule="exact"/>
              <w:jc w:val="left"/>
              <w:rPr>
                <w:rFonts w:hAnsi="方正黑体_GBK" w:cs="方正黑体_GBK"/>
              </w:rPr>
            </w:pPr>
            <w:r>
              <w:rPr>
                <w:rFonts w:hAnsi="方正黑体_GBK" w:cs="方正黑体_GBK" w:hint="eastAsia"/>
                <w:sz w:val="18"/>
                <w:szCs w:val="18"/>
              </w:rPr>
              <w:t>销售机构主要职责如下：</w:t>
            </w:r>
          </w:p>
          <w:p w:rsidR="00833B6B" w:rsidRDefault="00A3344E">
            <w:pPr>
              <w:spacing w:line="200" w:lineRule="exact"/>
              <w:jc w:val="left"/>
              <w:rPr>
                <w:rFonts w:hAnsi="方正黑体_GBK" w:cs="方正黑体_GBK"/>
              </w:rPr>
            </w:pPr>
            <w:r>
              <w:rPr>
                <w:rFonts w:hAnsi="方正黑体_GBK" w:cs="方正黑体_GBK" w:hint="eastAsia"/>
                <w:sz w:val="18"/>
                <w:szCs w:val="18"/>
              </w:rPr>
              <w:t>1.</w:t>
            </w:r>
            <w:r>
              <w:rPr>
                <w:rFonts w:hAnsi="方正黑体_GBK" w:cs="方正黑体_GBK" w:hint="eastAsia"/>
                <w:sz w:val="18"/>
                <w:szCs w:val="18"/>
              </w:rPr>
              <w:t>按照法律法规、监管规定及理财产品销售文件的约定，开展理财产品销售活动，向投资者充分披露信息和揭示风险；</w:t>
            </w:r>
          </w:p>
          <w:p w:rsidR="00833B6B" w:rsidRDefault="00A3344E">
            <w:pPr>
              <w:spacing w:line="200" w:lineRule="exact"/>
              <w:jc w:val="lef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对</w:t>
            </w:r>
            <w:proofErr w:type="gramStart"/>
            <w:r>
              <w:rPr>
                <w:rFonts w:hAnsi="方正黑体_GBK" w:cs="方正黑体_GBK" w:hint="eastAsia"/>
                <w:sz w:val="18"/>
                <w:szCs w:val="18"/>
              </w:rPr>
              <w:t>非机构</w:t>
            </w:r>
            <w:proofErr w:type="gramEnd"/>
            <w:r>
              <w:rPr>
                <w:rFonts w:hAnsi="方正黑体_GBK" w:cs="方正黑体_GBK" w:hint="eastAsia"/>
                <w:sz w:val="18"/>
                <w:szCs w:val="18"/>
              </w:rPr>
              <w:t>投资者的风险承受能力进行评估，确保投资者风险承受能力评估的客观性、及时性和有效性；</w:t>
            </w:r>
          </w:p>
          <w:p w:rsidR="00833B6B" w:rsidRDefault="00A3344E">
            <w:pPr>
              <w:spacing w:line="200" w:lineRule="exact"/>
              <w:jc w:val="left"/>
              <w:rPr>
                <w:rFonts w:hAnsi="方正黑体_GBK" w:cs="方正黑体_GBK"/>
              </w:rPr>
            </w:pPr>
            <w:r>
              <w:rPr>
                <w:rFonts w:hAnsi="方正黑体_GBK" w:cs="方正黑体_GBK" w:hint="eastAsia"/>
                <w:sz w:val="18"/>
                <w:szCs w:val="18"/>
              </w:rPr>
              <w:t>3.</w:t>
            </w:r>
            <w:r>
              <w:rPr>
                <w:rFonts w:hAnsi="方正黑体_GBK" w:cs="方正黑体_GBK" w:hint="eastAsia"/>
                <w:sz w:val="18"/>
                <w:szCs w:val="18"/>
              </w:rPr>
              <w:t>妥善保管投资者理财产品销售相关资料，保管年限不低于</w:t>
            </w:r>
            <w:r>
              <w:rPr>
                <w:rFonts w:hAnsi="方正黑体_GBK" w:cs="方正黑体_GBK" w:hint="eastAsia"/>
                <w:sz w:val="18"/>
                <w:szCs w:val="18"/>
              </w:rPr>
              <w:t>20</w:t>
            </w:r>
            <w:r>
              <w:rPr>
                <w:rFonts w:hAnsi="方正黑体_GBK" w:cs="方正黑体_GBK" w:hint="eastAsia"/>
                <w:sz w:val="18"/>
                <w:szCs w:val="18"/>
              </w:rPr>
              <w:t>年；</w:t>
            </w:r>
          </w:p>
          <w:p w:rsidR="00833B6B" w:rsidRDefault="00A3344E">
            <w:pPr>
              <w:spacing w:line="200" w:lineRule="exact"/>
              <w:jc w:val="left"/>
              <w:rPr>
                <w:rFonts w:hAnsi="方正黑体_GBK" w:cs="方正黑体_GBK"/>
              </w:rPr>
            </w:pPr>
            <w:r>
              <w:rPr>
                <w:rFonts w:hAnsi="方正黑体_GBK" w:cs="方正黑体_GBK" w:hint="eastAsia"/>
                <w:sz w:val="18"/>
                <w:szCs w:val="18"/>
              </w:rPr>
              <w:t>4.</w:t>
            </w:r>
            <w:r>
              <w:rPr>
                <w:rFonts w:hAnsi="方正黑体_GBK" w:cs="方正黑体_GBK" w:hint="eastAsia"/>
                <w:sz w:val="18"/>
                <w:szCs w:val="18"/>
              </w:rPr>
              <w:t>根据反洗钱、反恐怖融资及非居民金融账户涉税信息尽职调查等相关法律法规要求识别客户身份；</w:t>
            </w:r>
          </w:p>
          <w:p w:rsidR="00833B6B" w:rsidRDefault="00A3344E">
            <w:pPr>
              <w:spacing w:line="200" w:lineRule="exact"/>
              <w:jc w:val="left"/>
              <w:rPr>
                <w:rFonts w:hAnsi="方正黑体_GBK" w:cs="方正黑体_GBK"/>
              </w:rPr>
            </w:pPr>
            <w:r>
              <w:rPr>
                <w:rFonts w:hAnsi="方正黑体_GBK" w:cs="方正黑体_GBK" w:hint="eastAsia"/>
                <w:sz w:val="18"/>
                <w:szCs w:val="18"/>
              </w:rPr>
              <w:t>5.</w:t>
            </w:r>
            <w:r>
              <w:rPr>
                <w:rFonts w:hAnsi="方正黑体_GBK" w:cs="方正黑体_GBK" w:hint="eastAsia"/>
                <w:sz w:val="18"/>
                <w:szCs w:val="18"/>
              </w:rPr>
              <w:t>建立健全投资者权益保护管理体系，加强投资者适当性管理；</w:t>
            </w:r>
          </w:p>
          <w:p w:rsidR="00833B6B" w:rsidRDefault="00A3344E">
            <w:pPr>
              <w:spacing w:line="200" w:lineRule="exact"/>
              <w:rPr>
                <w:rFonts w:hAnsi="方正黑体_GBK" w:cs="方正黑体_GBK"/>
              </w:rPr>
            </w:pPr>
            <w:r>
              <w:rPr>
                <w:rFonts w:hAnsi="方正黑体_GBK" w:cs="方正黑体_GBK" w:hint="eastAsia"/>
                <w:sz w:val="18"/>
                <w:szCs w:val="18"/>
              </w:rPr>
              <w:t>6.</w:t>
            </w:r>
            <w:r>
              <w:rPr>
                <w:rFonts w:hAnsi="方正黑体_GBK" w:cs="方正黑体_GBK" w:hint="eastAsia"/>
                <w:sz w:val="18"/>
                <w:szCs w:val="18"/>
              </w:rPr>
              <w:t>国务院银行业监督管理机构规定及本理财产品管理人与销售机构约定的其他职责。</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托管人及托管人职责</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本理财产品托管人为南京银行股份有限公司，主要职责如下：</w:t>
            </w:r>
          </w:p>
          <w:p w:rsidR="00833B6B" w:rsidRDefault="00A3344E">
            <w:pPr>
              <w:spacing w:line="200" w:lineRule="exact"/>
              <w:rPr>
                <w:rFonts w:hAnsi="方正黑体_GBK" w:cs="方正黑体_GBK"/>
              </w:rPr>
            </w:pPr>
            <w:r>
              <w:rPr>
                <w:rFonts w:hAnsi="方正黑体_GBK" w:cs="方正黑体_GBK" w:hint="eastAsia"/>
                <w:sz w:val="18"/>
                <w:szCs w:val="18"/>
              </w:rPr>
              <w:t>1.</w:t>
            </w:r>
            <w:r>
              <w:rPr>
                <w:rFonts w:hAnsi="方正黑体_GBK" w:cs="方正黑体_GBK" w:hint="eastAsia"/>
                <w:sz w:val="18"/>
                <w:szCs w:val="18"/>
              </w:rPr>
              <w:t>安全保管理财产品财产；</w:t>
            </w:r>
          </w:p>
          <w:p w:rsidR="00833B6B" w:rsidRDefault="00A3344E">
            <w:pPr>
              <w:spacing w:line="200" w:lineRule="exac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为每只理财产品开设独立的托管账户，不同托管账户中的资产应当相互独立；</w:t>
            </w:r>
          </w:p>
          <w:p w:rsidR="00833B6B" w:rsidRDefault="00A3344E">
            <w:pPr>
              <w:spacing w:line="200" w:lineRule="exact"/>
              <w:rPr>
                <w:rFonts w:hAnsi="方正黑体_GBK" w:cs="方正黑体_GBK"/>
              </w:rPr>
            </w:pPr>
            <w:r>
              <w:rPr>
                <w:rFonts w:hAnsi="方正黑体_GBK" w:cs="方正黑体_GBK" w:hint="eastAsia"/>
                <w:sz w:val="18"/>
                <w:szCs w:val="18"/>
              </w:rPr>
              <w:t>3.</w:t>
            </w:r>
            <w:r>
              <w:rPr>
                <w:rFonts w:hAnsi="方正黑体_GBK" w:cs="方正黑体_GBK" w:hint="eastAsia"/>
                <w:sz w:val="18"/>
                <w:szCs w:val="18"/>
              </w:rPr>
              <w:t>按照托管协议约定和管理人的投资指令，及时办理清算、交割事宜；</w:t>
            </w:r>
          </w:p>
          <w:p w:rsidR="00833B6B" w:rsidRDefault="00A3344E">
            <w:pPr>
              <w:spacing w:line="200" w:lineRule="exact"/>
              <w:rPr>
                <w:rFonts w:hAnsi="方正黑体_GBK" w:cs="方正黑体_GBK"/>
              </w:rPr>
            </w:pPr>
            <w:r>
              <w:rPr>
                <w:rFonts w:hAnsi="方正黑体_GBK" w:cs="方正黑体_GBK" w:hint="eastAsia"/>
                <w:sz w:val="18"/>
                <w:szCs w:val="18"/>
              </w:rPr>
              <w:t>4.</w:t>
            </w:r>
            <w:r>
              <w:rPr>
                <w:rFonts w:hAnsi="方正黑体_GBK" w:cs="方正黑体_GBK" w:hint="eastAsia"/>
                <w:sz w:val="18"/>
                <w:szCs w:val="18"/>
              </w:rPr>
              <w:t>建立与管理人的对账机制，复核、审查理财产品资金头寸、资产账目、资产净值、认购和赎回价格等数据，及时核查认购、赎回以及投资资金的支付和到账情况；</w:t>
            </w:r>
          </w:p>
          <w:p w:rsidR="00833B6B" w:rsidRDefault="00A3344E">
            <w:pPr>
              <w:spacing w:line="200" w:lineRule="exact"/>
              <w:rPr>
                <w:rFonts w:hAnsi="方正黑体_GBK" w:cs="方正黑体_GBK"/>
              </w:rPr>
            </w:pPr>
            <w:r>
              <w:rPr>
                <w:rFonts w:hAnsi="方正黑体_GBK" w:cs="方正黑体_GBK" w:hint="eastAsia"/>
                <w:sz w:val="18"/>
                <w:szCs w:val="18"/>
              </w:rPr>
              <w:t>5.</w:t>
            </w:r>
            <w:r>
              <w:rPr>
                <w:rFonts w:hAnsi="方正黑体_GBK" w:cs="方正黑体_GBK" w:hint="eastAsia"/>
                <w:sz w:val="18"/>
                <w:szCs w:val="18"/>
              </w:rPr>
              <w:t>监督理财产品投资运作，发现理财产品违</w:t>
            </w:r>
            <w:r>
              <w:rPr>
                <w:rFonts w:hAnsi="方正黑体_GBK" w:cs="方正黑体_GBK" w:hint="eastAsia"/>
                <w:sz w:val="18"/>
                <w:szCs w:val="18"/>
              </w:rPr>
              <w:t>反法律、行政法规、规章规定或合同约定进行投资的，应当拒绝执行，及时通知管理人并报告银行业监督管理机构；</w:t>
            </w:r>
          </w:p>
          <w:p w:rsidR="00833B6B" w:rsidRDefault="00A3344E">
            <w:pPr>
              <w:spacing w:line="200" w:lineRule="exact"/>
              <w:rPr>
                <w:rFonts w:hAnsi="方正黑体_GBK" w:cs="方正黑体_GBK"/>
              </w:rPr>
            </w:pPr>
            <w:r>
              <w:rPr>
                <w:rFonts w:hAnsi="方正黑体_GBK" w:cs="方正黑体_GBK" w:hint="eastAsia"/>
                <w:sz w:val="18"/>
                <w:szCs w:val="18"/>
              </w:rPr>
              <w:t>6.</w:t>
            </w:r>
            <w:r>
              <w:rPr>
                <w:rFonts w:hAnsi="方正黑体_GBK" w:cs="方正黑体_GBK" w:hint="eastAsia"/>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33B6B" w:rsidRDefault="00A3344E">
            <w:pPr>
              <w:spacing w:line="200" w:lineRule="exact"/>
              <w:rPr>
                <w:rFonts w:hAnsi="方正黑体_GBK" w:cs="方正黑体_GBK"/>
              </w:rPr>
            </w:pPr>
            <w:r>
              <w:rPr>
                <w:rFonts w:hAnsi="方正黑体_GBK" w:cs="方正黑体_GBK" w:hint="eastAsia"/>
                <w:sz w:val="18"/>
                <w:szCs w:val="18"/>
              </w:rPr>
              <w:t>7.</w:t>
            </w:r>
            <w:r>
              <w:rPr>
                <w:rFonts w:hAnsi="方正黑体_GBK" w:cs="方正黑体_GBK" w:hint="eastAsia"/>
                <w:sz w:val="18"/>
                <w:szCs w:val="18"/>
              </w:rPr>
              <w:t>理财托管业务活动的记录、账册、报表和其他相关资料保存</w:t>
            </w:r>
            <w:r>
              <w:rPr>
                <w:rFonts w:hAnsi="方正黑体_GBK" w:cs="方正黑体_GBK" w:hint="eastAsia"/>
                <w:sz w:val="18"/>
                <w:szCs w:val="18"/>
              </w:rPr>
              <w:t>20</w:t>
            </w:r>
            <w:r>
              <w:rPr>
                <w:rFonts w:hAnsi="方正黑体_GBK" w:cs="方正黑体_GBK" w:hint="eastAsia"/>
                <w:sz w:val="18"/>
                <w:szCs w:val="18"/>
              </w:rPr>
              <w:t>年以上；</w:t>
            </w:r>
          </w:p>
          <w:p w:rsidR="00833B6B" w:rsidRDefault="00A3344E">
            <w:pPr>
              <w:spacing w:line="200" w:lineRule="exact"/>
              <w:rPr>
                <w:rFonts w:hAnsi="方正黑体_GBK" w:cs="方正黑体_GBK"/>
              </w:rPr>
            </w:pPr>
            <w:r>
              <w:rPr>
                <w:rFonts w:hAnsi="方正黑体_GBK" w:cs="方正黑体_GBK" w:hint="eastAsia"/>
                <w:sz w:val="18"/>
                <w:szCs w:val="18"/>
              </w:rPr>
              <w:t>8.</w:t>
            </w:r>
            <w:r>
              <w:rPr>
                <w:rFonts w:hAnsi="方正黑体_GBK" w:cs="方正黑体_GBK" w:hint="eastAsia"/>
                <w:sz w:val="18"/>
                <w:szCs w:val="18"/>
              </w:rPr>
              <w:t>对理财产品投资信息和相关资料承担保密责任，除法律、行政法规、规章规定、审计要求或者合同约定外，不得向任何机构或者个人提供相关信息和资料；</w:t>
            </w:r>
          </w:p>
          <w:p w:rsidR="00833B6B" w:rsidRDefault="00A3344E">
            <w:pPr>
              <w:spacing w:line="200" w:lineRule="exact"/>
              <w:rPr>
                <w:rFonts w:hAnsi="方正黑体_GBK" w:cs="方正黑体_GBK"/>
              </w:rPr>
            </w:pPr>
            <w:r>
              <w:rPr>
                <w:rFonts w:hAnsi="方正黑体_GBK" w:cs="方正黑体_GBK" w:hint="eastAsia"/>
                <w:sz w:val="18"/>
                <w:szCs w:val="18"/>
              </w:rPr>
              <w:t>9.</w:t>
            </w:r>
            <w:r>
              <w:rPr>
                <w:rFonts w:hAnsi="方正黑体_GBK" w:cs="方正黑体_GBK" w:hint="eastAsia"/>
                <w:sz w:val="18"/>
                <w:szCs w:val="18"/>
              </w:rPr>
              <w:t>国务院银行业监督管理机构规定及本理财产品相关托管协议中约定的其他职责。</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拟进行合作的理财投资合作机构</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本理财产品合作机构为</w:t>
            </w:r>
            <w:proofErr w:type="gramStart"/>
            <w:r>
              <w:rPr>
                <w:rFonts w:hAnsi="方正黑体_GBK" w:cs="方正黑体_GBK" w:hint="eastAsia"/>
                <w:sz w:val="18"/>
                <w:szCs w:val="18"/>
              </w:rPr>
              <w:t>华润深国</w:t>
            </w:r>
            <w:proofErr w:type="gramEnd"/>
            <w:r>
              <w:rPr>
                <w:rFonts w:hAnsi="方正黑体_GBK" w:cs="方正黑体_GBK" w:hint="eastAsia"/>
                <w:sz w:val="18"/>
                <w:szCs w:val="18"/>
              </w:rPr>
              <w:t>投信托有限公司、江苏省国际信托有限责任公司、平安资产管理有限责任公司、泰康资产管理有限责任公司、太平洋资产管理有限责任公司、</w:t>
            </w:r>
            <w:proofErr w:type="gramStart"/>
            <w:r>
              <w:rPr>
                <w:rFonts w:hAnsi="方正黑体_GBK" w:cs="方正黑体_GBK" w:hint="eastAsia"/>
                <w:sz w:val="18"/>
                <w:szCs w:val="18"/>
              </w:rPr>
              <w:t>鑫元基金</w:t>
            </w:r>
            <w:proofErr w:type="gramEnd"/>
            <w:r>
              <w:rPr>
                <w:rFonts w:hAnsi="方正黑体_GBK" w:cs="方正黑体_GBK" w:hint="eastAsia"/>
                <w:sz w:val="18"/>
                <w:szCs w:val="18"/>
              </w:rPr>
              <w:t>管理有限公司、</w:t>
            </w:r>
            <w:proofErr w:type="gramStart"/>
            <w:r>
              <w:rPr>
                <w:rFonts w:hAnsi="方正黑体_GBK" w:cs="方正黑体_GBK" w:hint="eastAsia"/>
                <w:sz w:val="18"/>
                <w:szCs w:val="18"/>
              </w:rPr>
              <w:t>鑫沅</w:t>
            </w:r>
            <w:proofErr w:type="gramEnd"/>
            <w:r>
              <w:rPr>
                <w:rFonts w:hAnsi="方正黑体_GBK" w:cs="方正黑体_GBK" w:hint="eastAsia"/>
                <w:sz w:val="18"/>
                <w:szCs w:val="18"/>
              </w:rPr>
              <w:t>资产管理有限公司，上述投资合作机构主要职责对应如下，具体职责以管理人与投资合作机构签署的合同为准。</w:t>
            </w:r>
          </w:p>
          <w:p w:rsidR="00833B6B" w:rsidRDefault="00A3344E">
            <w:pPr>
              <w:spacing w:line="200" w:lineRule="exact"/>
              <w:rPr>
                <w:rFonts w:hAnsi="方正黑体_GBK" w:cs="方正黑体_GBK"/>
              </w:rPr>
            </w:pPr>
            <w:r>
              <w:rPr>
                <w:rFonts w:hAnsi="方正黑体_GBK" w:cs="方正黑体_GBK" w:hint="eastAsia"/>
                <w:sz w:val="18"/>
                <w:szCs w:val="18"/>
              </w:rPr>
              <w:t>合作机构为理财产品所投资资产管理产品的发行机构，主要承担资产管理产品的管理人职责：</w:t>
            </w:r>
            <w:proofErr w:type="gramStart"/>
            <w:r>
              <w:rPr>
                <w:rFonts w:hAnsi="方正黑体_GBK" w:cs="方正黑体_GBK" w:hint="eastAsia"/>
                <w:sz w:val="18"/>
                <w:szCs w:val="18"/>
              </w:rPr>
              <w:t>华润深国</w:t>
            </w:r>
            <w:proofErr w:type="gramEnd"/>
            <w:r>
              <w:rPr>
                <w:rFonts w:hAnsi="方正黑体_GBK" w:cs="方正黑体_GBK" w:hint="eastAsia"/>
                <w:sz w:val="18"/>
                <w:szCs w:val="18"/>
              </w:rPr>
              <w:t>投信托有限公司、江苏省国际信托有限责</w:t>
            </w:r>
            <w:r>
              <w:rPr>
                <w:rFonts w:hAnsi="方正黑体_GBK" w:cs="方正黑体_GBK" w:hint="eastAsia"/>
                <w:sz w:val="18"/>
                <w:szCs w:val="18"/>
              </w:rPr>
              <w:t>任公司、平安资产管理有限责任公司、泰康资产管理有限责任公司、太平洋资产管理有限责任公司、</w:t>
            </w:r>
            <w:proofErr w:type="gramStart"/>
            <w:r>
              <w:rPr>
                <w:rFonts w:hAnsi="方正黑体_GBK" w:cs="方正黑体_GBK" w:hint="eastAsia"/>
                <w:sz w:val="18"/>
                <w:szCs w:val="18"/>
              </w:rPr>
              <w:t>鑫元基金</w:t>
            </w:r>
            <w:proofErr w:type="gramEnd"/>
            <w:r>
              <w:rPr>
                <w:rFonts w:hAnsi="方正黑体_GBK" w:cs="方正黑体_GBK" w:hint="eastAsia"/>
                <w:sz w:val="18"/>
                <w:szCs w:val="18"/>
              </w:rPr>
              <w:t>管理有限公司、</w:t>
            </w:r>
            <w:proofErr w:type="gramStart"/>
            <w:r>
              <w:rPr>
                <w:rFonts w:hAnsi="方正黑体_GBK" w:cs="方正黑体_GBK" w:hint="eastAsia"/>
                <w:sz w:val="18"/>
                <w:szCs w:val="18"/>
              </w:rPr>
              <w:t>鑫沅</w:t>
            </w:r>
            <w:proofErr w:type="gramEnd"/>
            <w:r>
              <w:rPr>
                <w:rFonts w:hAnsi="方正黑体_GBK" w:cs="方正黑体_GBK" w:hint="eastAsia"/>
                <w:sz w:val="18"/>
                <w:szCs w:val="18"/>
              </w:rPr>
              <w:t>资产管理有限公司。</w:t>
            </w:r>
          </w:p>
          <w:p w:rsidR="00833B6B" w:rsidRDefault="00A3344E">
            <w:pPr>
              <w:spacing w:line="200" w:lineRule="exact"/>
              <w:rPr>
                <w:rFonts w:hAnsi="方正黑体_GBK" w:cs="方正黑体_GBK"/>
              </w:rPr>
            </w:pPr>
            <w:r>
              <w:rPr>
                <w:rFonts w:hAnsi="方正黑体_GBK" w:cs="方正黑体_GBK" w:hint="eastAsia"/>
                <w:sz w:val="18"/>
                <w:szCs w:val="18"/>
              </w:rPr>
              <w:lastRenderedPageBreak/>
              <w:t>若上述合作机构及其职责发生调整，管理人将在本理财产品的定期报告中进行信息披露。</w:t>
            </w:r>
          </w:p>
          <w:p w:rsidR="00833B6B" w:rsidRDefault="00A3344E">
            <w:pPr>
              <w:spacing w:line="200" w:lineRule="exact"/>
              <w:rPr>
                <w:rFonts w:hAnsi="方正黑体_GBK" w:cs="方正黑体_GBK"/>
              </w:rPr>
            </w:pPr>
            <w:r>
              <w:rPr>
                <w:rFonts w:hAnsi="方正黑体_GBK" w:cs="方正黑体_GBK" w:hint="eastAsia"/>
                <w:sz w:val="18"/>
                <w:szCs w:val="18"/>
              </w:rPr>
              <w:t>上述投资合作机构简介：</w:t>
            </w:r>
          </w:p>
          <w:p w:rsidR="00833B6B" w:rsidRDefault="00A3344E">
            <w:pPr>
              <w:spacing w:line="200" w:lineRule="exact"/>
              <w:rPr>
                <w:rFonts w:hAnsi="方正黑体_GBK" w:cs="方正黑体_GBK"/>
              </w:rPr>
            </w:pPr>
            <w:proofErr w:type="gramStart"/>
            <w:r>
              <w:rPr>
                <w:rFonts w:hAnsi="方正黑体_GBK" w:cs="方正黑体_GBK" w:hint="eastAsia"/>
                <w:sz w:val="18"/>
                <w:szCs w:val="18"/>
              </w:rPr>
              <w:t>华润深国</w:t>
            </w:r>
            <w:proofErr w:type="gramEnd"/>
            <w:r>
              <w:rPr>
                <w:rFonts w:hAnsi="方正黑体_GBK" w:cs="方正黑体_GBK" w:hint="eastAsia"/>
                <w:sz w:val="18"/>
                <w:szCs w:val="18"/>
              </w:rPr>
              <w:t>投信托有限公司成立于</w:t>
            </w:r>
            <w:r>
              <w:rPr>
                <w:rFonts w:hAnsi="方正黑体_GBK" w:cs="方正黑体_GBK" w:hint="eastAsia"/>
                <w:sz w:val="18"/>
                <w:szCs w:val="18"/>
              </w:rPr>
              <w:t>1982</w:t>
            </w:r>
            <w:r>
              <w:rPr>
                <w:rFonts w:hAnsi="方正黑体_GBK" w:cs="方正黑体_GBK" w:hint="eastAsia"/>
                <w:sz w:val="18"/>
                <w:szCs w:val="18"/>
              </w:rPr>
              <w:t>年</w:t>
            </w:r>
            <w:r>
              <w:rPr>
                <w:rFonts w:hAnsi="方正黑体_GBK" w:cs="方正黑体_GBK" w:hint="eastAsia"/>
                <w:sz w:val="18"/>
                <w:szCs w:val="18"/>
              </w:rPr>
              <w:t>08</w:t>
            </w:r>
            <w:r>
              <w:rPr>
                <w:rFonts w:hAnsi="方正黑体_GBK" w:cs="方正黑体_GBK" w:hint="eastAsia"/>
                <w:sz w:val="18"/>
                <w:szCs w:val="18"/>
              </w:rPr>
              <w:t>月</w:t>
            </w:r>
            <w:r>
              <w:rPr>
                <w:rFonts w:hAnsi="方正黑体_GBK" w:cs="方正黑体_GBK" w:hint="eastAsia"/>
                <w:sz w:val="18"/>
                <w:szCs w:val="18"/>
              </w:rPr>
              <w:t>24</w:t>
            </w:r>
            <w:r>
              <w:rPr>
                <w:rFonts w:hAnsi="方正黑体_GBK" w:cs="方正黑体_GBK" w:hint="eastAsia"/>
                <w:sz w:val="18"/>
                <w:szCs w:val="18"/>
              </w:rPr>
              <w:t>日，注册资本金</w:t>
            </w:r>
            <w:r>
              <w:rPr>
                <w:rFonts w:hAnsi="方正黑体_GBK" w:cs="方正黑体_GBK" w:hint="eastAsia"/>
                <w:sz w:val="18"/>
                <w:szCs w:val="18"/>
              </w:rPr>
              <w:t>110</w:t>
            </w:r>
            <w:r>
              <w:rPr>
                <w:rFonts w:hAnsi="方正黑体_GBK" w:cs="方正黑体_GBK" w:hint="eastAsia"/>
                <w:sz w:val="18"/>
                <w:szCs w:val="18"/>
              </w:rPr>
              <w:t>亿元。</w:t>
            </w:r>
          </w:p>
          <w:p w:rsidR="00833B6B" w:rsidRDefault="00A3344E">
            <w:pPr>
              <w:spacing w:line="200" w:lineRule="exact"/>
              <w:rPr>
                <w:rFonts w:hAnsi="方正黑体_GBK" w:cs="方正黑体_GBK"/>
              </w:rPr>
            </w:pPr>
            <w:r>
              <w:rPr>
                <w:rFonts w:hAnsi="方正黑体_GBK" w:cs="方正黑体_GBK" w:hint="eastAsia"/>
                <w:sz w:val="18"/>
                <w:szCs w:val="18"/>
              </w:rPr>
              <w:t>江苏省国际信托有限责任公司成立于</w:t>
            </w:r>
            <w:r>
              <w:rPr>
                <w:rFonts w:hAnsi="方正黑体_GBK" w:cs="方正黑体_GBK" w:hint="eastAsia"/>
                <w:sz w:val="18"/>
                <w:szCs w:val="18"/>
              </w:rPr>
              <w:t>1992</w:t>
            </w:r>
            <w:r>
              <w:rPr>
                <w:rFonts w:hAnsi="方正黑体_GBK" w:cs="方正黑体_GBK" w:hint="eastAsia"/>
                <w:sz w:val="18"/>
                <w:szCs w:val="18"/>
              </w:rPr>
              <w:t>年</w:t>
            </w:r>
            <w:r>
              <w:rPr>
                <w:rFonts w:hAnsi="方正黑体_GBK" w:cs="方正黑体_GBK" w:hint="eastAsia"/>
                <w:sz w:val="18"/>
                <w:szCs w:val="18"/>
              </w:rPr>
              <w:t>06</w:t>
            </w:r>
            <w:r>
              <w:rPr>
                <w:rFonts w:hAnsi="方正黑体_GBK" w:cs="方正黑体_GBK" w:hint="eastAsia"/>
                <w:sz w:val="18"/>
                <w:szCs w:val="18"/>
              </w:rPr>
              <w:t>月</w:t>
            </w:r>
            <w:r>
              <w:rPr>
                <w:rFonts w:hAnsi="方正黑体_GBK" w:cs="方正黑体_GBK" w:hint="eastAsia"/>
                <w:sz w:val="18"/>
                <w:szCs w:val="18"/>
              </w:rPr>
              <w:t>01</w:t>
            </w:r>
            <w:r>
              <w:rPr>
                <w:rFonts w:hAnsi="方正黑体_GBK" w:cs="方正黑体_GBK" w:hint="eastAsia"/>
                <w:sz w:val="18"/>
                <w:szCs w:val="18"/>
              </w:rPr>
              <w:t>日，注册资本金</w:t>
            </w:r>
            <w:r>
              <w:rPr>
                <w:rFonts w:hAnsi="方正黑体_GBK" w:cs="方正黑体_GBK" w:hint="eastAsia"/>
                <w:sz w:val="18"/>
                <w:szCs w:val="18"/>
              </w:rPr>
              <w:t>87.60</w:t>
            </w:r>
            <w:r>
              <w:rPr>
                <w:rFonts w:hAnsi="方正黑体_GBK" w:cs="方正黑体_GBK" w:hint="eastAsia"/>
                <w:sz w:val="18"/>
                <w:szCs w:val="18"/>
              </w:rPr>
              <w:t>亿元。</w:t>
            </w:r>
          </w:p>
          <w:p w:rsidR="00833B6B" w:rsidRDefault="00A3344E">
            <w:pPr>
              <w:spacing w:line="200" w:lineRule="exact"/>
              <w:rPr>
                <w:rFonts w:hAnsi="方正黑体_GBK" w:cs="方正黑体_GBK"/>
              </w:rPr>
            </w:pPr>
            <w:r>
              <w:rPr>
                <w:rFonts w:hAnsi="方正黑体_GBK" w:cs="方正黑体_GBK" w:hint="eastAsia"/>
                <w:sz w:val="18"/>
                <w:szCs w:val="18"/>
              </w:rPr>
              <w:t>平安资产管理有限责任公司成立于</w:t>
            </w:r>
            <w:r>
              <w:rPr>
                <w:rFonts w:hAnsi="方正黑体_GBK" w:cs="方正黑体_GBK" w:hint="eastAsia"/>
                <w:sz w:val="18"/>
                <w:szCs w:val="18"/>
              </w:rPr>
              <w:t>2005</w:t>
            </w:r>
            <w:r>
              <w:rPr>
                <w:rFonts w:hAnsi="方正黑体_GBK" w:cs="方正黑体_GBK" w:hint="eastAsia"/>
                <w:sz w:val="18"/>
                <w:szCs w:val="18"/>
              </w:rPr>
              <w:t>年</w:t>
            </w:r>
            <w:r>
              <w:rPr>
                <w:rFonts w:hAnsi="方正黑体_GBK" w:cs="方正黑体_GBK" w:hint="eastAsia"/>
                <w:sz w:val="18"/>
                <w:szCs w:val="18"/>
              </w:rPr>
              <w:t>05</w:t>
            </w:r>
            <w:r>
              <w:rPr>
                <w:rFonts w:hAnsi="方正黑体_GBK" w:cs="方正黑体_GBK" w:hint="eastAsia"/>
                <w:sz w:val="18"/>
                <w:szCs w:val="18"/>
              </w:rPr>
              <w:t>月</w:t>
            </w:r>
            <w:r>
              <w:rPr>
                <w:rFonts w:hAnsi="方正黑体_GBK" w:cs="方正黑体_GBK" w:hint="eastAsia"/>
                <w:sz w:val="18"/>
                <w:szCs w:val="18"/>
              </w:rPr>
              <w:t>27</w:t>
            </w:r>
            <w:r>
              <w:rPr>
                <w:rFonts w:hAnsi="方正黑体_GBK" w:cs="方正黑体_GBK" w:hint="eastAsia"/>
                <w:sz w:val="18"/>
                <w:szCs w:val="18"/>
              </w:rPr>
              <w:t>日，注册资本金</w:t>
            </w:r>
            <w:r>
              <w:rPr>
                <w:rFonts w:hAnsi="方正黑体_GBK" w:cs="方正黑体_GBK" w:hint="eastAsia"/>
                <w:sz w:val="18"/>
                <w:szCs w:val="18"/>
              </w:rPr>
              <w:t>15</w:t>
            </w:r>
            <w:r>
              <w:rPr>
                <w:rFonts w:hAnsi="方正黑体_GBK" w:cs="方正黑体_GBK" w:hint="eastAsia"/>
                <w:sz w:val="18"/>
                <w:szCs w:val="18"/>
              </w:rPr>
              <w:t>亿元。</w:t>
            </w:r>
          </w:p>
          <w:p w:rsidR="00833B6B" w:rsidRDefault="00A3344E">
            <w:pPr>
              <w:spacing w:line="200" w:lineRule="exact"/>
              <w:rPr>
                <w:rFonts w:hAnsi="方正黑体_GBK" w:cs="方正黑体_GBK"/>
              </w:rPr>
            </w:pPr>
            <w:r>
              <w:rPr>
                <w:rFonts w:hAnsi="方正黑体_GBK" w:cs="方正黑体_GBK" w:hint="eastAsia"/>
                <w:sz w:val="18"/>
                <w:szCs w:val="18"/>
              </w:rPr>
              <w:t>泰康资产管理有限责任公司成立于</w:t>
            </w:r>
            <w:r>
              <w:rPr>
                <w:rFonts w:hAnsi="方正黑体_GBK" w:cs="方正黑体_GBK" w:hint="eastAsia"/>
                <w:sz w:val="18"/>
                <w:szCs w:val="18"/>
              </w:rPr>
              <w:t>2006</w:t>
            </w:r>
            <w:r>
              <w:rPr>
                <w:rFonts w:hAnsi="方正黑体_GBK" w:cs="方正黑体_GBK" w:hint="eastAsia"/>
                <w:sz w:val="18"/>
                <w:szCs w:val="18"/>
              </w:rPr>
              <w:t>年</w:t>
            </w:r>
            <w:r>
              <w:rPr>
                <w:rFonts w:hAnsi="方正黑体_GBK" w:cs="方正黑体_GBK" w:hint="eastAsia"/>
                <w:sz w:val="18"/>
                <w:szCs w:val="18"/>
              </w:rPr>
              <w:t>02</w:t>
            </w:r>
            <w:r>
              <w:rPr>
                <w:rFonts w:hAnsi="方正黑体_GBK" w:cs="方正黑体_GBK" w:hint="eastAsia"/>
                <w:sz w:val="18"/>
                <w:szCs w:val="18"/>
              </w:rPr>
              <w:t>月</w:t>
            </w:r>
            <w:r>
              <w:rPr>
                <w:rFonts w:hAnsi="方正黑体_GBK" w:cs="方正黑体_GBK" w:hint="eastAsia"/>
                <w:sz w:val="18"/>
                <w:szCs w:val="18"/>
              </w:rPr>
              <w:t>21</w:t>
            </w:r>
            <w:r>
              <w:rPr>
                <w:rFonts w:hAnsi="方正黑体_GBK" w:cs="方正黑体_GBK" w:hint="eastAsia"/>
                <w:sz w:val="18"/>
                <w:szCs w:val="18"/>
              </w:rPr>
              <w:t>日，注册资本金</w:t>
            </w:r>
            <w:r>
              <w:rPr>
                <w:rFonts w:hAnsi="方正黑体_GBK" w:cs="方正黑体_GBK" w:hint="eastAsia"/>
                <w:sz w:val="18"/>
                <w:szCs w:val="18"/>
              </w:rPr>
              <w:t>10</w:t>
            </w:r>
            <w:r>
              <w:rPr>
                <w:rFonts w:hAnsi="方正黑体_GBK" w:cs="方正黑体_GBK" w:hint="eastAsia"/>
                <w:sz w:val="18"/>
                <w:szCs w:val="18"/>
              </w:rPr>
              <w:t>亿元。</w:t>
            </w:r>
          </w:p>
          <w:p w:rsidR="00833B6B" w:rsidRDefault="00A3344E">
            <w:pPr>
              <w:spacing w:line="200" w:lineRule="exact"/>
              <w:rPr>
                <w:rFonts w:hAnsi="方正黑体_GBK" w:cs="方正黑体_GBK"/>
              </w:rPr>
            </w:pPr>
            <w:r>
              <w:rPr>
                <w:rFonts w:hAnsi="方正黑体_GBK" w:cs="方正黑体_GBK" w:hint="eastAsia"/>
                <w:sz w:val="18"/>
                <w:szCs w:val="18"/>
              </w:rPr>
              <w:t>太平洋资产管理有限责任公司成立于</w:t>
            </w:r>
            <w:r>
              <w:rPr>
                <w:rFonts w:hAnsi="方正黑体_GBK" w:cs="方正黑体_GBK" w:hint="eastAsia"/>
                <w:sz w:val="18"/>
                <w:szCs w:val="18"/>
              </w:rPr>
              <w:t>2006</w:t>
            </w:r>
            <w:r>
              <w:rPr>
                <w:rFonts w:hAnsi="方正黑体_GBK" w:cs="方正黑体_GBK" w:hint="eastAsia"/>
                <w:sz w:val="18"/>
                <w:szCs w:val="18"/>
              </w:rPr>
              <w:t>年</w:t>
            </w:r>
            <w:r>
              <w:rPr>
                <w:rFonts w:hAnsi="方正黑体_GBK" w:cs="方正黑体_GBK" w:hint="eastAsia"/>
                <w:sz w:val="18"/>
                <w:szCs w:val="18"/>
              </w:rPr>
              <w:t>06</w:t>
            </w:r>
            <w:r>
              <w:rPr>
                <w:rFonts w:hAnsi="方正黑体_GBK" w:cs="方正黑体_GBK" w:hint="eastAsia"/>
                <w:sz w:val="18"/>
                <w:szCs w:val="18"/>
              </w:rPr>
              <w:t>月</w:t>
            </w:r>
            <w:r>
              <w:rPr>
                <w:rFonts w:hAnsi="方正黑体_GBK" w:cs="方正黑体_GBK" w:hint="eastAsia"/>
                <w:sz w:val="18"/>
                <w:szCs w:val="18"/>
              </w:rPr>
              <w:t>09</w:t>
            </w:r>
            <w:r>
              <w:rPr>
                <w:rFonts w:hAnsi="方正黑体_GBK" w:cs="方正黑体_GBK" w:hint="eastAsia"/>
                <w:sz w:val="18"/>
                <w:szCs w:val="18"/>
              </w:rPr>
              <w:t>日，注册资本金</w:t>
            </w:r>
            <w:r>
              <w:rPr>
                <w:rFonts w:hAnsi="方正黑体_GBK" w:cs="方正黑体_GBK" w:hint="eastAsia"/>
                <w:sz w:val="18"/>
                <w:szCs w:val="18"/>
              </w:rPr>
              <w:t>21</w:t>
            </w:r>
            <w:r>
              <w:rPr>
                <w:rFonts w:hAnsi="方正黑体_GBK" w:cs="方正黑体_GBK" w:hint="eastAsia"/>
                <w:sz w:val="18"/>
                <w:szCs w:val="18"/>
              </w:rPr>
              <w:t>亿元。</w:t>
            </w:r>
          </w:p>
          <w:p w:rsidR="00833B6B" w:rsidRDefault="00A3344E">
            <w:pPr>
              <w:spacing w:line="200" w:lineRule="exact"/>
              <w:rPr>
                <w:rFonts w:hAnsi="方正黑体_GBK" w:cs="方正黑体_GBK"/>
              </w:rPr>
            </w:pPr>
            <w:proofErr w:type="gramStart"/>
            <w:r>
              <w:rPr>
                <w:rFonts w:hAnsi="方正黑体_GBK" w:cs="方正黑体_GBK" w:hint="eastAsia"/>
                <w:sz w:val="18"/>
                <w:szCs w:val="18"/>
              </w:rPr>
              <w:t>鑫元基金</w:t>
            </w:r>
            <w:proofErr w:type="gramEnd"/>
            <w:r>
              <w:rPr>
                <w:rFonts w:hAnsi="方正黑体_GBK" w:cs="方正黑体_GBK" w:hint="eastAsia"/>
                <w:sz w:val="18"/>
                <w:szCs w:val="18"/>
              </w:rPr>
              <w:t>管理有限公司成立于</w:t>
            </w:r>
            <w:r>
              <w:rPr>
                <w:rFonts w:hAnsi="方正黑体_GBK" w:cs="方正黑体_GBK" w:hint="eastAsia"/>
                <w:sz w:val="18"/>
                <w:szCs w:val="18"/>
              </w:rPr>
              <w:t>2013</w:t>
            </w:r>
            <w:r>
              <w:rPr>
                <w:rFonts w:hAnsi="方正黑体_GBK" w:cs="方正黑体_GBK" w:hint="eastAsia"/>
                <w:sz w:val="18"/>
                <w:szCs w:val="18"/>
              </w:rPr>
              <w:t>年</w:t>
            </w:r>
            <w:r>
              <w:rPr>
                <w:rFonts w:hAnsi="方正黑体_GBK" w:cs="方正黑体_GBK" w:hint="eastAsia"/>
                <w:sz w:val="18"/>
                <w:szCs w:val="18"/>
              </w:rPr>
              <w:t>08</w:t>
            </w:r>
            <w:r>
              <w:rPr>
                <w:rFonts w:hAnsi="方正黑体_GBK" w:cs="方正黑体_GBK" w:hint="eastAsia"/>
                <w:sz w:val="18"/>
                <w:szCs w:val="18"/>
              </w:rPr>
              <w:t>月</w:t>
            </w:r>
            <w:r>
              <w:rPr>
                <w:rFonts w:hAnsi="方正黑体_GBK" w:cs="方正黑体_GBK" w:hint="eastAsia"/>
                <w:sz w:val="18"/>
                <w:szCs w:val="18"/>
              </w:rPr>
              <w:t>29</w:t>
            </w:r>
            <w:r>
              <w:rPr>
                <w:rFonts w:hAnsi="方正黑体_GBK" w:cs="方正黑体_GBK" w:hint="eastAsia"/>
                <w:sz w:val="18"/>
                <w:szCs w:val="18"/>
              </w:rPr>
              <w:t>日，注册资本金</w:t>
            </w:r>
            <w:r>
              <w:rPr>
                <w:rFonts w:hAnsi="方正黑体_GBK" w:cs="方正黑体_GBK" w:hint="eastAsia"/>
                <w:sz w:val="18"/>
                <w:szCs w:val="18"/>
              </w:rPr>
              <w:t>17</w:t>
            </w:r>
            <w:r>
              <w:rPr>
                <w:rFonts w:hAnsi="方正黑体_GBK" w:cs="方正黑体_GBK" w:hint="eastAsia"/>
                <w:sz w:val="18"/>
                <w:szCs w:val="18"/>
              </w:rPr>
              <w:t>亿元。</w:t>
            </w:r>
          </w:p>
          <w:p w:rsidR="00833B6B" w:rsidRDefault="00A3344E">
            <w:pPr>
              <w:spacing w:line="200" w:lineRule="exact"/>
              <w:rPr>
                <w:rFonts w:hAnsi="方正黑体_GBK" w:cs="方正黑体_GBK"/>
              </w:rPr>
            </w:pPr>
            <w:proofErr w:type="gramStart"/>
            <w:r>
              <w:rPr>
                <w:rFonts w:hAnsi="方正黑体_GBK" w:cs="方正黑体_GBK" w:hint="eastAsia"/>
                <w:sz w:val="18"/>
                <w:szCs w:val="18"/>
              </w:rPr>
              <w:t>鑫沅</w:t>
            </w:r>
            <w:proofErr w:type="gramEnd"/>
            <w:r>
              <w:rPr>
                <w:rFonts w:hAnsi="方正黑体_GBK" w:cs="方正黑体_GBK" w:hint="eastAsia"/>
                <w:sz w:val="18"/>
                <w:szCs w:val="18"/>
              </w:rPr>
              <w:t>资产管理有限公司成立于</w:t>
            </w:r>
            <w:r>
              <w:rPr>
                <w:rFonts w:hAnsi="方正黑体_GBK" w:cs="方正黑体_GBK" w:hint="eastAsia"/>
                <w:sz w:val="18"/>
                <w:szCs w:val="18"/>
              </w:rPr>
              <w:t>2014</w:t>
            </w:r>
            <w:r>
              <w:rPr>
                <w:rFonts w:hAnsi="方正黑体_GBK" w:cs="方正黑体_GBK" w:hint="eastAsia"/>
                <w:sz w:val="18"/>
                <w:szCs w:val="18"/>
              </w:rPr>
              <w:t>年</w:t>
            </w:r>
            <w:r>
              <w:rPr>
                <w:rFonts w:hAnsi="方正黑体_GBK" w:cs="方正黑体_GBK" w:hint="eastAsia"/>
                <w:sz w:val="18"/>
                <w:szCs w:val="18"/>
              </w:rPr>
              <w:t>02</w:t>
            </w:r>
            <w:r>
              <w:rPr>
                <w:rFonts w:hAnsi="方正黑体_GBK" w:cs="方正黑体_GBK" w:hint="eastAsia"/>
                <w:sz w:val="18"/>
                <w:szCs w:val="18"/>
              </w:rPr>
              <w:t>月</w:t>
            </w:r>
            <w:r>
              <w:rPr>
                <w:rFonts w:hAnsi="方正黑体_GBK" w:cs="方正黑体_GBK" w:hint="eastAsia"/>
                <w:sz w:val="18"/>
                <w:szCs w:val="18"/>
              </w:rPr>
              <w:t>19</w:t>
            </w:r>
            <w:r>
              <w:rPr>
                <w:rFonts w:hAnsi="方正黑体_GBK" w:cs="方正黑体_GBK" w:hint="eastAsia"/>
                <w:sz w:val="18"/>
                <w:szCs w:val="18"/>
              </w:rPr>
              <w:t>日，注册资本金</w:t>
            </w:r>
            <w:r>
              <w:rPr>
                <w:rFonts w:hAnsi="方正黑体_GBK" w:cs="方正黑体_GBK" w:hint="eastAsia"/>
                <w:sz w:val="18"/>
                <w:szCs w:val="18"/>
              </w:rPr>
              <w:t>15.5</w:t>
            </w:r>
            <w:r>
              <w:rPr>
                <w:rFonts w:hAnsi="方正黑体_GBK" w:cs="方正黑体_GBK" w:hint="eastAsia"/>
                <w:sz w:val="18"/>
                <w:szCs w:val="18"/>
              </w:rPr>
              <w:t>亿元。</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lastRenderedPageBreak/>
              <w:t>巨额赎回</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本理财产品单个</w:t>
            </w:r>
            <w:proofErr w:type="gramStart"/>
            <w:r>
              <w:rPr>
                <w:rFonts w:hAnsi="方正黑体_GBK" w:cs="方正黑体_GBK" w:hint="eastAsia"/>
                <w:sz w:val="18"/>
                <w:szCs w:val="18"/>
              </w:rPr>
              <w:t>开放日净赎回</w:t>
            </w:r>
            <w:proofErr w:type="gramEnd"/>
            <w:r>
              <w:rPr>
                <w:rFonts w:hAnsi="方正黑体_GBK" w:cs="方正黑体_GBK" w:hint="eastAsia"/>
                <w:sz w:val="18"/>
                <w:szCs w:val="18"/>
              </w:rPr>
              <w:t>申请超过前一产品工作日日</w:t>
            </w:r>
            <w:proofErr w:type="gramStart"/>
            <w:r>
              <w:rPr>
                <w:rFonts w:hAnsi="方正黑体_GBK" w:cs="方正黑体_GBK" w:hint="eastAsia"/>
                <w:sz w:val="18"/>
                <w:szCs w:val="18"/>
              </w:rPr>
              <w:t>终本理财</w:t>
            </w:r>
            <w:proofErr w:type="gramEnd"/>
            <w:r>
              <w:rPr>
                <w:rFonts w:hAnsi="方正黑体_GBK" w:cs="方正黑体_GBK" w:hint="eastAsia"/>
                <w:sz w:val="18"/>
                <w:szCs w:val="18"/>
              </w:rPr>
              <w:t>产品总份额的</w:t>
            </w:r>
            <w:r>
              <w:rPr>
                <w:rFonts w:hAnsi="方正黑体_GBK" w:cs="方正黑体_GBK" w:hint="eastAsia"/>
                <w:sz w:val="18"/>
                <w:szCs w:val="18"/>
              </w:rPr>
              <w:t>10%</w:t>
            </w:r>
            <w:r>
              <w:rPr>
                <w:rFonts w:hAnsi="方正黑体_GBK" w:cs="方正黑体_GBK" w:hint="eastAsia"/>
                <w:sz w:val="18"/>
                <w:szCs w:val="18"/>
              </w:rPr>
              <w:t>时，触发巨额赎回，在赎回确认日管理人办理的赎回份额将不低于前一产品工作日日终理财产品总份额的</w:t>
            </w:r>
            <w:r>
              <w:rPr>
                <w:rFonts w:hAnsi="方正黑体_GBK" w:cs="方正黑体_GBK" w:hint="eastAsia"/>
                <w:sz w:val="18"/>
                <w:szCs w:val="18"/>
              </w:rPr>
              <w:t>10%</w:t>
            </w:r>
            <w:r>
              <w:rPr>
                <w:rFonts w:hAnsi="方正黑体_GBK" w:cs="方正黑体_GBK" w:hint="eastAsia"/>
                <w:sz w:val="18"/>
                <w:szCs w:val="18"/>
              </w:rPr>
              <w:t>。</w:t>
            </w:r>
          </w:p>
          <w:p w:rsidR="00833B6B" w:rsidRDefault="00A3344E">
            <w:pPr>
              <w:spacing w:line="200" w:lineRule="exact"/>
              <w:rPr>
                <w:rFonts w:hAnsi="方正黑体_GBK" w:cs="方正黑体_GBK"/>
              </w:rPr>
            </w:pPr>
            <w:r>
              <w:rPr>
                <w:rFonts w:hAnsi="方正黑体_GBK" w:cs="方正黑体_GBK" w:hint="eastAsia"/>
                <w:sz w:val="18"/>
                <w:szCs w:val="18"/>
              </w:rPr>
              <w:t>本理财产品在开放日发</w:t>
            </w:r>
            <w:r>
              <w:rPr>
                <w:rFonts w:hAnsi="方正黑体_GBK" w:cs="方正黑体_GBK" w:hint="eastAsia"/>
                <w:sz w:val="18"/>
                <w:szCs w:val="18"/>
              </w:rPr>
              <w:t>生巨额赎回时，管理人有权根据产品的实际运作情况采取如下措施中的一种：</w:t>
            </w:r>
          </w:p>
          <w:p w:rsidR="00833B6B" w:rsidRDefault="00A3344E">
            <w:pPr>
              <w:spacing w:line="200" w:lineRule="exact"/>
              <w:rPr>
                <w:rFonts w:hAnsi="方正黑体_GBK" w:cs="方正黑体_GBK"/>
              </w:rPr>
            </w:pPr>
            <w:r>
              <w:rPr>
                <w:rFonts w:hAnsi="方正黑体_GBK" w:cs="方正黑体_GBK" w:hint="eastAsia"/>
                <w:sz w:val="18"/>
                <w:szCs w:val="18"/>
              </w:rPr>
              <w:t>1.</w:t>
            </w:r>
            <w:r>
              <w:rPr>
                <w:rFonts w:hAnsi="方正黑体_GBK" w:cs="方正黑体_GBK" w:hint="eastAsia"/>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hAnsi="方正黑体_GBK" w:cs="方正黑体_GBK" w:hint="eastAsia"/>
                <w:sz w:val="18"/>
                <w:szCs w:val="18"/>
              </w:rPr>
              <w:t>10%</w:t>
            </w:r>
            <w:r>
              <w:rPr>
                <w:rFonts w:hAnsi="方正黑体_GBK" w:cs="方正黑体_GBK" w:hint="eastAsia"/>
                <w:sz w:val="18"/>
                <w:szCs w:val="18"/>
              </w:rPr>
              <w:t>，并按单个投资者的赎回申请份额占当日所有投资者的净赎回</w:t>
            </w:r>
            <w:proofErr w:type="gramStart"/>
            <w:r>
              <w:rPr>
                <w:rFonts w:hAnsi="方正黑体_GBK" w:cs="方正黑体_GBK" w:hint="eastAsia"/>
                <w:sz w:val="18"/>
                <w:szCs w:val="18"/>
              </w:rPr>
              <w:t>申请总</w:t>
            </w:r>
            <w:proofErr w:type="gramEnd"/>
            <w:r>
              <w:rPr>
                <w:rFonts w:hAnsi="方正黑体_GBK" w:cs="方正黑体_GBK" w:hint="eastAsia"/>
                <w:sz w:val="18"/>
                <w:szCs w:val="18"/>
              </w:rPr>
              <w:t>份额的比例，确认该投资者当日办理的赎回申请份额，对于其余赎回申请管理人可暂停接受或延期办理。</w:t>
            </w:r>
          </w:p>
          <w:p w:rsidR="00833B6B" w:rsidRDefault="00A3344E">
            <w:pPr>
              <w:spacing w:line="200" w:lineRule="exact"/>
              <w:rPr>
                <w:rFonts w:hAnsi="方正黑体_GBK" w:cs="方正黑体_GBK"/>
              </w:rPr>
            </w:pPr>
            <w:r>
              <w:rPr>
                <w:rFonts w:hAnsi="方正黑体_GBK" w:cs="方正黑体_GBK" w:hint="eastAsia"/>
                <w:sz w:val="18"/>
                <w:szCs w:val="18"/>
              </w:rPr>
              <w:t>（</w:t>
            </w:r>
            <w:r>
              <w:rPr>
                <w:rFonts w:hAnsi="方正黑体_GBK" w:cs="方正黑体_GBK" w:hint="eastAsia"/>
                <w:sz w:val="18"/>
                <w:szCs w:val="18"/>
              </w:rPr>
              <w:t>1</w:t>
            </w:r>
            <w:r>
              <w:rPr>
                <w:rFonts w:hAnsi="方正黑体_GBK" w:cs="方正黑体_GBK" w:hint="eastAsia"/>
                <w:sz w:val="18"/>
                <w:szCs w:val="18"/>
              </w:rPr>
              <w:t>）投资者在申请赎回时可选择将当日未获办理部分予以撤销，即暂停接受情形，管理人</w:t>
            </w:r>
            <w:r>
              <w:rPr>
                <w:rFonts w:hAnsi="方正黑体_GBK" w:cs="方正黑体_GBK" w:hint="eastAsia"/>
                <w:sz w:val="18"/>
                <w:szCs w:val="18"/>
              </w:rPr>
              <w:t>将拒绝该部分赎回申请，撤销的部分投资者可在下一个产品开放日再次发起赎回申请。</w:t>
            </w:r>
          </w:p>
          <w:p w:rsidR="00833B6B" w:rsidRDefault="00A3344E">
            <w:pPr>
              <w:spacing w:line="200" w:lineRule="exact"/>
              <w:rPr>
                <w:rFonts w:hAnsi="方正黑体_GBK" w:cs="方正黑体_GBK"/>
              </w:rPr>
            </w:pPr>
            <w:r>
              <w:rPr>
                <w:rFonts w:hAnsi="方正黑体_GBK" w:cs="方正黑体_GBK" w:hint="eastAsia"/>
                <w:sz w:val="18"/>
                <w:szCs w:val="18"/>
              </w:rPr>
              <w:t>（</w:t>
            </w:r>
            <w:r>
              <w:rPr>
                <w:rFonts w:hAnsi="方正黑体_GBK" w:cs="方正黑体_GBK" w:hint="eastAsia"/>
                <w:sz w:val="18"/>
                <w:szCs w:val="18"/>
              </w:rPr>
              <w:t>2</w:t>
            </w:r>
            <w:r>
              <w:rPr>
                <w:rFonts w:hAnsi="方正黑体_GBK" w:cs="方正黑体_GBK" w:hint="eastAsia"/>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833B6B" w:rsidRDefault="00A3344E">
            <w:pPr>
              <w:spacing w:line="200" w:lineRule="exact"/>
              <w:rPr>
                <w:rFonts w:hAnsi="方正黑体_GBK" w:cs="方正黑体_GBK"/>
              </w:rPr>
            </w:pPr>
            <w:r>
              <w:rPr>
                <w:rFonts w:hAnsi="方正黑体_GBK" w:cs="方正黑体_GBK" w:hint="eastAsia"/>
                <w:sz w:val="18"/>
                <w:szCs w:val="18"/>
              </w:rPr>
              <w:t>具体服务投资者可详</w:t>
            </w:r>
            <w:proofErr w:type="gramStart"/>
            <w:r>
              <w:rPr>
                <w:rFonts w:hAnsi="方正黑体_GBK" w:cs="方正黑体_GBK" w:hint="eastAsia"/>
                <w:sz w:val="18"/>
                <w:szCs w:val="18"/>
              </w:rPr>
              <w:t>询</w:t>
            </w:r>
            <w:proofErr w:type="gramEnd"/>
            <w:r>
              <w:rPr>
                <w:rFonts w:hAnsi="方正黑体_GBK" w:cs="方正黑体_GBK" w:hint="eastAsia"/>
                <w:sz w:val="18"/>
                <w:szCs w:val="18"/>
              </w:rPr>
              <w:t>代销机构，最终以代销机构提供的服务为准。</w:t>
            </w:r>
          </w:p>
          <w:p w:rsidR="00833B6B" w:rsidRDefault="00A3344E">
            <w:pPr>
              <w:spacing w:line="200" w:lineRule="exac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接受全额赎回：当管理人认为有能力兑付投资者的全部赎回申请时，将在赎回确认日按正常赎回程序执行。</w:t>
            </w:r>
          </w:p>
          <w:p w:rsidR="00833B6B" w:rsidRDefault="00A3344E">
            <w:pPr>
              <w:spacing w:line="200" w:lineRule="exact"/>
              <w:rPr>
                <w:rFonts w:hAnsi="方正黑体_GBK" w:cs="方正黑体_GBK"/>
              </w:rPr>
            </w:pPr>
            <w:r>
              <w:rPr>
                <w:rFonts w:hAnsi="方正黑体_GBK" w:cs="方正黑体_GBK" w:hint="eastAsia"/>
                <w:sz w:val="18"/>
                <w:szCs w:val="18"/>
              </w:rPr>
              <w:t>本理财产品发生巨额赎回、管理人接受部分赎回时，对于暂停接受和延期办理的部分，管理人可能需在下一个申购或赎回开放日才可确认，可能影响投资者的资金安排。</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连续巨额赎回</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color w:val="000000"/>
                <w:sz w:val="18"/>
                <w:szCs w:val="18"/>
              </w:rPr>
              <w:t>当本理财产品连续</w:t>
            </w:r>
            <w:r>
              <w:rPr>
                <w:rFonts w:hAnsi="方正黑体_GBK" w:cs="方正黑体_GBK" w:hint="eastAsia"/>
                <w:color w:val="000000"/>
                <w:sz w:val="18"/>
                <w:szCs w:val="18"/>
              </w:rPr>
              <w:t>2</w:t>
            </w:r>
            <w:r>
              <w:rPr>
                <w:rFonts w:hAnsi="方正黑体_GBK" w:cs="方正黑体_GBK" w:hint="eastAsia"/>
                <w:color w:val="000000"/>
                <w:sz w:val="18"/>
                <w:szCs w:val="18"/>
              </w:rPr>
              <w:t>个以上开放日发生巨额赎回时，除采取上述措施外，对于已经接受的赎回申请，管理人有权延缓支付赎回款项，但延缓期限不得超过</w:t>
            </w:r>
            <w:r>
              <w:rPr>
                <w:rFonts w:hAnsi="方正黑体_GBK" w:cs="方正黑体_GBK" w:hint="eastAsia"/>
                <w:color w:val="000000"/>
                <w:sz w:val="18"/>
                <w:szCs w:val="18"/>
              </w:rPr>
              <w:t>20</w:t>
            </w:r>
            <w:r>
              <w:rPr>
                <w:rFonts w:hAnsi="方正黑体_GBK" w:cs="方正黑体_GBK" w:hint="eastAsia"/>
                <w:color w:val="000000"/>
                <w:sz w:val="18"/>
                <w:szCs w:val="18"/>
              </w:rPr>
              <w:t>个工作日。此种情况下，管理人将在</w:t>
            </w:r>
            <w:r>
              <w:rPr>
                <w:rFonts w:hAnsi="方正黑体_GBK" w:cs="方正黑体_GBK" w:hint="eastAsia"/>
                <w:color w:val="000000"/>
                <w:sz w:val="18"/>
                <w:szCs w:val="18"/>
              </w:rPr>
              <w:t>3</w:t>
            </w:r>
            <w:r>
              <w:rPr>
                <w:rFonts w:hAnsi="方正黑体_GBK" w:cs="方正黑体_GBK" w:hint="eastAsia"/>
                <w:color w:val="000000"/>
                <w:sz w:val="18"/>
                <w:szCs w:val="18"/>
              </w:rPr>
              <w:t>个交易日内进行信息披露，投资者需重新进行资金安排。</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暂停接受认申购</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发生下列情形时，管理人可暂停接受认申购申请：</w:t>
            </w:r>
          </w:p>
          <w:p w:rsidR="00833B6B" w:rsidRDefault="00A3344E">
            <w:pPr>
              <w:spacing w:line="200" w:lineRule="exact"/>
              <w:rPr>
                <w:rFonts w:hAnsi="方正黑体_GBK" w:cs="方正黑体_GBK"/>
              </w:rPr>
            </w:pPr>
            <w:r>
              <w:rPr>
                <w:rFonts w:hAnsi="方正黑体_GBK" w:cs="方正黑体_GBK" w:hint="eastAsia"/>
                <w:sz w:val="18"/>
                <w:szCs w:val="18"/>
              </w:rPr>
              <w:t>1.</w:t>
            </w:r>
            <w:r>
              <w:rPr>
                <w:rFonts w:hAnsi="方正黑体_GBK" w:cs="方正黑体_GBK" w:hint="eastAsia"/>
                <w:sz w:val="18"/>
                <w:szCs w:val="18"/>
              </w:rPr>
              <w:t>因不可抗力导致理财产品无法正常运作；</w:t>
            </w:r>
          </w:p>
          <w:p w:rsidR="00833B6B" w:rsidRDefault="00A3344E">
            <w:pPr>
              <w:spacing w:line="200" w:lineRule="exact"/>
              <w:rPr>
                <w:rFonts w:hAnsi="方正黑体_GBK" w:cs="方正黑体_GBK"/>
              </w:rPr>
            </w:pPr>
            <w:r>
              <w:rPr>
                <w:rFonts w:hAnsi="方正黑体_GBK" w:cs="方正黑体_GBK" w:hint="eastAsia"/>
                <w:sz w:val="18"/>
                <w:szCs w:val="18"/>
              </w:rPr>
              <w:t>2.</w:t>
            </w:r>
            <w:r>
              <w:rPr>
                <w:rFonts w:hAnsi="方正黑体_GBK" w:cs="方正黑体_GBK" w:hint="eastAsia"/>
                <w:sz w:val="18"/>
                <w:szCs w:val="18"/>
              </w:rPr>
              <w:t>因监管政策、</w:t>
            </w:r>
            <w:r>
              <w:rPr>
                <w:rFonts w:hAnsi="方正黑体_GBK" w:cs="方正黑体_GBK" w:hint="eastAsia"/>
                <w:sz w:val="18"/>
                <w:szCs w:val="18"/>
              </w:rPr>
              <w:t>市场发生重大变化，导致理财产品无法正常运作；</w:t>
            </w:r>
          </w:p>
          <w:p w:rsidR="00833B6B" w:rsidRDefault="00A3344E">
            <w:pPr>
              <w:spacing w:line="200" w:lineRule="exact"/>
              <w:rPr>
                <w:rFonts w:hAnsi="方正黑体_GBK" w:cs="方正黑体_GBK"/>
              </w:rPr>
            </w:pPr>
            <w:r>
              <w:rPr>
                <w:rFonts w:hAnsi="方正黑体_GBK" w:cs="方正黑体_GBK" w:hint="eastAsia"/>
                <w:sz w:val="18"/>
                <w:szCs w:val="18"/>
              </w:rPr>
              <w:t>3.</w:t>
            </w:r>
            <w:r>
              <w:rPr>
                <w:rFonts w:hAnsi="方正黑体_GBK" w:cs="方正黑体_GBK" w:hint="eastAsia"/>
                <w:sz w:val="18"/>
                <w:szCs w:val="18"/>
              </w:rPr>
              <w:t>管理人认为需要暂停认申购的其他情形。</w:t>
            </w:r>
          </w:p>
          <w:p w:rsidR="00833B6B" w:rsidRDefault="00A3344E">
            <w:pPr>
              <w:spacing w:line="200" w:lineRule="exact"/>
              <w:rPr>
                <w:rFonts w:hAnsi="方正黑体_GBK" w:cs="方正黑体_GBK"/>
              </w:rPr>
            </w:pPr>
            <w:r>
              <w:rPr>
                <w:rFonts w:hAnsi="方正黑体_GBK" w:cs="方正黑体_GBK" w:hint="eastAsia"/>
                <w:sz w:val="18"/>
                <w:szCs w:val="18"/>
              </w:rPr>
              <w:t>若管理人暂停接受认申购申请，将在</w:t>
            </w:r>
            <w:r>
              <w:rPr>
                <w:rFonts w:hAnsi="方正黑体_GBK" w:cs="方正黑体_GBK" w:hint="eastAsia"/>
                <w:sz w:val="18"/>
                <w:szCs w:val="18"/>
              </w:rPr>
              <w:t>3</w:t>
            </w:r>
            <w:r>
              <w:rPr>
                <w:rFonts w:hAnsi="方正黑体_GBK" w:cs="方正黑体_GBK" w:hint="eastAsia"/>
                <w:sz w:val="18"/>
                <w:szCs w:val="18"/>
              </w:rPr>
              <w:t>个交易日内告知该理财产品的投资者，并说明运用相关措施的原因、拟采取的应对安排等。在暂停接受认申购申请期间，投资者需重新进行资金安排。</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暂停接受赎回</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当本理财产品的当期赎回量超过上期理财产品规模的</w:t>
            </w:r>
            <w:r>
              <w:rPr>
                <w:rFonts w:hAnsi="方正黑体_GBK" w:cs="方正黑体_GBK" w:hint="eastAsia"/>
                <w:sz w:val="18"/>
                <w:szCs w:val="18"/>
              </w:rPr>
              <w:t>20%</w:t>
            </w:r>
            <w:r>
              <w:rPr>
                <w:rFonts w:hAnsi="方正黑体_GBK" w:cs="方正黑体_GBK" w:hint="eastAsia"/>
                <w:sz w:val="18"/>
                <w:szCs w:val="18"/>
              </w:rPr>
              <w:t>时，管理人有权暂停接受投资者的赎回申请，已经接受的赎回申请管理人有权延缓支付赎回款项，延缓期限不超过</w:t>
            </w:r>
            <w:r>
              <w:rPr>
                <w:rFonts w:hAnsi="方正黑体_GBK" w:cs="方正黑体_GBK" w:hint="eastAsia"/>
                <w:sz w:val="18"/>
                <w:szCs w:val="18"/>
              </w:rPr>
              <w:t>20</w:t>
            </w:r>
            <w:r>
              <w:rPr>
                <w:rFonts w:hAnsi="方正黑体_GBK" w:cs="方正黑体_GBK" w:hint="eastAsia"/>
                <w:sz w:val="18"/>
                <w:szCs w:val="18"/>
              </w:rPr>
              <w:t>个工作日。</w:t>
            </w:r>
          </w:p>
          <w:p w:rsidR="00833B6B" w:rsidRDefault="00A3344E">
            <w:pPr>
              <w:spacing w:line="200" w:lineRule="exact"/>
              <w:rPr>
                <w:rFonts w:hAnsi="方正黑体_GBK" w:cs="方正黑体_GBK"/>
              </w:rPr>
            </w:pPr>
            <w:r>
              <w:rPr>
                <w:rFonts w:hAnsi="方正黑体_GBK" w:cs="方正黑体_GBK" w:hint="eastAsia"/>
                <w:b/>
                <w:sz w:val="18"/>
                <w:szCs w:val="18"/>
              </w:rPr>
              <w:t>如发生以上暂停的情况，管理人将在</w:t>
            </w:r>
            <w:r>
              <w:rPr>
                <w:rFonts w:hAnsi="方正黑体_GBK" w:cs="方正黑体_GBK" w:hint="eastAsia"/>
                <w:b/>
                <w:sz w:val="18"/>
                <w:szCs w:val="18"/>
              </w:rPr>
              <w:t>3</w:t>
            </w:r>
            <w:r>
              <w:rPr>
                <w:rFonts w:hAnsi="方正黑体_GBK" w:cs="方正黑体_GBK" w:hint="eastAsia"/>
                <w:b/>
                <w:sz w:val="18"/>
                <w:szCs w:val="18"/>
              </w:rPr>
              <w:t>个交易日内告知投资者，并说明运用相关措施的原因、拟采取的应对安排等，投资者需重新进行资金安排。</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其他说明事项</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1.</w:t>
            </w:r>
            <w:r>
              <w:rPr>
                <w:rFonts w:hAnsi="方正黑体_GBK" w:cs="方正黑体_GBK" w:hint="eastAsia"/>
                <w:color w:val="000000"/>
                <w:sz w:val="18"/>
                <w:szCs w:val="18"/>
              </w:rPr>
              <w:t>持有期</w:t>
            </w:r>
            <w:r>
              <w:rPr>
                <w:rFonts w:hAnsi="方正黑体_GBK" w:cs="方正黑体_GBK" w:hint="eastAsia"/>
                <w:color w:val="000000"/>
                <w:sz w:val="18"/>
                <w:szCs w:val="18"/>
              </w:rPr>
              <w:t>28</w:t>
            </w:r>
            <w:r>
              <w:rPr>
                <w:rFonts w:hAnsi="方正黑体_GBK" w:cs="方正黑体_GBK" w:hint="eastAsia"/>
                <w:color w:val="000000"/>
                <w:sz w:val="18"/>
                <w:szCs w:val="18"/>
              </w:rPr>
              <w:t>天以内的份额不可提出赎回申请，投资者应考虑产品最低持有期限并合理安排自身投资计划。</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2.</w:t>
            </w:r>
            <w:r>
              <w:rPr>
                <w:rFonts w:hAnsi="方正黑体_GBK" w:cs="方正黑体_GBK" w:hint="eastAsia"/>
                <w:color w:val="000000"/>
                <w:sz w:val="18"/>
                <w:szCs w:val="18"/>
              </w:rPr>
              <w:t>管理人在本理财产品存续期间按照监管规定进行信息披露，详见本理财产品说明书第五条信息披露。</w:t>
            </w:r>
          </w:p>
          <w:p w:rsidR="00833B6B" w:rsidRDefault="00A3344E">
            <w:pPr>
              <w:spacing w:line="200" w:lineRule="exact"/>
              <w:jc w:val="left"/>
              <w:rPr>
                <w:rFonts w:hAnsi="方正黑体_GBK" w:cs="方正黑体_GBK"/>
              </w:rPr>
            </w:pPr>
            <w:r>
              <w:rPr>
                <w:rFonts w:hAnsi="方正黑体_GBK" w:cs="方正黑体_GBK" w:hint="eastAsia"/>
                <w:color w:val="000000"/>
                <w:sz w:val="18"/>
                <w:szCs w:val="18"/>
              </w:rPr>
              <w:t>3.</w:t>
            </w:r>
            <w:r>
              <w:rPr>
                <w:rFonts w:hAnsi="方正黑体_GBK" w:cs="方正黑体_GBK" w:hint="eastAsia"/>
                <w:color w:val="000000"/>
                <w:sz w:val="18"/>
                <w:szCs w:val="18"/>
              </w:rPr>
              <w:t>本理财产品投资的资产管理产品的业绩报酬、赎回费等的提取（如有）可能造成本理财产品净值的下降。</w:t>
            </w:r>
          </w:p>
        </w:tc>
      </w:tr>
      <w:tr w:rsidR="00833B6B">
        <w:trPr>
          <w:trHeight w:val="23"/>
          <w:jc w:val="center"/>
        </w:trPr>
        <w:tc>
          <w:tcPr>
            <w:tcW w:w="1945" w:type="dxa"/>
            <w:tcBorders>
              <w:top w:val="single" w:sz="4" w:space="0" w:color="auto"/>
              <w:left w:val="single" w:sz="4" w:space="0" w:color="auto"/>
              <w:bottom w:val="single" w:sz="4" w:space="0" w:color="auto"/>
              <w:right w:val="single" w:sz="4" w:space="0" w:color="auto"/>
              <w:tl2br w:val="nil"/>
              <w:tr2bl w:val="nil"/>
            </w:tcBorders>
            <w:vAlign w:val="center"/>
          </w:tcPr>
          <w:p w:rsidR="00833B6B" w:rsidRDefault="00A3344E">
            <w:pPr>
              <w:widowControl/>
              <w:spacing w:line="200" w:lineRule="exact"/>
              <w:jc w:val="left"/>
              <w:rPr>
                <w:rFonts w:hAnsi="方正黑体_GBK" w:cs="方正黑体_GBK"/>
                <w:kern w:val="0"/>
                <w:sz w:val="18"/>
                <w:szCs w:val="18"/>
              </w:rPr>
            </w:pPr>
            <w:r>
              <w:rPr>
                <w:rFonts w:hAnsi="方正黑体_GBK" w:cs="方正黑体_GBK" w:hint="eastAsia"/>
                <w:kern w:val="0"/>
                <w:sz w:val="18"/>
                <w:szCs w:val="18"/>
              </w:rPr>
              <w:t>税务处理</w:t>
            </w:r>
          </w:p>
        </w:tc>
        <w:tc>
          <w:tcPr>
            <w:tcW w:w="8354" w:type="dxa"/>
            <w:tcBorders>
              <w:top w:val="single" w:sz="4" w:space="0" w:color="auto"/>
              <w:left w:val="nil"/>
              <w:bottom w:val="single" w:sz="4" w:space="0" w:color="auto"/>
              <w:right w:val="single" w:sz="4" w:space="0" w:color="auto"/>
              <w:tl2br w:val="nil"/>
              <w:tr2bl w:val="nil"/>
            </w:tcBorders>
            <w:vAlign w:val="center"/>
          </w:tcPr>
          <w:p w:rsidR="00833B6B" w:rsidRDefault="00A3344E">
            <w:pPr>
              <w:spacing w:line="200" w:lineRule="exact"/>
              <w:rPr>
                <w:rFonts w:hAnsi="方正黑体_GBK" w:cs="方正黑体_GBK"/>
              </w:rPr>
            </w:pPr>
            <w:r>
              <w:rPr>
                <w:rFonts w:hAnsi="方正黑体_GBK" w:cs="方正黑体_GBK" w:hint="eastAsia"/>
                <w:sz w:val="18"/>
                <w:szCs w:val="18"/>
              </w:rPr>
              <w:t>本理财产品运作过程中涉及的各纳税主体，其纳税义务按国家税收法律、</w:t>
            </w:r>
            <w:r>
              <w:rPr>
                <w:rFonts w:hAnsi="方正黑体_GBK" w:cs="方正黑体_GBK" w:hint="eastAsia"/>
                <w:sz w:val="18"/>
                <w:szCs w:val="18"/>
              </w:rPr>
              <w:t>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33B6B" w:rsidRDefault="00A3344E">
      <w:pPr>
        <w:pStyle w:val="Normalb8ede314"/>
        <w:rPr>
          <w:rFonts w:hAnsi="方正黑体_GBK" w:cs="方正黑体_GBK"/>
          <w:b/>
          <w:sz w:val="15"/>
          <w:szCs w:val="15"/>
        </w:rPr>
      </w:pPr>
      <w:r>
        <w:rPr>
          <w:rFonts w:hAnsi="方正黑体_GBK" w:cs="方正黑体_GBK" w:hint="eastAsia"/>
          <w:b/>
          <w:sz w:val="15"/>
          <w:szCs w:val="15"/>
        </w:rPr>
        <w:t>特别说明：本理财产品无预期收益率，</w:t>
      </w:r>
      <w:r>
        <w:rPr>
          <w:rFonts w:hAnsi="方正黑体_GBK" w:cs="方正黑体_GBK" w:hint="eastAsia"/>
          <w:b/>
          <w:sz w:val="15"/>
          <w:szCs w:val="15"/>
          <w:u w:val="single"/>
        </w:rPr>
        <w:t>理财产品过往业绩不代表其未来表现，不等于理财产品实际收益，</w:t>
      </w:r>
      <w:r>
        <w:rPr>
          <w:rFonts w:hAnsi="方正黑体_GBK" w:cs="方正黑体_GBK" w:hint="eastAsia"/>
          <w:b/>
          <w:sz w:val="15"/>
          <w:szCs w:val="15"/>
        </w:rPr>
        <w:t>投资须谨慎。</w:t>
      </w:r>
    </w:p>
    <w:p w:rsidR="00833B6B" w:rsidRDefault="00A3344E">
      <w:pPr>
        <w:pStyle w:val="Normala8cc090ea8cc090e"/>
        <w:widowControl/>
        <w:spacing w:line="200" w:lineRule="exact"/>
        <w:outlineLvl w:val="0"/>
        <w:rPr>
          <w:rFonts w:hAnsi="方正黑体_GBK" w:cs="方正黑体_GBK"/>
          <w:b/>
          <w:bCs/>
          <w:color w:val="3D3D3D"/>
          <w:kern w:val="0"/>
          <w:sz w:val="15"/>
          <w:szCs w:val="15"/>
        </w:rPr>
      </w:pPr>
      <w:r>
        <w:rPr>
          <w:rFonts w:hAnsi="方正黑体_GBK" w:cs="方正黑体_GBK" w:hint="eastAsia"/>
          <w:b/>
          <w:bCs/>
          <w:color w:val="3D3D3D"/>
          <w:kern w:val="0"/>
          <w:sz w:val="15"/>
          <w:szCs w:val="15"/>
        </w:rPr>
        <w:t>第二条</w:t>
      </w:r>
      <w:r>
        <w:rPr>
          <w:rFonts w:hAnsi="方正黑体_GBK" w:cs="方正黑体_GBK" w:hint="eastAsia"/>
          <w:b/>
          <w:bCs/>
          <w:color w:val="3D3D3D"/>
          <w:kern w:val="0"/>
          <w:sz w:val="15"/>
          <w:szCs w:val="15"/>
        </w:rPr>
        <w:t xml:space="preserve">  </w:t>
      </w:r>
      <w:r>
        <w:rPr>
          <w:rFonts w:hAnsi="方正黑体_GBK" w:cs="方正黑体_GBK" w:hint="eastAsia"/>
          <w:b/>
          <w:bCs/>
          <w:color w:val="3D3D3D"/>
          <w:kern w:val="0"/>
          <w:sz w:val="15"/>
          <w:szCs w:val="15"/>
        </w:rPr>
        <w:t>名词释义</w:t>
      </w:r>
    </w:p>
    <w:p w:rsidR="00833B6B" w:rsidRDefault="00A3344E">
      <w:pPr>
        <w:pStyle w:val="Normala8cc090ea8cc090e"/>
        <w:widowControl/>
        <w:spacing w:line="200" w:lineRule="exact"/>
        <w:ind w:firstLine="289"/>
        <w:rPr>
          <w:rFonts w:hAnsi="方正黑体_GBK" w:cs="方正黑体_GBK"/>
          <w:color w:val="3D3D3D"/>
          <w:kern w:val="0"/>
          <w:sz w:val="15"/>
          <w:szCs w:val="15"/>
        </w:rPr>
      </w:pPr>
      <w:r>
        <w:rPr>
          <w:rFonts w:hAnsi="方正黑体_GBK" w:cs="方正黑体_GBK" w:hint="eastAsia"/>
          <w:color w:val="3D3D3D"/>
          <w:kern w:val="0"/>
          <w:sz w:val="15"/>
          <w:szCs w:val="15"/>
        </w:rPr>
        <w:t>在本理财产品说明书中，除非上下文另有明确约定，下列用词将具有如下含义：</w:t>
      </w:r>
    </w:p>
    <w:p w:rsidR="00833B6B" w:rsidRDefault="00A3344E">
      <w:pPr>
        <w:pStyle w:val="Normala8cc090ea8cc090e"/>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参与主体用语</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南银理财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管理人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产品管理人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理财产品管理人：指南银理财有限责任公司。</w:t>
      </w:r>
    </w:p>
    <w:p w:rsidR="00833B6B" w:rsidRDefault="00A3344E">
      <w:pPr>
        <w:pStyle w:val="Normala8cc090ea8cc090e"/>
        <w:widowControl/>
        <w:tabs>
          <w:tab w:val="left" w:pos="567"/>
        </w:tabs>
        <w:spacing w:line="200" w:lineRule="exact"/>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销售</w:t>
      </w:r>
      <w:r>
        <w:rPr>
          <w:rFonts w:hAnsi="方正黑体_GBK" w:cs="方正黑体_GBK" w:hint="eastAsia"/>
          <w:color w:val="3D3D3D"/>
          <w:kern w:val="0"/>
          <w:sz w:val="15"/>
          <w:szCs w:val="15"/>
        </w:rPr>
        <w:t>机构：指</w:t>
      </w:r>
      <w:r>
        <w:rPr>
          <w:rFonts w:hAnsi="方正黑体_GBK" w:cs="方正黑体_GBK" w:hint="eastAsia"/>
          <w:color w:val="3D3D3D"/>
          <w:kern w:val="0"/>
          <w:sz w:val="15"/>
          <w:szCs w:val="15"/>
        </w:rPr>
        <w:t>本</w:t>
      </w:r>
      <w:r>
        <w:rPr>
          <w:rFonts w:hAnsi="方正黑体_GBK" w:cs="方正黑体_GBK" w:hint="eastAsia"/>
          <w:color w:val="3D3D3D"/>
          <w:kern w:val="0"/>
          <w:sz w:val="15"/>
          <w:szCs w:val="15"/>
        </w:rPr>
        <w:t>理财产品的销售机构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包括</w:t>
      </w:r>
      <w:r>
        <w:rPr>
          <w:rFonts w:hAnsi="方正黑体_GBK" w:cs="方正黑体_GBK" w:hint="eastAsia"/>
          <w:color w:val="3D3D3D"/>
          <w:kern w:val="0"/>
          <w:sz w:val="15"/>
          <w:szCs w:val="15"/>
        </w:rPr>
        <w:t>销售本公司发行理财产品的理财公司</w:t>
      </w:r>
      <w:r>
        <w:rPr>
          <w:rFonts w:hAnsi="方正黑体_GBK" w:cs="方正黑体_GBK" w:hint="eastAsia"/>
          <w:color w:val="3D3D3D"/>
          <w:kern w:val="0"/>
          <w:sz w:val="15"/>
          <w:szCs w:val="15"/>
        </w:rPr>
        <w:t>即南银理财，以及</w:t>
      </w:r>
      <w:r>
        <w:rPr>
          <w:rFonts w:hAnsi="方正黑体_GBK" w:cs="方正黑体_GBK" w:hint="eastAsia"/>
          <w:color w:val="3D3D3D"/>
          <w:kern w:val="0"/>
          <w:sz w:val="15"/>
          <w:szCs w:val="15"/>
        </w:rPr>
        <w:t>接受</w:t>
      </w:r>
      <w:r>
        <w:rPr>
          <w:rFonts w:hAnsi="方正黑体_GBK" w:cs="方正黑体_GBK" w:hint="eastAsia"/>
          <w:color w:val="3D3D3D"/>
          <w:kern w:val="0"/>
          <w:sz w:val="15"/>
          <w:szCs w:val="15"/>
        </w:rPr>
        <w:t>南银理财</w:t>
      </w:r>
      <w:r>
        <w:rPr>
          <w:rFonts w:hAnsi="方正黑体_GBK" w:cs="方正黑体_GBK" w:hint="eastAsia"/>
          <w:color w:val="3D3D3D"/>
          <w:kern w:val="0"/>
          <w:sz w:val="15"/>
          <w:szCs w:val="15"/>
        </w:rPr>
        <w:t>委托销售其发行理财产品的代理销售机构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代销机构</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托管人：指根据管理人委托，对理财产品财产进行托管的机构。</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认购</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申购人：指在募集期</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开放期期间签署本理财产品销售文件并向理财产品管理人交付认购</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申购资金的投资者。</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理财产品份额持有人</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持有人：指其认购或申购申请，经过管理人确认认购或申购成功，从而持有理财产品份额的投资者。</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投资者：指购买南银理财发行的相关理财产品的符合相关法律法规及监管要求的个人或机</w:t>
      </w:r>
      <w:r>
        <w:rPr>
          <w:rFonts w:hAnsi="方正黑体_GBK" w:cs="方正黑体_GBK" w:hint="eastAsia"/>
          <w:color w:val="3D3D3D"/>
          <w:kern w:val="0"/>
          <w:sz w:val="15"/>
          <w:szCs w:val="15"/>
        </w:rPr>
        <w:t>构。</w:t>
      </w:r>
    </w:p>
    <w:p w:rsidR="00833B6B" w:rsidRDefault="00A3344E">
      <w:pPr>
        <w:pStyle w:val="Normala8cc090ea8cc090e"/>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法律文件用语</w:t>
      </w:r>
    </w:p>
    <w:p w:rsidR="00833B6B" w:rsidRDefault="00A3344E">
      <w:pPr>
        <w:pStyle w:val="Normal950dbae9950dbae9"/>
        <w:widowControl/>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销售协议书：指本理财产品对应的《理财产品销售协议书》以及对该文件的有效修改或补充</w:t>
      </w:r>
      <w:r>
        <w:rPr>
          <w:rFonts w:hAnsi="方正黑体_GBK" w:cs="方正黑体_GBK" w:hint="eastAsia"/>
          <w:color w:val="3D3D3D"/>
          <w:kern w:val="0"/>
          <w:sz w:val="15"/>
          <w:szCs w:val="15"/>
        </w:rPr>
        <w:t>，通过销售机构销售的，以销售渠道显示的名称为准。</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产品说明书</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本理财产品说明书：指本《理财产品说明书》以及对</w:t>
      </w:r>
      <w:r>
        <w:rPr>
          <w:rFonts w:hAnsi="方正黑体_GBK" w:cs="方正黑体_GBK" w:hint="eastAsia"/>
          <w:color w:val="3D3D3D"/>
          <w:kern w:val="0"/>
          <w:sz w:val="15"/>
          <w:szCs w:val="15"/>
        </w:rPr>
        <w:t>该文件</w:t>
      </w:r>
      <w:r>
        <w:rPr>
          <w:rFonts w:hAnsi="方正黑体_GBK" w:cs="方正黑体_GBK" w:hint="eastAsia"/>
          <w:color w:val="3D3D3D"/>
          <w:kern w:val="0"/>
          <w:sz w:val="15"/>
          <w:szCs w:val="15"/>
        </w:rPr>
        <w:t>的有效修改或补充。</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风险揭示书：指本理财产品对应的《理财产品风险揭示书》以及对该文件的有效修改或补充。</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投资者权益须知：指本理财产品对应的《投资者权益须知》以及对该文件的有效修改或补充。</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投资协议书：指本理财产品对应的《理财产品投资协议书》以及对该文件的有效修改或补充</w:t>
      </w:r>
      <w:r>
        <w:rPr>
          <w:rFonts w:hAnsi="方正黑体_GBK" w:cs="方正黑体_GBK" w:hint="eastAsia"/>
          <w:color w:val="3D3D3D"/>
          <w:kern w:val="0"/>
          <w:sz w:val="15"/>
          <w:szCs w:val="15"/>
        </w:rPr>
        <w:t>。</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销售文件：指本理财产品对应的产品说明书、风险揭示书、投资者权益须知、销售协议书、投资协议书等。</w:t>
      </w:r>
      <w:r>
        <w:rPr>
          <w:rFonts w:hAnsi="方正黑体_GBK" w:cs="方正黑体_GBK" w:hint="eastAsia"/>
          <w:bCs/>
          <w:color w:val="3D3D3D"/>
          <w:kern w:val="0"/>
          <w:sz w:val="15"/>
          <w:szCs w:val="15"/>
        </w:rPr>
        <w:t>上述文件共同构成本理财产品完整且不可分割的销售文件。</w:t>
      </w:r>
    </w:p>
    <w:p w:rsidR="00833B6B" w:rsidRDefault="00A3344E">
      <w:pPr>
        <w:pStyle w:val="Normala8cc090ea8cc090e"/>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期间与日期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募集期：指管理人确定的接受投资者认购本理财产品的起止期限。</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开放期：指管理人确定的除募集期外接受投资者申购、赎回本理财产品的起止期限。</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提前终止权行使日：指管理人行使提前终止权的日期，即本理财产品被提前终止、开始停止计算收益的日期。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延期终止日：指管理人根据本理财产品说明书约定延长理财产品存续期后本理财产品的终止日，即本理财产品被延期终止、开始停止计算收益的日期。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认购、申购、赎回确认日：指投资者认购、申购、赎回理财产品最终确认日期。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lastRenderedPageBreak/>
        <w:t xml:space="preserve"> 6.</w:t>
      </w:r>
      <w:r>
        <w:rPr>
          <w:rFonts w:hAnsi="方正黑体_GBK" w:cs="方正黑体_GBK" w:hint="eastAsia"/>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7.</w:t>
      </w:r>
      <w:r>
        <w:rPr>
          <w:rFonts w:hAnsi="方正黑体_GBK" w:cs="方正黑体_GBK" w:hint="eastAsia"/>
          <w:color w:val="3D3D3D"/>
          <w:kern w:val="0"/>
          <w:sz w:val="15"/>
          <w:szCs w:val="15"/>
        </w:rPr>
        <w:t>产品存续期：指理财产品成立至终止的期间。</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8.</w:t>
      </w:r>
      <w:r>
        <w:rPr>
          <w:rFonts w:hAnsi="方正黑体_GBK" w:cs="方正黑体_GBK" w:hint="eastAsia"/>
          <w:color w:val="3D3D3D"/>
          <w:kern w:val="0"/>
          <w:sz w:val="15"/>
          <w:szCs w:val="15"/>
        </w:rPr>
        <w:t>名义到</w:t>
      </w:r>
      <w:r>
        <w:rPr>
          <w:rFonts w:hAnsi="方正黑体_GBK" w:cs="方正黑体_GBK" w:hint="eastAsia"/>
          <w:color w:val="3D3D3D"/>
          <w:kern w:val="0"/>
          <w:sz w:val="15"/>
          <w:szCs w:val="15"/>
        </w:rPr>
        <w:t>期日：指在管理人未对本理财产品提前终止或延期终止的情况下本理财产品的到期日期。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9.</w:t>
      </w:r>
      <w:r>
        <w:rPr>
          <w:rFonts w:hAnsi="方正黑体_GBK" w:cs="方正黑体_GBK" w:hint="eastAsia"/>
          <w:color w:val="3D3D3D"/>
          <w:kern w:val="0"/>
          <w:sz w:val="15"/>
          <w:szCs w:val="15"/>
        </w:rPr>
        <w:t>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终止日：指管理人实际开始停止计算本理财产品收益的日期。若本理财产品未提前终止或延期终止，则到期日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终止日即为名义到期日；若本理财产品被提前终止，则到期日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终止日为提前终止权行使日；若本理财产品被延期终止，则到期日</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终止日为延期终止日。</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10.</w:t>
      </w:r>
      <w:r>
        <w:rPr>
          <w:rFonts w:hAnsi="方正黑体_GBK" w:cs="方正黑体_GBK" w:hint="eastAsia"/>
          <w:color w:val="3D3D3D"/>
          <w:kern w:val="0"/>
          <w:sz w:val="15"/>
          <w:szCs w:val="15"/>
        </w:rPr>
        <w:t>工作日：指除国家法定节假日和休息日（包括周六、周日）外的日期。</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11.</w:t>
      </w:r>
      <w:r>
        <w:rPr>
          <w:rFonts w:hAnsi="方正黑体_GBK" w:cs="方正黑体_GBK" w:hint="eastAsia"/>
          <w:color w:val="3D3D3D"/>
          <w:kern w:val="0"/>
          <w:sz w:val="15"/>
          <w:szCs w:val="15"/>
        </w:rPr>
        <w:t>交易日：指上海证券交易所和深圳证券交易所的正常开盘交易日。</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12.</w:t>
      </w:r>
      <w:r>
        <w:rPr>
          <w:rFonts w:hAnsi="方正黑体_GBK" w:cs="方正黑体_GBK" w:hint="eastAsia"/>
          <w:color w:val="3D3D3D"/>
          <w:kern w:val="0"/>
          <w:sz w:val="15"/>
          <w:szCs w:val="15"/>
        </w:rPr>
        <w:t>支付日：指根据本理财产品说明书约定</w:t>
      </w:r>
      <w:r>
        <w:rPr>
          <w:rFonts w:hAnsi="方正黑体_GBK" w:cs="方正黑体_GBK" w:hint="eastAsia"/>
          <w:color w:val="3D3D3D"/>
          <w:kern w:val="0"/>
          <w:sz w:val="15"/>
          <w:szCs w:val="15"/>
        </w:rPr>
        <w:t>向销售文件约定的投资者授权指定账户划付理财产品资金之日。</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13.</w:t>
      </w:r>
      <w:r>
        <w:rPr>
          <w:rFonts w:hAnsi="方正黑体_GBK" w:cs="方正黑体_GBK" w:hint="eastAsia"/>
          <w:color w:val="3D3D3D"/>
          <w:kern w:val="0"/>
          <w:sz w:val="15"/>
          <w:szCs w:val="15"/>
        </w:rPr>
        <w:t>赎回或到期清算分配资金到账日：指赎回或到期清算分配资金划入销售文件约定的投资者授权指定账户之日。</w:t>
      </w:r>
    </w:p>
    <w:p w:rsidR="00833B6B" w:rsidRDefault="00A3344E">
      <w:pPr>
        <w:pStyle w:val="Normala8cc090ea8cc090e"/>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理财产品用语</w:t>
      </w:r>
    </w:p>
    <w:p w:rsidR="00833B6B" w:rsidRDefault="00A3344E">
      <w:pPr>
        <w:pStyle w:val="Normala8cc090ea8cc090e"/>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本理财产品</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理财产品：</w:t>
      </w:r>
      <w:r>
        <w:rPr>
          <w:rFonts w:hAnsi="方正黑体_GBK" w:cs="方正黑体_GBK" w:hint="eastAsia"/>
          <w:color w:val="3D3D3D"/>
          <w:kern w:val="0"/>
          <w:sz w:val="15"/>
          <w:szCs w:val="15"/>
        </w:rPr>
        <w:t xml:space="preserve"> </w:t>
      </w:r>
      <w:r>
        <w:rPr>
          <w:rFonts w:hAnsi="方正黑体_GBK" w:cs="方正黑体_GBK" w:hint="eastAsia"/>
          <w:b/>
          <w:bCs/>
          <w:color w:val="3D3D3D"/>
          <w:kern w:val="0"/>
          <w:sz w:val="15"/>
          <w:szCs w:val="15"/>
        </w:rPr>
        <w:t>南银理财珠联璧合悦稳（最低持有</w:t>
      </w:r>
      <w:r>
        <w:rPr>
          <w:rFonts w:hAnsi="方正黑体_GBK" w:cs="方正黑体_GBK" w:hint="eastAsia"/>
          <w:b/>
          <w:bCs/>
          <w:color w:val="3D3D3D"/>
          <w:kern w:val="0"/>
          <w:sz w:val="15"/>
          <w:szCs w:val="15"/>
        </w:rPr>
        <w:t>28</w:t>
      </w:r>
      <w:r>
        <w:rPr>
          <w:rFonts w:hAnsi="方正黑体_GBK" w:cs="方正黑体_GBK" w:hint="eastAsia"/>
          <w:b/>
          <w:bCs/>
          <w:color w:val="3D3D3D"/>
          <w:kern w:val="0"/>
          <w:sz w:val="15"/>
          <w:szCs w:val="15"/>
        </w:rPr>
        <w:t>天）公募人民币理财产品</w:t>
      </w:r>
      <w:r>
        <w:rPr>
          <w:rFonts w:hAnsi="方正黑体_GBK" w:cs="方正黑体_GBK" w:hint="eastAsia"/>
          <w:color w:val="3D3D3D"/>
          <w:kern w:val="0"/>
          <w:sz w:val="15"/>
          <w:szCs w:val="15"/>
        </w:rPr>
        <w:t>。</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认购金额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投资本金：指投资者认购或申购本理财产品的本金金额。为避免疑义，认购金额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申购金额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投资本金的称谓仅为方便计算理财产品投资收益而创设的，并非对投资者投资本金不受损失的承诺。</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投资收益：指投资者投资理财产品份额获得的</w:t>
      </w:r>
      <w:r>
        <w:rPr>
          <w:rFonts w:hAnsi="方正黑体_GBK" w:cs="方正黑体_GBK" w:hint="eastAsia"/>
          <w:color w:val="3D3D3D"/>
          <w:kern w:val="0"/>
          <w:sz w:val="15"/>
          <w:szCs w:val="15"/>
        </w:rPr>
        <w:t>投资收益，该收益为其获得分配的全部理财产品赎回资金或到期清算分配资金中扣除投资本金的部分。</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理财产品份额</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产品份额：指投资者持有本理财产品的单位数额。投资者基于其所持有的理财产品单位数额享有理财产品利益、承担理财产品风险。</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5.</w:t>
      </w:r>
      <w:r>
        <w:rPr>
          <w:rFonts w:hAnsi="方正黑体_GBK" w:cs="方正黑体_GBK" w:hint="eastAsia"/>
          <w:color w:val="3D3D3D"/>
          <w:kern w:val="0"/>
          <w:sz w:val="15"/>
          <w:szCs w:val="15"/>
        </w:rPr>
        <w:t>产品资产净值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产品资产总值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w:t>
      </w:r>
      <w:r>
        <w:rPr>
          <w:rFonts w:hAnsi="方正黑体_GBK" w:cs="方正黑体_GBK" w:hint="eastAsia"/>
          <w:color w:val="3D3D3D"/>
          <w:kern w:val="0"/>
          <w:sz w:val="15"/>
          <w:szCs w:val="15"/>
        </w:rPr>
        <w:t>付税金及其他应付款项等。</w:t>
      </w:r>
    </w:p>
    <w:p w:rsidR="00833B6B" w:rsidRDefault="00A3344E">
      <w:pPr>
        <w:pStyle w:val="Normala8cc090ea8cc090e"/>
        <w:widowControl/>
        <w:tabs>
          <w:tab w:val="left" w:pos="567"/>
        </w:tabs>
        <w:spacing w:line="200" w:lineRule="exact"/>
        <w:ind w:left="289"/>
        <w:outlineLvl w:val="1"/>
        <w:rPr>
          <w:rFonts w:hAnsi="方正黑体_GBK" w:cs="方正黑体_GBK"/>
        </w:rPr>
      </w:pPr>
      <w:r>
        <w:rPr>
          <w:rFonts w:hAnsi="方正黑体_GBK" w:cs="方正黑体_GBK" w:hint="eastAsia"/>
          <w:color w:val="3D3D3D"/>
          <w:kern w:val="0"/>
          <w:sz w:val="15"/>
          <w:szCs w:val="15"/>
        </w:rPr>
        <w:t xml:space="preserve"> 6.</w:t>
      </w:r>
      <w:r>
        <w:rPr>
          <w:rFonts w:hAnsi="方正黑体_GBK" w:cs="方正黑体_GBK" w:hint="eastAsia"/>
          <w:color w:val="3D3D3D"/>
          <w:kern w:val="0"/>
          <w:sz w:val="15"/>
          <w:szCs w:val="15"/>
        </w:rPr>
        <w:t>单位净值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产品每份额净值：指理财产品每单位份额的净值，即每</w:t>
      </w:r>
      <w:r>
        <w:rPr>
          <w:rFonts w:hAnsi="方正黑体_GBK" w:cs="方正黑体_GBK" w:hint="eastAsia"/>
          <w:color w:val="3D3D3D"/>
          <w:kern w:val="0"/>
          <w:sz w:val="15"/>
          <w:szCs w:val="15"/>
        </w:rPr>
        <w:t>1</w:t>
      </w:r>
      <w:r>
        <w:rPr>
          <w:rFonts w:hAnsi="方正黑体_GBK" w:cs="方正黑体_GBK" w:hint="eastAsia"/>
          <w:color w:val="3D3D3D"/>
          <w:kern w:val="0"/>
          <w:sz w:val="15"/>
          <w:szCs w:val="15"/>
        </w:rPr>
        <w:t>份理财产品份额以人民币计价的价格。</w:t>
      </w:r>
      <w:r>
        <w:rPr>
          <w:rFonts w:hAnsi="方正黑体_GBK" w:cs="方正黑体_GBK" w:hint="eastAsia"/>
          <w:bCs/>
          <w:color w:val="3D3D3D"/>
          <w:kern w:val="0"/>
          <w:sz w:val="15"/>
          <w:szCs w:val="15"/>
        </w:rPr>
        <w:t>产品份额净值</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产品资产净值</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产品总份额。投资者按该份额净值进行理财产品认购、申购和赎回、获得到期</w:t>
      </w:r>
      <w:r>
        <w:rPr>
          <w:rFonts w:hAnsi="方正黑体_GBK" w:cs="方正黑体_GBK" w:hint="eastAsia"/>
          <w:bCs/>
          <w:color w:val="3D3D3D"/>
          <w:kern w:val="0"/>
          <w:sz w:val="15"/>
          <w:szCs w:val="15"/>
        </w:rPr>
        <w:t>/</w:t>
      </w:r>
      <w:r>
        <w:rPr>
          <w:rFonts w:hAnsi="方正黑体_GBK" w:cs="方正黑体_GBK" w:hint="eastAsia"/>
          <w:bCs/>
          <w:color w:val="3D3D3D"/>
          <w:kern w:val="0"/>
          <w:sz w:val="15"/>
          <w:szCs w:val="15"/>
        </w:rPr>
        <w:t>终止时分配。</w:t>
      </w:r>
      <w:r>
        <w:rPr>
          <w:rFonts w:hAnsi="方正黑体_GBK" w:cs="方正黑体_GBK" w:hint="eastAsia"/>
          <w:color w:val="3D3D3D"/>
          <w:kern w:val="0"/>
          <w:sz w:val="15"/>
          <w:szCs w:val="15"/>
        </w:rPr>
        <w:t>产品份额净值按去尾法保留</w:t>
      </w:r>
      <w:r>
        <w:rPr>
          <w:rFonts w:hAnsi="方正黑体_GBK" w:cs="方正黑体_GBK" w:hint="eastAsia"/>
          <w:color w:val="3D3D3D"/>
          <w:kern w:val="0"/>
          <w:sz w:val="15"/>
          <w:szCs w:val="15"/>
        </w:rPr>
        <w:t>4</w:t>
      </w:r>
      <w:r>
        <w:rPr>
          <w:rFonts w:hAnsi="方正黑体_GBK" w:cs="方正黑体_GBK" w:hint="eastAsia"/>
          <w:color w:val="3D3D3D"/>
          <w:kern w:val="0"/>
          <w:sz w:val="15"/>
          <w:szCs w:val="15"/>
        </w:rPr>
        <w:t>位小数。</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7.</w:t>
      </w:r>
      <w:r>
        <w:rPr>
          <w:rFonts w:hAnsi="方正黑体_GBK" w:cs="方正黑体_GBK" w:hint="eastAsia"/>
          <w:color w:val="3D3D3D"/>
          <w:kern w:val="0"/>
          <w:sz w:val="15"/>
          <w:szCs w:val="15"/>
        </w:rPr>
        <w:t>理财产品估值</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估值：指计算评估理财产品资产以确定理财产品份额单位净值的过程。</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8.</w:t>
      </w:r>
      <w:r>
        <w:rPr>
          <w:rFonts w:hAnsi="方正黑体_GBK" w:cs="方正黑体_GBK" w:hint="eastAsia"/>
          <w:color w:val="3D3D3D"/>
          <w:kern w:val="0"/>
          <w:sz w:val="15"/>
          <w:szCs w:val="15"/>
        </w:rPr>
        <w:t>业绩比较基准：指管理人基于</w:t>
      </w:r>
      <w:r>
        <w:rPr>
          <w:rFonts w:hAnsi="方正黑体_GBK" w:cs="方正黑体_GBK" w:hint="eastAsia"/>
          <w:color w:val="3D3D3D"/>
          <w:kern w:val="0"/>
          <w:sz w:val="15"/>
          <w:szCs w:val="15"/>
        </w:rPr>
        <w:t>产品性质、投资策略、</w:t>
      </w:r>
      <w:r>
        <w:rPr>
          <w:rFonts w:hAnsi="方正黑体_GBK" w:cs="方正黑体_GBK" w:hint="eastAsia"/>
          <w:color w:val="3D3D3D"/>
          <w:kern w:val="0"/>
          <w:sz w:val="15"/>
          <w:szCs w:val="15"/>
        </w:rPr>
        <w:t>过往投资经验及对产品存续期投资市场波动的预判而对本理财产品所设定的投资目标，业绩比较基准不代表本理财产品的未来表现和实际收益，</w:t>
      </w:r>
      <w:r>
        <w:rPr>
          <w:rFonts w:hAnsi="方正黑体_GBK" w:cs="方正黑体_GBK" w:hint="eastAsia"/>
          <w:color w:val="3D3D3D"/>
          <w:kern w:val="0"/>
          <w:sz w:val="15"/>
          <w:szCs w:val="15"/>
        </w:rPr>
        <w:t>不构成</w:t>
      </w:r>
      <w:r>
        <w:rPr>
          <w:rFonts w:hAnsi="方正黑体_GBK" w:cs="方正黑体_GBK" w:hint="eastAsia"/>
          <w:color w:val="3D3D3D"/>
          <w:kern w:val="0"/>
          <w:sz w:val="15"/>
          <w:szCs w:val="15"/>
        </w:rPr>
        <w:t>管理人对本理财产品收益</w:t>
      </w:r>
      <w:r>
        <w:rPr>
          <w:rFonts w:hAnsi="方正黑体_GBK" w:cs="方正黑体_GBK" w:hint="eastAsia"/>
          <w:color w:val="3D3D3D"/>
          <w:kern w:val="0"/>
          <w:sz w:val="15"/>
          <w:szCs w:val="15"/>
        </w:rPr>
        <w:t>的</w:t>
      </w:r>
      <w:r>
        <w:rPr>
          <w:rFonts w:hAnsi="方正黑体_GBK" w:cs="方正黑体_GBK" w:hint="eastAsia"/>
          <w:color w:val="3D3D3D"/>
          <w:kern w:val="0"/>
          <w:sz w:val="15"/>
          <w:szCs w:val="15"/>
        </w:rPr>
        <w:t>承诺。</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9.</w:t>
      </w:r>
      <w:r>
        <w:rPr>
          <w:rFonts w:hAnsi="方正黑体_GBK" w:cs="方正黑体_GBK" w:hint="eastAsia"/>
          <w:color w:val="3D3D3D"/>
          <w:kern w:val="0"/>
          <w:sz w:val="15"/>
          <w:szCs w:val="15"/>
        </w:rPr>
        <w:t>认购：指投资者根据产品说明书约定在募集期内申请购买本理财产品的理财产品份额的行为。</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10.</w:t>
      </w:r>
      <w:r>
        <w:rPr>
          <w:rFonts w:hAnsi="方正黑体_GBK" w:cs="方正黑体_GBK" w:hint="eastAsia"/>
          <w:color w:val="3D3D3D"/>
          <w:kern w:val="0"/>
          <w:sz w:val="15"/>
          <w:szCs w:val="15"/>
        </w:rPr>
        <w:t>申购、赎回申请：指在理财产品的开放期内，投资者向理财产品管理人提出申请对理财产品份额进行购买或卖出的行为。</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11.</w:t>
      </w:r>
      <w:r>
        <w:rPr>
          <w:rFonts w:hAnsi="方正黑体_GBK" w:cs="方正黑体_GBK" w:hint="eastAsia"/>
          <w:color w:val="3D3D3D"/>
          <w:kern w:val="0"/>
          <w:sz w:val="15"/>
          <w:szCs w:val="15"/>
        </w:rPr>
        <w:t>提前终止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延期终止权：指在本理财产品存续期内，管理人单方面根据本理财产品销售文件的约定提前终止</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延期终止本理财产品的权利。</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12.</w:t>
      </w:r>
      <w:r>
        <w:rPr>
          <w:rFonts w:hAnsi="方正黑体_GBK" w:cs="方正黑体_GBK" w:hint="eastAsia"/>
          <w:color w:val="3D3D3D"/>
          <w:kern w:val="0"/>
          <w:sz w:val="15"/>
          <w:szCs w:val="15"/>
        </w:rPr>
        <w:t>授</w:t>
      </w:r>
      <w:r>
        <w:rPr>
          <w:rFonts w:hAnsi="方正黑体_GBK" w:cs="方正黑体_GBK" w:hint="eastAsia"/>
          <w:color w:val="3D3D3D"/>
          <w:kern w:val="0"/>
          <w:sz w:val="15"/>
          <w:szCs w:val="15"/>
        </w:rPr>
        <w:t>权指定账户：指投资者用于支付理财产品的认购或申购资金，并用于接收理财产品分红或赎回或到期清算分配款项的银行账户。</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13.</w:t>
      </w:r>
      <w:r>
        <w:rPr>
          <w:rFonts w:hAnsi="方正黑体_GBK" w:cs="方正黑体_GBK" w:hint="eastAsia"/>
          <w:color w:val="3D3D3D"/>
          <w:kern w:val="0"/>
          <w:sz w:val="15"/>
          <w:szCs w:val="15"/>
        </w:rPr>
        <w:t>固定收益类理财产品：指投资于存款、债券等债权类资产的比例不低于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14.</w:t>
      </w:r>
      <w:r>
        <w:rPr>
          <w:rFonts w:hAnsi="方正黑体_GBK" w:cs="方正黑体_GBK" w:hint="eastAsia"/>
          <w:color w:val="3D3D3D"/>
          <w:kern w:val="0"/>
          <w:sz w:val="15"/>
          <w:szCs w:val="15"/>
        </w:rPr>
        <w:t>权益类理财产品：指投资于权益类资产的比例不低于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15.</w:t>
      </w:r>
      <w:r>
        <w:rPr>
          <w:rFonts w:hAnsi="方正黑体_GBK" w:cs="方正黑体_GBK" w:hint="eastAsia"/>
          <w:color w:val="3D3D3D"/>
          <w:kern w:val="0"/>
          <w:sz w:val="15"/>
          <w:szCs w:val="15"/>
        </w:rPr>
        <w:t>商品及金融衍生品类理财产品：指投资于商品及金融衍生品的比例不低于</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16.</w:t>
      </w:r>
      <w:r>
        <w:rPr>
          <w:rFonts w:hAnsi="方正黑体_GBK" w:cs="方正黑体_GBK" w:hint="eastAsia"/>
          <w:color w:val="3D3D3D"/>
          <w:kern w:val="0"/>
          <w:sz w:val="15"/>
          <w:szCs w:val="15"/>
        </w:rPr>
        <w:t>混合类理财产品：指投资于债权类资产、权益类资产、商品及金融衍生品类资产且任一资产的投资比例均未达到</w:t>
      </w:r>
      <w:r>
        <w:rPr>
          <w:rFonts w:hAnsi="方正黑体_GBK" w:cs="方正黑体_GBK" w:hint="eastAsia"/>
          <w:color w:val="3D3D3D"/>
          <w:kern w:val="0"/>
          <w:sz w:val="15"/>
          <w:szCs w:val="15"/>
        </w:rPr>
        <w:t>80%</w:t>
      </w:r>
      <w:r>
        <w:rPr>
          <w:rFonts w:hAnsi="方正黑体_GBK" w:cs="方正黑体_GBK" w:hint="eastAsia"/>
          <w:color w:val="3D3D3D"/>
          <w:kern w:val="0"/>
          <w:sz w:val="15"/>
          <w:szCs w:val="15"/>
        </w:rPr>
        <w:t>的理财产品。</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17.</w:t>
      </w:r>
      <w:r>
        <w:rPr>
          <w:rFonts w:hAnsi="方正黑体_GBK" w:cs="方正黑体_GBK" w:hint="eastAsia"/>
          <w:color w:val="3D3D3D"/>
          <w:kern w:val="0"/>
          <w:sz w:val="15"/>
          <w:szCs w:val="15"/>
        </w:rPr>
        <w:t>公募理财产品：指面向不特定社会公众公开发行的理财产品。</w:t>
      </w:r>
    </w:p>
    <w:p w:rsidR="00833B6B" w:rsidRDefault="00A3344E">
      <w:pPr>
        <w:pStyle w:val="Normala8cc090ea8cc090e"/>
        <w:widowControl/>
        <w:tabs>
          <w:tab w:val="left" w:pos="567"/>
        </w:tabs>
        <w:spacing w:line="200" w:lineRule="exact"/>
        <w:ind w:left="289"/>
        <w:outlineLvl w:val="1"/>
        <w:rPr>
          <w:rFonts w:hAnsi="方正黑体_GBK" w:cs="方正黑体_GBK"/>
          <w:color w:val="3D3D3D"/>
          <w:kern w:val="0"/>
          <w:sz w:val="15"/>
          <w:szCs w:val="15"/>
        </w:rPr>
      </w:pPr>
      <w:r>
        <w:rPr>
          <w:rFonts w:hAnsi="方正黑体_GBK" w:cs="方正黑体_GBK" w:hint="eastAsia"/>
          <w:color w:val="3D3D3D"/>
          <w:kern w:val="0"/>
          <w:sz w:val="15"/>
          <w:szCs w:val="15"/>
        </w:rPr>
        <w:t xml:space="preserve"> 18.</w:t>
      </w:r>
      <w:r>
        <w:rPr>
          <w:rFonts w:hAnsi="方正黑体_GBK" w:cs="方正黑体_GBK" w:hint="eastAsia"/>
          <w:color w:val="3D3D3D"/>
          <w:kern w:val="0"/>
          <w:sz w:val="15"/>
          <w:szCs w:val="15"/>
        </w:rPr>
        <w:t>私募理财产品：指面向合格投资者非公开发行的理财产品。</w:t>
      </w:r>
    </w:p>
    <w:p w:rsidR="00833B6B" w:rsidRDefault="00A3344E">
      <w:pPr>
        <w:pStyle w:val="Normala8cc090ea8cc090e"/>
        <w:widowControl/>
        <w:numPr>
          <w:ilvl w:val="0"/>
          <w:numId w:val="1"/>
        </w:numPr>
        <w:spacing w:line="200" w:lineRule="exact"/>
        <w:ind w:left="0" w:firstLine="289"/>
        <w:outlineLvl w:val="1"/>
        <w:rPr>
          <w:rFonts w:hAnsi="方正黑体_GBK" w:cs="方正黑体_GBK"/>
          <w:color w:val="3D3D3D"/>
          <w:kern w:val="0"/>
          <w:sz w:val="15"/>
          <w:szCs w:val="15"/>
        </w:rPr>
      </w:pPr>
      <w:r>
        <w:rPr>
          <w:rFonts w:hAnsi="方正黑体_GBK" w:cs="方正黑体_GBK" w:hint="eastAsia"/>
          <w:color w:val="3D3D3D"/>
          <w:kern w:val="0"/>
          <w:sz w:val="15"/>
          <w:szCs w:val="15"/>
        </w:rPr>
        <w:t>其他</w:t>
      </w:r>
    </w:p>
    <w:p w:rsidR="00833B6B" w:rsidRDefault="00A3344E">
      <w:pPr>
        <w:pStyle w:val="Normala8cc090ea8cc090e"/>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1.</w:t>
      </w:r>
      <w:r>
        <w:rPr>
          <w:rFonts w:hAnsi="方正黑体_GBK" w:cs="方正黑体_GBK" w:hint="eastAsia"/>
          <w:color w:val="3D3D3D"/>
          <w:kern w:val="0"/>
          <w:sz w:val="15"/>
          <w:szCs w:val="15"/>
        </w:rPr>
        <w:t>不可抗力：指理财产品各方不能预见、不能避免且不能克服的客观情况，该事件妨碍、影响或延误任何一方</w:t>
      </w:r>
      <w:proofErr w:type="gramStart"/>
      <w:r>
        <w:rPr>
          <w:rFonts w:hAnsi="方正黑体_GBK" w:cs="方正黑体_GBK" w:hint="eastAsia"/>
          <w:color w:val="3D3D3D"/>
          <w:kern w:val="0"/>
          <w:sz w:val="15"/>
          <w:szCs w:val="15"/>
        </w:rPr>
        <w:t>依相关</w:t>
      </w:r>
      <w:proofErr w:type="gramEnd"/>
      <w:r>
        <w:rPr>
          <w:rFonts w:hAnsi="方正黑体_GBK" w:cs="方正黑体_GBK" w:hint="eastAsia"/>
          <w:color w:val="3D3D3D"/>
          <w:kern w:val="0"/>
          <w:sz w:val="15"/>
          <w:szCs w:val="15"/>
        </w:rPr>
        <w:t>理财产品销售文件的约定履行其全部或部分义务。该事件包括但不限于：</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自然灾害、地震、台风、海啸、洪水、火灾、停电、突发性公共卫生事件；</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罢工、内战、战争、军事行动、任何种类的恐怖活动、暴动、公众示威或抗议；</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新的适用法律或国家政策的颁布或实施、对原适用法律或国家政策的修改；</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任何政府机关或其他机关的行为（不论是在法律上或是在事实上）、法律、法规、条例、规则、规定、裁决、命令或指令（包括国有化或对外限制、外汇管制）、诉讼或威胁；</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中国境内或全球金融外汇市场发生致使甲方无法进行货币兑换、划转等的异常变化；</w:t>
      </w:r>
    </w:p>
    <w:p w:rsidR="00833B6B" w:rsidRDefault="00A3344E">
      <w:pPr>
        <w:pStyle w:val="1b32994c1b32994c1"/>
        <w:widowControl/>
        <w:numPr>
          <w:ilvl w:val="0"/>
          <w:numId w:val="2"/>
        </w:numPr>
        <w:tabs>
          <w:tab w:val="left" w:pos="567"/>
        </w:tabs>
        <w:spacing w:line="200" w:lineRule="exact"/>
        <w:ind w:firstLineChars="0"/>
        <w:rPr>
          <w:rFonts w:hAnsi="方正黑体_GBK" w:cs="方正黑体_GBK"/>
          <w:color w:val="3D3D3D"/>
          <w:kern w:val="0"/>
          <w:sz w:val="15"/>
          <w:szCs w:val="15"/>
        </w:rPr>
      </w:pPr>
      <w:r>
        <w:rPr>
          <w:rFonts w:hAnsi="方正黑体_GBK" w:cs="方正黑体_GBK" w:hint="eastAsia"/>
          <w:color w:val="3D3D3D"/>
          <w:kern w:val="0"/>
          <w:sz w:val="15"/>
          <w:szCs w:val="15"/>
        </w:rPr>
        <w:t>因理财产品各方和</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或其关联方运营网络系统遭受黑客攻击、电信部门技术调整或故障等原因而造成的理财产品各方和</w:t>
      </w:r>
      <w:r>
        <w:rPr>
          <w:rFonts w:hAnsi="方正黑体_GBK" w:cs="方正黑体_GBK" w:hint="eastAsia"/>
          <w:color w:val="3D3D3D"/>
          <w:kern w:val="0"/>
          <w:sz w:val="15"/>
          <w:szCs w:val="15"/>
        </w:rPr>
        <w:t>/</w:t>
      </w:r>
      <w:r>
        <w:rPr>
          <w:rFonts w:hAnsi="方正黑体_GBK" w:cs="方正黑体_GBK" w:hint="eastAsia"/>
          <w:color w:val="3D3D3D"/>
          <w:kern w:val="0"/>
          <w:sz w:val="15"/>
          <w:szCs w:val="15"/>
        </w:rPr>
        <w:t>或其关联方之服务、营业的中断或者延迟。</w:t>
      </w:r>
    </w:p>
    <w:p w:rsidR="00833B6B" w:rsidRDefault="00A3344E">
      <w:pPr>
        <w:pStyle w:val="Normala8cc090ea8cc090e"/>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2.</w:t>
      </w:r>
      <w:r>
        <w:rPr>
          <w:rFonts w:hAnsi="方正黑体_GBK" w:cs="方正黑体_GBK" w:hint="eastAsia"/>
          <w:color w:val="3D3D3D"/>
          <w:kern w:val="0"/>
          <w:sz w:val="15"/>
          <w:szCs w:val="15"/>
        </w:rPr>
        <w:t>中国：指中华人民共和国（为本理财产品销售文件之目的，不包括香港特别行政区、澳门特别行政区和台湾地区）。</w:t>
      </w:r>
    </w:p>
    <w:p w:rsidR="00833B6B" w:rsidRDefault="00A3344E">
      <w:pPr>
        <w:pStyle w:val="Normala8cc090ea8cc090e"/>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3.</w:t>
      </w:r>
      <w:r>
        <w:rPr>
          <w:rFonts w:hAnsi="方正黑体_GBK" w:cs="方正黑体_GBK" w:hint="eastAsia"/>
          <w:color w:val="3D3D3D"/>
          <w:kern w:val="0"/>
          <w:sz w:val="15"/>
          <w:szCs w:val="15"/>
        </w:rPr>
        <w:t>元：指人民币元。</w:t>
      </w:r>
    </w:p>
    <w:p w:rsidR="00833B6B" w:rsidRDefault="00A3344E">
      <w:pPr>
        <w:pStyle w:val="Normala8cc090ea8cc090e"/>
        <w:widowControl/>
        <w:tabs>
          <w:tab w:val="left" w:pos="567"/>
        </w:tabs>
        <w:spacing w:line="200" w:lineRule="exact"/>
        <w:ind w:left="289"/>
        <w:rPr>
          <w:rFonts w:hAnsi="方正黑体_GBK" w:cs="方正黑体_GBK"/>
          <w:color w:val="3D3D3D"/>
          <w:kern w:val="0"/>
          <w:sz w:val="15"/>
          <w:szCs w:val="15"/>
        </w:rPr>
      </w:pPr>
      <w:r>
        <w:rPr>
          <w:rFonts w:hAnsi="方正黑体_GBK" w:cs="方正黑体_GBK" w:hint="eastAsia"/>
          <w:color w:val="3D3D3D"/>
          <w:kern w:val="0"/>
          <w:sz w:val="15"/>
          <w:szCs w:val="15"/>
        </w:rPr>
        <w:t xml:space="preserve"> 4.</w:t>
      </w:r>
      <w:r>
        <w:rPr>
          <w:rFonts w:hAnsi="方正黑体_GBK" w:cs="方正黑体_GBK" w:hint="eastAsia"/>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33B6B" w:rsidRDefault="00A3344E">
      <w:pPr>
        <w:pStyle w:val="Normalb8ede314"/>
        <w:widowControl/>
        <w:spacing w:line="200" w:lineRule="exact"/>
        <w:rPr>
          <w:rFonts w:hAnsi="方正黑体_GBK" w:cs="方正黑体_GBK"/>
          <w:b/>
          <w:bCs/>
          <w:kern w:val="0"/>
          <w:sz w:val="15"/>
          <w:szCs w:val="15"/>
        </w:rPr>
      </w:pPr>
      <w:r>
        <w:rPr>
          <w:rFonts w:hAnsi="方正黑体_GBK" w:cs="方正黑体_GBK" w:hint="eastAsia"/>
          <w:b/>
          <w:bCs/>
          <w:kern w:val="0"/>
          <w:sz w:val="15"/>
          <w:szCs w:val="15"/>
        </w:rPr>
        <w:t>第三条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情景示例</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假设：投资者认购本理财产品</w:t>
      </w:r>
      <w:r>
        <w:rPr>
          <w:rFonts w:hAnsi="方正黑体_GBK" w:cs="方正黑体_GBK" w:hint="eastAsia"/>
          <w:sz w:val="15"/>
          <w:szCs w:val="20"/>
        </w:rPr>
        <w:t>10</w:t>
      </w:r>
      <w:r>
        <w:rPr>
          <w:rFonts w:hAnsi="方正黑体_GBK" w:cs="方正黑体_GBK" w:hint="eastAsia"/>
          <w:sz w:val="15"/>
          <w:szCs w:val="20"/>
        </w:rPr>
        <w:t>万元，确认认购的产品净值为</w:t>
      </w:r>
      <w:r>
        <w:rPr>
          <w:rFonts w:hAnsi="方正黑体_GBK" w:cs="方正黑体_GBK" w:hint="eastAsia"/>
          <w:sz w:val="15"/>
          <w:szCs w:val="20"/>
        </w:rPr>
        <w:t>1.0000</w:t>
      </w:r>
      <w:r>
        <w:rPr>
          <w:rFonts w:hAnsi="方正黑体_GBK" w:cs="方正黑体_GBK" w:hint="eastAsia"/>
          <w:sz w:val="15"/>
          <w:szCs w:val="20"/>
        </w:rPr>
        <w:t>元，折算份额</w:t>
      </w:r>
      <w:r>
        <w:rPr>
          <w:rFonts w:hAnsi="方正黑体_GBK" w:cs="方正黑体_GBK" w:hint="eastAsia"/>
          <w:sz w:val="15"/>
          <w:szCs w:val="20"/>
        </w:rPr>
        <w:t>100,000</w:t>
      </w:r>
      <w:r>
        <w:rPr>
          <w:rFonts w:hAnsi="方正黑体_GBK" w:cs="方正黑体_GBK" w:hint="eastAsia"/>
          <w:sz w:val="15"/>
          <w:szCs w:val="20"/>
        </w:rPr>
        <w:t>份，该份额在</w:t>
      </w:r>
      <w:r>
        <w:rPr>
          <w:rFonts w:hAnsi="方正黑体_GBK" w:cs="方正黑体_GBK" w:hint="eastAsia"/>
          <w:sz w:val="15"/>
          <w:szCs w:val="20"/>
        </w:rPr>
        <w:t>2022</w:t>
      </w:r>
      <w:r>
        <w:rPr>
          <w:rFonts w:hAnsi="方正黑体_GBK" w:cs="方正黑体_GBK" w:hint="eastAsia"/>
          <w:sz w:val="15"/>
          <w:szCs w:val="20"/>
        </w:rPr>
        <w:t>年</w:t>
      </w:r>
      <w:r>
        <w:rPr>
          <w:rFonts w:hAnsi="方正黑体_GBK" w:cs="方正黑体_GBK" w:hint="eastAsia"/>
          <w:sz w:val="15"/>
          <w:szCs w:val="20"/>
        </w:rPr>
        <w:t>6</w:t>
      </w:r>
      <w:r>
        <w:rPr>
          <w:rFonts w:hAnsi="方正黑体_GBK" w:cs="方正黑体_GBK" w:hint="eastAsia"/>
          <w:sz w:val="15"/>
          <w:szCs w:val="20"/>
        </w:rPr>
        <w:t>月</w:t>
      </w:r>
      <w:r>
        <w:rPr>
          <w:rFonts w:hAnsi="方正黑体_GBK" w:cs="方正黑体_GBK" w:hint="eastAsia"/>
          <w:sz w:val="15"/>
          <w:szCs w:val="20"/>
        </w:rPr>
        <w:t>27</w:t>
      </w:r>
      <w:r>
        <w:rPr>
          <w:rFonts w:hAnsi="方正黑体_GBK" w:cs="方正黑体_GBK" w:hint="eastAsia"/>
          <w:sz w:val="15"/>
          <w:szCs w:val="20"/>
        </w:rPr>
        <w:t>日</w:t>
      </w:r>
      <w:proofErr w:type="gramStart"/>
      <w:r>
        <w:rPr>
          <w:rFonts w:hAnsi="方正黑体_GBK" w:cs="方正黑体_GBK" w:hint="eastAsia"/>
          <w:sz w:val="15"/>
          <w:szCs w:val="20"/>
        </w:rPr>
        <w:t>及之前</w:t>
      </w:r>
      <w:proofErr w:type="gramEnd"/>
      <w:r>
        <w:rPr>
          <w:rFonts w:hAnsi="方正黑体_GBK" w:cs="方正黑体_GBK" w:hint="eastAsia"/>
          <w:sz w:val="15"/>
          <w:szCs w:val="20"/>
        </w:rPr>
        <w:t>不可赎回。</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情景示例</w:t>
      </w:r>
      <w:proofErr w:type="gramStart"/>
      <w:r>
        <w:rPr>
          <w:rFonts w:hAnsi="方正黑体_GBK" w:cs="方正黑体_GBK" w:hint="eastAsia"/>
          <w:sz w:val="15"/>
          <w:szCs w:val="20"/>
        </w:rPr>
        <w:t>一</w:t>
      </w:r>
      <w:proofErr w:type="gramEnd"/>
      <w:r>
        <w:rPr>
          <w:rFonts w:hAnsi="方正黑体_GBK" w:cs="方正黑体_GBK" w:hint="eastAsia"/>
          <w:sz w:val="15"/>
          <w:szCs w:val="20"/>
        </w:rPr>
        <w:t>：投资者于</w:t>
      </w:r>
      <w:r>
        <w:rPr>
          <w:rFonts w:hAnsi="方正黑体_GBK" w:cs="方正黑体_GBK" w:hint="eastAsia"/>
          <w:sz w:val="15"/>
          <w:szCs w:val="20"/>
        </w:rPr>
        <w:t>2022</w:t>
      </w:r>
      <w:r>
        <w:rPr>
          <w:rFonts w:hAnsi="方正黑体_GBK" w:cs="方正黑体_GBK" w:hint="eastAsia"/>
          <w:sz w:val="15"/>
          <w:szCs w:val="20"/>
        </w:rPr>
        <w:t>年</w:t>
      </w:r>
      <w:r>
        <w:rPr>
          <w:rFonts w:hAnsi="方正黑体_GBK" w:cs="方正黑体_GBK" w:hint="eastAsia"/>
          <w:sz w:val="15"/>
          <w:szCs w:val="20"/>
        </w:rPr>
        <w:t>8</w:t>
      </w:r>
      <w:r>
        <w:rPr>
          <w:rFonts w:hAnsi="方正黑体_GBK" w:cs="方正黑体_GBK" w:hint="eastAsia"/>
          <w:sz w:val="15"/>
          <w:szCs w:val="20"/>
        </w:rPr>
        <w:t>月</w:t>
      </w:r>
      <w:r>
        <w:rPr>
          <w:rFonts w:hAnsi="方正黑体_GBK" w:cs="方正黑体_GBK" w:hint="eastAsia"/>
          <w:sz w:val="15"/>
          <w:szCs w:val="20"/>
        </w:rPr>
        <w:t>19</w:t>
      </w:r>
      <w:r>
        <w:rPr>
          <w:rFonts w:hAnsi="方正黑体_GBK" w:cs="方正黑体_GBK" w:hint="eastAsia"/>
          <w:sz w:val="15"/>
          <w:szCs w:val="20"/>
        </w:rPr>
        <w:t>日</w:t>
      </w:r>
      <w:r>
        <w:rPr>
          <w:rFonts w:hAnsi="方正黑体_GBK" w:cs="方正黑体_GBK" w:hint="eastAsia"/>
          <w:sz w:val="15"/>
          <w:szCs w:val="20"/>
        </w:rPr>
        <w:t>10</w:t>
      </w:r>
      <w:r>
        <w:rPr>
          <w:rFonts w:hAnsi="方正黑体_GBK" w:cs="方正黑体_GBK" w:hint="eastAsia"/>
          <w:sz w:val="15"/>
          <w:szCs w:val="20"/>
        </w:rPr>
        <w:t>时申请赎回</w:t>
      </w:r>
      <w:r>
        <w:rPr>
          <w:rFonts w:hAnsi="方正黑体_GBK" w:cs="方正黑体_GBK" w:hint="eastAsia"/>
          <w:sz w:val="15"/>
          <w:szCs w:val="20"/>
        </w:rPr>
        <w:t>50,000</w:t>
      </w:r>
      <w:r>
        <w:rPr>
          <w:rFonts w:hAnsi="方正黑体_GBK" w:cs="方正黑体_GBK" w:hint="eastAsia"/>
          <w:sz w:val="15"/>
          <w:szCs w:val="20"/>
        </w:rPr>
        <w:t>份，赎回确认日产</w:t>
      </w:r>
      <w:proofErr w:type="gramStart"/>
      <w:r>
        <w:rPr>
          <w:rFonts w:hAnsi="方正黑体_GBK" w:cs="方正黑体_GBK" w:hint="eastAsia"/>
          <w:sz w:val="15"/>
          <w:szCs w:val="20"/>
        </w:rPr>
        <w:t>品单位</w:t>
      </w:r>
      <w:proofErr w:type="gramEnd"/>
      <w:r>
        <w:rPr>
          <w:rFonts w:hAnsi="方正黑体_GBK" w:cs="方正黑体_GBK" w:hint="eastAsia"/>
          <w:sz w:val="15"/>
          <w:szCs w:val="20"/>
        </w:rPr>
        <w:t>净值扣除产品赎回费、业绩报酬等费用（如有）后，折算每份额净值</w:t>
      </w:r>
      <w:r>
        <w:rPr>
          <w:rFonts w:hAnsi="方正黑体_GBK" w:cs="方正黑体_GBK" w:hint="eastAsia"/>
          <w:sz w:val="15"/>
          <w:szCs w:val="20"/>
        </w:rPr>
        <w:t>1.0300</w:t>
      </w:r>
      <w:r>
        <w:rPr>
          <w:rFonts w:hAnsi="方正黑体_GBK" w:cs="方正黑体_GBK" w:hint="eastAsia"/>
          <w:sz w:val="15"/>
          <w:szCs w:val="20"/>
        </w:rPr>
        <w:t>，则客户在资金到帐日收到赎回资金为</w:t>
      </w:r>
      <w:r>
        <w:rPr>
          <w:rFonts w:hAnsi="方正黑体_GBK" w:cs="方正黑体_GBK" w:hint="eastAsia"/>
          <w:sz w:val="15"/>
          <w:szCs w:val="20"/>
        </w:rPr>
        <w:t>51,500</w:t>
      </w:r>
      <w:r>
        <w:rPr>
          <w:rFonts w:hAnsi="方正黑体_GBK" w:cs="方正黑体_GBK" w:hint="eastAsia"/>
          <w:sz w:val="15"/>
          <w:szCs w:val="20"/>
        </w:rPr>
        <w:t>元。</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情景示例二：投资者于</w:t>
      </w:r>
      <w:r>
        <w:rPr>
          <w:rFonts w:hAnsi="方正黑体_GBK" w:cs="方正黑体_GBK" w:hint="eastAsia"/>
          <w:sz w:val="15"/>
          <w:szCs w:val="20"/>
        </w:rPr>
        <w:t>2022</w:t>
      </w:r>
      <w:r>
        <w:rPr>
          <w:rFonts w:hAnsi="方正黑体_GBK" w:cs="方正黑体_GBK" w:hint="eastAsia"/>
          <w:sz w:val="15"/>
          <w:szCs w:val="20"/>
        </w:rPr>
        <w:t>年</w:t>
      </w:r>
      <w:r>
        <w:rPr>
          <w:rFonts w:hAnsi="方正黑体_GBK" w:cs="方正黑体_GBK" w:hint="eastAsia"/>
          <w:sz w:val="15"/>
          <w:szCs w:val="20"/>
        </w:rPr>
        <w:t>9</w:t>
      </w:r>
      <w:r>
        <w:rPr>
          <w:rFonts w:hAnsi="方正黑体_GBK" w:cs="方正黑体_GBK" w:hint="eastAsia"/>
          <w:sz w:val="15"/>
          <w:szCs w:val="20"/>
        </w:rPr>
        <w:t>月</w:t>
      </w:r>
      <w:r>
        <w:rPr>
          <w:rFonts w:hAnsi="方正黑体_GBK" w:cs="方正黑体_GBK" w:hint="eastAsia"/>
          <w:sz w:val="15"/>
          <w:szCs w:val="20"/>
        </w:rPr>
        <w:t>5</w:t>
      </w:r>
      <w:r>
        <w:rPr>
          <w:rFonts w:hAnsi="方正黑体_GBK" w:cs="方正黑体_GBK" w:hint="eastAsia"/>
          <w:sz w:val="15"/>
          <w:szCs w:val="20"/>
        </w:rPr>
        <w:t>日</w:t>
      </w:r>
      <w:r>
        <w:rPr>
          <w:rFonts w:hAnsi="方正黑体_GBK" w:cs="方正黑体_GBK" w:hint="eastAsia"/>
          <w:sz w:val="15"/>
          <w:szCs w:val="20"/>
        </w:rPr>
        <w:t>10</w:t>
      </w:r>
      <w:r>
        <w:rPr>
          <w:rFonts w:hAnsi="方正黑体_GBK" w:cs="方正黑体_GBK" w:hint="eastAsia"/>
          <w:sz w:val="15"/>
          <w:szCs w:val="20"/>
        </w:rPr>
        <w:t>时申请赎回</w:t>
      </w:r>
      <w:r>
        <w:rPr>
          <w:rFonts w:hAnsi="方正黑体_GBK" w:cs="方正黑体_GBK" w:hint="eastAsia"/>
          <w:sz w:val="15"/>
          <w:szCs w:val="20"/>
        </w:rPr>
        <w:t>20,000</w:t>
      </w:r>
      <w:r>
        <w:rPr>
          <w:rFonts w:hAnsi="方正黑体_GBK" w:cs="方正黑体_GBK" w:hint="eastAsia"/>
          <w:sz w:val="15"/>
          <w:szCs w:val="20"/>
        </w:rPr>
        <w:t>份，赎回确认日产</w:t>
      </w:r>
      <w:proofErr w:type="gramStart"/>
      <w:r>
        <w:rPr>
          <w:rFonts w:hAnsi="方正黑体_GBK" w:cs="方正黑体_GBK" w:hint="eastAsia"/>
          <w:sz w:val="15"/>
          <w:szCs w:val="20"/>
        </w:rPr>
        <w:t>品单位</w:t>
      </w:r>
      <w:proofErr w:type="gramEnd"/>
      <w:r>
        <w:rPr>
          <w:rFonts w:hAnsi="方正黑体_GBK" w:cs="方正黑体_GBK" w:hint="eastAsia"/>
          <w:sz w:val="15"/>
          <w:szCs w:val="20"/>
        </w:rPr>
        <w:t>净值扣除产品赎回费、业绩报酬等费用（如有）后，折算每份额净值为</w:t>
      </w:r>
      <w:r>
        <w:rPr>
          <w:rFonts w:hAnsi="方正黑体_GBK" w:cs="方正黑体_GBK" w:hint="eastAsia"/>
          <w:sz w:val="15"/>
          <w:szCs w:val="20"/>
        </w:rPr>
        <w:t>0.9700</w:t>
      </w:r>
      <w:r>
        <w:rPr>
          <w:rFonts w:hAnsi="方正黑体_GBK" w:cs="方正黑体_GBK" w:hint="eastAsia"/>
          <w:sz w:val="15"/>
          <w:szCs w:val="20"/>
        </w:rPr>
        <w:t>，则客户在资金到帐日收到赎回资金为</w:t>
      </w:r>
      <w:r>
        <w:rPr>
          <w:rFonts w:hAnsi="方正黑体_GBK" w:cs="方正黑体_GBK" w:hint="eastAsia"/>
          <w:sz w:val="15"/>
          <w:szCs w:val="20"/>
        </w:rPr>
        <w:t>19,400</w:t>
      </w:r>
      <w:r>
        <w:rPr>
          <w:rFonts w:hAnsi="方正黑体_GBK" w:cs="方正黑体_GBK" w:hint="eastAsia"/>
          <w:sz w:val="15"/>
          <w:szCs w:val="20"/>
        </w:rPr>
        <w:t>元。</w:t>
      </w:r>
    </w:p>
    <w:p w:rsidR="00833B6B" w:rsidRDefault="00A3344E">
      <w:pPr>
        <w:spacing w:line="200" w:lineRule="exact"/>
        <w:rPr>
          <w:rFonts w:hAnsi="方正黑体_GBK" w:cs="方正黑体_GBK"/>
        </w:rPr>
      </w:pPr>
      <w:r>
        <w:rPr>
          <w:rFonts w:hAnsi="方正黑体_GBK" w:cs="方正黑体_GBK" w:hint="eastAsia"/>
          <w:sz w:val="15"/>
          <w:szCs w:val="20"/>
        </w:rPr>
        <w:t xml:space="preserve"> </w:t>
      </w:r>
      <w:r>
        <w:rPr>
          <w:rFonts w:hAnsi="方正黑体_GBK" w:cs="方正黑体_GBK" w:hint="eastAsia"/>
          <w:sz w:val="15"/>
          <w:szCs w:val="20"/>
        </w:rPr>
        <w:t>以上数据为假设情形中的模拟数据，不代表实际收益，投资须谨慎。</w:t>
      </w:r>
    </w:p>
    <w:p w:rsidR="00833B6B" w:rsidRDefault="00A3344E">
      <w:pPr>
        <w:pStyle w:val="Normalb8ede314"/>
        <w:widowControl/>
        <w:spacing w:line="200" w:lineRule="exact"/>
        <w:ind w:firstLineChars="200" w:firstLine="300"/>
        <w:rPr>
          <w:rStyle w:val="1b32994c1b32994c1Char"/>
          <w:rFonts w:hAnsi="方正黑体_GBK" w:cs="方正黑体_GBK"/>
          <w:sz w:val="15"/>
          <w:szCs w:val="15"/>
        </w:rPr>
      </w:pPr>
      <w:r>
        <w:rPr>
          <w:rFonts w:hAnsi="方正黑体_GBK" w:cs="方正黑体_GBK" w:hint="eastAsia"/>
          <w:b/>
          <w:bCs/>
          <w:kern w:val="0"/>
          <w:sz w:val="15"/>
          <w:szCs w:val="15"/>
        </w:rPr>
        <w:t>特别提请投资者注意的是，上述收益率</w:t>
      </w:r>
      <w:proofErr w:type="gramStart"/>
      <w:r>
        <w:rPr>
          <w:rFonts w:hAnsi="方正黑体_GBK" w:cs="方正黑体_GBK" w:hint="eastAsia"/>
          <w:b/>
          <w:bCs/>
          <w:kern w:val="0"/>
          <w:sz w:val="15"/>
          <w:szCs w:val="15"/>
        </w:rPr>
        <w:t>测算仅</w:t>
      </w:r>
      <w:proofErr w:type="gramEnd"/>
      <w:r>
        <w:rPr>
          <w:rFonts w:hAnsi="方正黑体_GBK" w:cs="方正黑体_GBK"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33B6B" w:rsidRDefault="00A3344E">
      <w:pPr>
        <w:pStyle w:val="Normalb8ede314"/>
        <w:widowControl/>
        <w:spacing w:line="200" w:lineRule="exact"/>
        <w:ind w:firstLineChars="200" w:firstLine="300"/>
        <w:rPr>
          <w:rStyle w:val="1b32994c1b32994c1Char"/>
          <w:rFonts w:hAnsi="方正黑体_GBK" w:cs="方正黑体_GBK"/>
          <w:sz w:val="20"/>
          <w:szCs w:val="20"/>
        </w:rPr>
      </w:pPr>
      <w:r>
        <w:rPr>
          <w:rFonts w:hAnsi="方正黑体_GBK" w:cs="方正黑体_GBK" w:hint="eastAsia"/>
          <w:b/>
          <w:bCs/>
          <w:kern w:val="0"/>
          <w:sz w:val="15"/>
          <w:szCs w:val="15"/>
        </w:rPr>
        <w:t>风险提示：如出现本理财产品所投资的资产或资产组合项</w:t>
      </w:r>
      <w:proofErr w:type="gramStart"/>
      <w:r>
        <w:rPr>
          <w:rFonts w:hAnsi="方正黑体_GBK" w:cs="方正黑体_GBK" w:hint="eastAsia"/>
          <w:b/>
          <w:bCs/>
          <w:kern w:val="0"/>
          <w:sz w:val="15"/>
          <w:szCs w:val="15"/>
        </w:rPr>
        <w:t>下义务</w:t>
      </w:r>
      <w:proofErr w:type="gramEnd"/>
      <w:r>
        <w:rPr>
          <w:rFonts w:hAnsi="方正黑体_GBK" w:cs="方正黑体_GBK" w:hint="eastAsia"/>
          <w:b/>
          <w:bCs/>
          <w:kern w:val="0"/>
          <w:sz w:val="15"/>
          <w:szCs w:val="15"/>
        </w:rPr>
        <w:t>人出现无法兑付本金等极端情况，产品运作到期后投资者可能无收益，并可能损失全部本金。</w:t>
      </w:r>
    </w:p>
    <w:p w:rsidR="00833B6B" w:rsidRDefault="00A3344E">
      <w:pPr>
        <w:pStyle w:val="Normalb8ede314"/>
        <w:widowControl/>
        <w:spacing w:line="200" w:lineRule="exact"/>
        <w:rPr>
          <w:rFonts w:hAnsi="方正黑体_GBK" w:cs="方正黑体_GBK"/>
          <w:b/>
          <w:kern w:val="0"/>
          <w:sz w:val="15"/>
          <w:szCs w:val="15"/>
        </w:rPr>
      </w:pPr>
      <w:r>
        <w:rPr>
          <w:rFonts w:hAnsi="方正黑体_GBK" w:cs="方正黑体_GBK" w:hint="eastAsia"/>
          <w:b/>
          <w:bCs/>
          <w:kern w:val="0"/>
          <w:sz w:val="15"/>
          <w:szCs w:val="15"/>
        </w:rPr>
        <w:t>第四</w:t>
      </w:r>
      <w:r>
        <w:rPr>
          <w:rFonts w:hAnsi="方正黑体_GBK" w:cs="方正黑体_GBK" w:hint="eastAsia"/>
          <w:b/>
          <w:kern w:val="0"/>
          <w:sz w:val="15"/>
          <w:szCs w:val="15"/>
        </w:rPr>
        <w:t>条</w:t>
      </w:r>
      <w:r>
        <w:rPr>
          <w:rFonts w:hAnsi="方正黑体_GBK" w:cs="方正黑体_GBK" w:hint="eastAsia"/>
          <w:b/>
          <w:kern w:val="0"/>
          <w:sz w:val="15"/>
          <w:szCs w:val="15"/>
        </w:rPr>
        <w:t xml:space="preserve">  </w:t>
      </w:r>
      <w:r>
        <w:rPr>
          <w:rFonts w:hAnsi="方正黑体_GBK" w:cs="方正黑体_GBK" w:hint="eastAsia"/>
          <w:b/>
          <w:kern w:val="0"/>
          <w:sz w:val="15"/>
          <w:szCs w:val="15"/>
        </w:rPr>
        <w:t>理财产品估值</w:t>
      </w:r>
    </w:p>
    <w:p w:rsidR="00833B6B" w:rsidRDefault="00A3344E">
      <w:pPr>
        <w:spacing w:line="200" w:lineRule="exact"/>
        <w:ind w:firstLine="300"/>
        <w:rPr>
          <w:rFonts w:hAnsi="方正黑体_GBK" w:cs="方正黑体_GBK"/>
        </w:rPr>
      </w:pPr>
      <w:r>
        <w:rPr>
          <w:rFonts w:hAnsi="方正黑体_GBK" w:cs="方正黑体_GBK" w:hint="eastAsia"/>
          <w:sz w:val="15"/>
          <w:szCs w:val="20"/>
        </w:rPr>
        <w:t>（一）估值日</w:t>
      </w:r>
    </w:p>
    <w:p w:rsidR="00833B6B" w:rsidRDefault="00A3344E">
      <w:pPr>
        <w:spacing w:line="200" w:lineRule="exact"/>
        <w:ind w:firstLine="300"/>
        <w:rPr>
          <w:rFonts w:hAnsi="方正黑体_GBK" w:cs="方正黑体_GBK"/>
        </w:rPr>
      </w:pPr>
      <w:r>
        <w:rPr>
          <w:rFonts w:hAnsi="方正黑体_GBK" w:cs="方正黑体_GBK" w:hint="eastAsia"/>
          <w:sz w:val="15"/>
          <w:szCs w:val="20"/>
        </w:rPr>
        <w:t>本理财产品每个工作日进行估值。</w:t>
      </w:r>
    </w:p>
    <w:p w:rsidR="00833B6B" w:rsidRDefault="00A3344E">
      <w:pPr>
        <w:spacing w:line="200" w:lineRule="exact"/>
        <w:ind w:firstLine="300"/>
        <w:rPr>
          <w:rFonts w:hAnsi="方正黑体_GBK" w:cs="方正黑体_GBK"/>
        </w:rPr>
      </w:pPr>
      <w:r>
        <w:rPr>
          <w:rFonts w:hAnsi="方正黑体_GBK" w:cs="方正黑体_GBK" w:hint="eastAsia"/>
          <w:sz w:val="15"/>
          <w:szCs w:val="20"/>
        </w:rPr>
        <w:t>（二）估值对象</w:t>
      </w:r>
    </w:p>
    <w:p w:rsidR="00833B6B" w:rsidRDefault="00A3344E">
      <w:pPr>
        <w:spacing w:line="200" w:lineRule="exact"/>
        <w:ind w:firstLine="300"/>
        <w:rPr>
          <w:rFonts w:hAnsi="方正黑体_GBK" w:cs="方正黑体_GBK"/>
        </w:rPr>
      </w:pPr>
      <w:r>
        <w:rPr>
          <w:rFonts w:hAnsi="方正黑体_GBK" w:cs="方正黑体_GBK" w:hint="eastAsia"/>
          <w:sz w:val="15"/>
          <w:szCs w:val="20"/>
        </w:rPr>
        <w:t>本理财产品所拥有的所有资产及负债。</w:t>
      </w:r>
    </w:p>
    <w:p w:rsidR="00833B6B" w:rsidRDefault="00A3344E">
      <w:pPr>
        <w:spacing w:line="200" w:lineRule="exact"/>
        <w:ind w:firstLine="300"/>
        <w:rPr>
          <w:rFonts w:hAnsi="方正黑体_GBK" w:cs="方正黑体_GBK"/>
        </w:rPr>
      </w:pPr>
      <w:r>
        <w:rPr>
          <w:rFonts w:hAnsi="方正黑体_GBK" w:cs="方正黑体_GBK" w:hint="eastAsia"/>
          <w:sz w:val="15"/>
          <w:szCs w:val="20"/>
        </w:rPr>
        <w:t>（三）估值目的</w:t>
      </w:r>
    </w:p>
    <w:p w:rsidR="00833B6B" w:rsidRDefault="00A3344E">
      <w:pPr>
        <w:spacing w:line="200" w:lineRule="exact"/>
        <w:ind w:firstLine="300"/>
        <w:rPr>
          <w:rFonts w:hAnsi="方正黑体_GBK" w:cs="方正黑体_GBK"/>
        </w:rPr>
      </w:pPr>
      <w:r>
        <w:rPr>
          <w:rFonts w:hAnsi="方正黑体_GBK" w:cs="方正黑体_GBK" w:hint="eastAsia"/>
          <w:sz w:val="15"/>
          <w:szCs w:val="20"/>
        </w:rPr>
        <w:t>客观、准确反映理财产品的价值。</w:t>
      </w:r>
    </w:p>
    <w:p w:rsidR="00833B6B" w:rsidRDefault="00A3344E">
      <w:pPr>
        <w:spacing w:line="200" w:lineRule="exact"/>
        <w:ind w:firstLine="300"/>
        <w:rPr>
          <w:rFonts w:hAnsi="方正黑体_GBK" w:cs="方正黑体_GBK"/>
        </w:rPr>
      </w:pPr>
      <w:r>
        <w:rPr>
          <w:rFonts w:hAnsi="方正黑体_GBK" w:cs="方正黑体_GBK" w:hint="eastAsia"/>
          <w:sz w:val="15"/>
          <w:szCs w:val="20"/>
        </w:rPr>
        <w:t>（四）估值原则</w:t>
      </w:r>
    </w:p>
    <w:p w:rsidR="00833B6B" w:rsidRDefault="00A3344E">
      <w:pPr>
        <w:spacing w:line="200" w:lineRule="exact"/>
        <w:ind w:firstLine="300"/>
        <w:rPr>
          <w:rFonts w:hAnsi="方正黑体_GBK" w:cs="方正黑体_GBK"/>
        </w:rPr>
      </w:pPr>
      <w:r>
        <w:rPr>
          <w:rFonts w:hAnsi="方正黑体_GBK" w:cs="方正黑体_GBK" w:hint="eastAsia"/>
          <w:sz w:val="15"/>
          <w:szCs w:val="20"/>
        </w:rPr>
        <w:t>理财产品应坚持公允价值计量原则，符合会计准则和监管规定的范围内的可选择摊</w:t>
      </w:r>
      <w:proofErr w:type="gramStart"/>
      <w:r>
        <w:rPr>
          <w:rFonts w:hAnsi="方正黑体_GBK" w:cs="方正黑体_GBK" w:hint="eastAsia"/>
          <w:sz w:val="15"/>
          <w:szCs w:val="20"/>
        </w:rPr>
        <w:t>余成本</w:t>
      </w:r>
      <w:proofErr w:type="gramEnd"/>
      <w:r>
        <w:rPr>
          <w:rFonts w:hAnsi="方正黑体_GBK" w:cs="方正黑体_GBK" w:hint="eastAsia"/>
          <w:sz w:val="15"/>
          <w:szCs w:val="20"/>
        </w:rPr>
        <w:t>法计量。</w:t>
      </w:r>
    </w:p>
    <w:p w:rsidR="00833B6B" w:rsidRDefault="00A3344E">
      <w:pPr>
        <w:spacing w:line="200" w:lineRule="exact"/>
        <w:ind w:firstLine="300"/>
        <w:rPr>
          <w:rFonts w:hAnsi="方正黑体_GBK" w:cs="方正黑体_GBK"/>
        </w:rPr>
      </w:pPr>
      <w:r>
        <w:rPr>
          <w:rFonts w:hAnsi="方正黑体_GBK" w:cs="方正黑体_GBK" w:hint="eastAsia"/>
          <w:sz w:val="15"/>
          <w:szCs w:val="20"/>
        </w:rPr>
        <w:t>（五）估值方法</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估值方法中列示的资产品种不代表管理人的实际投向，本理财产品拟投资范围以“投资范围”章节描述为准。</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1.</w:t>
      </w:r>
      <w:r>
        <w:rPr>
          <w:rFonts w:hAnsi="方正黑体_GBK" w:cs="方正黑体_GBK" w:hint="eastAsia"/>
          <w:sz w:val="15"/>
          <w:szCs w:val="20"/>
        </w:rPr>
        <w:t>银行存款、回购等货币市场工具</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以本金列示，按商定的利率在实际持有期间内逐日计提。</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2.</w:t>
      </w:r>
      <w:r>
        <w:rPr>
          <w:rFonts w:hAnsi="方正黑体_GBK" w:cs="方正黑体_GBK" w:hint="eastAsia"/>
          <w:color w:val="3D3D3D"/>
          <w:sz w:val="15"/>
          <w:szCs w:val="20"/>
        </w:rPr>
        <w:t>债券类资产</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本理财产品所投债券均在全国银行间债券市场或证券交易所市场交易，按照第三方估值机构提供的相应品</w:t>
      </w:r>
      <w:r>
        <w:rPr>
          <w:rFonts w:hAnsi="方正黑体_GBK" w:cs="方正黑体_GBK" w:hint="eastAsia"/>
          <w:color w:val="3D3D3D"/>
          <w:sz w:val="15"/>
          <w:szCs w:val="20"/>
        </w:rPr>
        <w:t>种当日的估值净价或最近交易日的收盘价进行估值。</w:t>
      </w:r>
      <w:r>
        <w:rPr>
          <w:rFonts w:hAnsi="方正黑体_GBK" w:cs="方正黑体_GBK" w:hint="eastAsia"/>
          <w:color w:val="3D3D3D"/>
          <w:sz w:val="15"/>
          <w:szCs w:val="20"/>
        </w:rPr>
        <w:lastRenderedPageBreak/>
        <w:t>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hAnsi="方正黑体_GBK" w:cs="方正黑体_GBK" w:hint="eastAsia"/>
          <w:color w:val="3D3D3D"/>
          <w:sz w:val="15"/>
          <w:szCs w:val="20"/>
        </w:rPr>
        <w:t>流难以</w:t>
      </w:r>
      <w:proofErr w:type="gramEnd"/>
      <w:r>
        <w:rPr>
          <w:rFonts w:hAnsi="方正黑体_GBK" w:cs="方正黑体_GBK" w:hint="eastAsia"/>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w:t>
      </w:r>
      <w:r>
        <w:rPr>
          <w:rFonts w:hAnsi="方正黑体_GBK" w:cs="方正黑体_GBK" w:hint="eastAsia"/>
          <w:color w:val="3D3D3D"/>
          <w:sz w:val="15"/>
          <w:szCs w:val="20"/>
        </w:rPr>
        <w:t>资产”的资产</w:t>
      </w:r>
      <w:proofErr w:type="gramStart"/>
      <w:r>
        <w:rPr>
          <w:rFonts w:hAnsi="方正黑体_GBK" w:cs="方正黑体_GBK" w:hint="eastAsia"/>
          <w:color w:val="3D3D3D"/>
          <w:sz w:val="15"/>
          <w:szCs w:val="20"/>
        </w:rPr>
        <w:t>按摊余成本</w:t>
      </w:r>
      <w:proofErr w:type="gramEnd"/>
      <w:r>
        <w:rPr>
          <w:rFonts w:hAnsi="方正黑体_GBK" w:cs="方正黑体_GBK" w:hint="eastAsia"/>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3.</w:t>
      </w:r>
      <w:r>
        <w:rPr>
          <w:rFonts w:hAnsi="方正黑体_GBK" w:cs="方正黑体_GBK" w:hint="eastAsia"/>
          <w:color w:val="3D3D3D"/>
          <w:sz w:val="15"/>
          <w:szCs w:val="20"/>
        </w:rPr>
        <w:t>非标准化债权类资产</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非标准化债权类资产包括股票质押式回购、同业借款、应收账款、收受益权、收益凭证、各类资产支持计划等资产，以及其他符合监管要求的非标</w:t>
      </w:r>
      <w:r>
        <w:rPr>
          <w:rFonts w:hAnsi="方正黑体_GBK" w:cs="方正黑体_GBK" w:hint="eastAsia"/>
          <w:color w:val="3D3D3D"/>
          <w:sz w:val="15"/>
          <w:szCs w:val="20"/>
        </w:rPr>
        <w:t>准化债权类资产等。非标准化债权类资产的公允价值计量根据具体资产合同约定要素，合理采用估值技术进行估值。对于符合企业会计准则及监管规定范围内的，分类为“以摊余成本计量的金融资产”的资产</w:t>
      </w:r>
      <w:proofErr w:type="gramStart"/>
      <w:r>
        <w:rPr>
          <w:rFonts w:hAnsi="方正黑体_GBK" w:cs="方正黑体_GBK" w:hint="eastAsia"/>
          <w:color w:val="3D3D3D"/>
          <w:sz w:val="15"/>
          <w:szCs w:val="20"/>
        </w:rPr>
        <w:t>按摊余成本</w:t>
      </w:r>
      <w:proofErr w:type="gramEnd"/>
      <w:r>
        <w:rPr>
          <w:rFonts w:hAnsi="方正黑体_GBK" w:cs="方正黑体_GBK" w:hint="eastAsia"/>
          <w:color w:val="3D3D3D"/>
          <w:sz w:val="15"/>
          <w:szCs w:val="20"/>
        </w:rPr>
        <w:t>法估值，并按照会计准则采用合理减值计量模型或第三方减值计量结果进行预期信用损失的减值计提。</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4.</w:t>
      </w:r>
      <w:r>
        <w:rPr>
          <w:rFonts w:hAnsi="方正黑体_GBK" w:cs="方正黑体_GBK" w:hint="eastAsia"/>
          <w:color w:val="3D3D3D"/>
          <w:sz w:val="15"/>
          <w:szCs w:val="20"/>
        </w:rPr>
        <w:t>证券投资基金</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w:t>
      </w:r>
      <w:r>
        <w:rPr>
          <w:rFonts w:hAnsi="方正黑体_GBK" w:cs="方正黑体_GBK" w:hint="eastAsia"/>
          <w:color w:val="3D3D3D"/>
          <w:sz w:val="15"/>
          <w:szCs w:val="20"/>
        </w:rPr>
        <w:t>投资基金最近一个估值日的份额净值估值；如所投资基金披露万份（百份）收益，则按所投资基金前一估值日后至估值日期间（含节假日）的万份（百份）收益计提估值日基金收益。</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5.</w:t>
      </w:r>
      <w:r>
        <w:rPr>
          <w:rFonts w:hAnsi="方正黑体_GBK" w:cs="方正黑体_GBK" w:hint="eastAsia"/>
          <w:color w:val="3D3D3D"/>
          <w:sz w:val="15"/>
          <w:szCs w:val="20"/>
        </w:rPr>
        <w:t>股权类资产</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6.</w:t>
      </w:r>
      <w:proofErr w:type="gramStart"/>
      <w:r>
        <w:rPr>
          <w:rFonts w:hAnsi="方正黑体_GBK" w:cs="方正黑体_GBK" w:hint="eastAsia"/>
          <w:color w:val="3D3D3D"/>
          <w:sz w:val="15"/>
          <w:szCs w:val="20"/>
        </w:rPr>
        <w:t>资管计划</w:t>
      </w:r>
      <w:proofErr w:type="gramEnd"/>
      <w:r>
        <w:rPr>
          <w:rFonts w:hAnsi="方正黑体_GBK" w:cs="方正黑体_GBK" w:hint="eastAsia"/>
          <w:color w:val="3D3D3D"/>
          <w:sz w:val="15"/>
          <w:szCs w:val="20"/>
        </w:rPr>
        <w:t>、信托计划等资产</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存在公允价值的，按照公允价值估值，或采用估值技术确定估值，也可采用被委托机构提供的估值或</w:t>
      </w:r>
      <w:r>
        <w:rPr>
          <w:rFonts w:hAnsi="方正黑体_GBK" w:cs="方正黑体_GBK" w:hint="eastAsia"/>
          <w:color w:val="3D3D3D"/>
          <w:sz w:val="15"/>
          <w:szCs w:val="20"/>
        </w:rPr>
        <w:t>计量报告。</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7.</w:t>
      </w:r>
      <w:r>
        <w:rPr>
          <w:rFonts w:hAnsi="方正黑体_GBK" w:cs="方正黑体_GBK" w:hint="eastAsia"/>
          <w:color w:val="3D3D3D"/>
          <w:sz w:val="15"/>
          <w:szCs w:val="20"/>
        </w:rPr>
        <w:t>其他资产</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存在公允价值的，按照公允价值估值，或采用估值技术确定估值，也可采用被委托机构提供的估值或计量报告。具体可参考《企业会计准则》以及相关监管政策的规定。</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8.</w:t>
      </w:r>
      <w:r>
        <w:rPr>
          <w:rFonts w:hAnsi="方正黑体_GBK" w:cs="方正黑体_GBK" w:hint="eastAsia"/>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833B6B" w:rsidRDefault="00A3344E">
      <w:pPr>
        <w:spacing w:line="200" w:lineRule="exact"/>
        <w:ind w:firstLine="280"/>
        <w:jc w:val="left"/>
        <w:rPr>
          <w:rFonts w:hAnsi="方正黑体_GBK" w:cs="方正黑体_GBK"/>
        </w:rPr>
      </w:pPr>
      <w:r>
        <w:rPr>
          <w:rFonts w:hAnsi="方正黑体_GBK" w:cs="方正黑体_GBK" w:hint="eastAsia"/>
          <w:color w:val="3D3D3D"/>
          <w:sz w:val="15"/>
          <w:szCs w:val="20"/>
        </w:rPr>
        <w:t>9.</w:t>
      </w:r>
      <w:r>
        <w:rPr>
          <w:rFonts w:hAnsi="方正黑体_GBK" w:cs="方正黑体_GBK" w:hint="eastAsia"/>
          <w:color w:val="3D3D3D"/>
          <w:sz w:val="15"/>
          <w:szCs w:val="20"/>
        </w:rPr>
        <w:t>如有新增事项或变更事项，按国家最新规定或管理</w:t>
      </w:r>
      <w:proofErr w:type="gramStart"/>
      <w:r>
        <w:rPr>
          <w:rFonts w:hAnsi="方正黑体_GBK" w:cs="方正黑体_GBK" w:hint="eastAsia"/>
          <w:color w:val="3D3D3D"/>
          <w:sz w:val="15"/>
          <w:szCs w:val="20"/>
        </w:rPr>
        <w:t>人最新</w:t>
      </w:r>
      <w:proofErr w:type="gramEnd"/>
      <w:r>
        <w:rPr>
          <w:rFonts w:hAnsi="方正黑体_GBK" w:cs="方正黑体_GBK" w:hint="eastAsia"/>
          <w:color w:val="3D3D3D"/>
          <w:sz w:val="15"/>
          <w:szCs w:val="20"/>
        </w:rPr>
        <w:t>的约定估值。</w:t>
      </w:r>
    </w:p>
    <w:p w:rsidR="00833B6B" w:rsidRDefault="00A3344E">
      <w:pPr>
        <w:spacing w:line="200" w:lineRule="exact"/>
        <w:ind w:firstLine="280"/>
        <w:jc w:val="left"/>
        <w:rPr>
          <w:rFonts w:hAnsi="方正黑体_GBK" w:cs="方正黑体_GBK"/>
        </w:rPr>
      </w:pPr>
      <w:r>
        <w:rPr>
          <w:rFonts w:hAnsi="方正黑体_GBK" w:cs="方正黑体_GBK" w:hint="eastAsia"/>
          <w:sz w:val="15"/>
          <w:szCs w:val="20"/>
        </w:rPr>
        <w:t>开放式理财产品在前一估值日内，产品资产净值</w:t>
      </w:r>
      <w:r>
        <w:rPr>
          <w:rFonts w:hAnsi="方正黑体_GBK" w:cs="方正黑体_GBK" w:hint="eastAsia"/>
          <w:sz w:val="15"/>
          <w:szCs w:val="20"/>
        </w:rPr>
        <w:t>50%</w:t>
      </w:r>
      <w:r>
        <w:rPr>
          <w:rFonts w:hAnsi="方正黑体_GBK" w:cs="方正黑体_GBK" w:hint="eastAsia"/>
          <w:sz w:val="15"/>
          <w:szCs w:val="20"/>
        </w:rPr>
        <w:t>以上的资产不具备活跃交易市场或者</w:t>
      </w:r>
      <w:r>
        <w:rPr>
          <w:rFonts w:hAnsi="方正黑体_GBK" w:cs="方正黑体_GBK" w:hint="eastAsia"/>
          <w:sz w:val="15"/>
          <w:szCs w:val="20"/>
        </w:rPr>
        <w:t>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hAnsi="方正黑体_GBK" w:cs="方正黑体_GBK" w:hint="eastAsia"/>
          <w:sz w:val="15"/>
          <w:szCs w:val="20"/>
        </w:rPr>
        <w:t>3</w:t>
      </w:r>
      <w:r>
        <w:rPr>
          <w:rFonts w:hAnsi="方正黑体_GBK" w:cs="方正黑体_GBK" w:hint="eastAsia"/>
          <w:sz w:val="15"/>
          <w:szCs w:val="20"/>
        </w:rPr>
        <w:t>个交易日内告知投资者，并说明运用相关措施的原因、拟采取的应对安排等，投资者需重新进行资金安排。</w:t>
      </w:r>
    </w:p>
    <w:p w:rsidR="00833B6B" w:rsidRDefault="00A3344E">
      <w:pPr>
        <w:spacing w:line="200" w:lineRule="exact"/>
        <w:ind w:firstLine="300"/>
        <w:rPr>
          <w:rFonts w:hAnsi="方正黑体_GBK" w:cs="方正黑体_GBK"/>
        </w:rPr>
      </w:pPr>
      <w:r>
        <w:rPr>
          <w:rFonts w:hAnsi="方正黑体_GBK" w:cs="方正黑体_GBK" w:hint="eastAsia"/>
          <w:sz w:val="15"/>
          <w:szCs w:val="20"/>
        </w:rPr>
        <w:t>（六）估值错误及暂停估值</w:t>
      </w:r>
    </w:p>
    <w:p w:rsidR="00833B6B" w:rsidRDefault="00A3344E">
      <w:pPr>
        <w:spacing w:line="200" w:lineRule="exact"/>
        <w:ind w:firstLine="300"/>
        <w:rPr>
          <w:rFonts w:hAnsi="方正黑体_GBK" w:cs="方正黑体_GBK"/>
        </w:rPr>
      </w:pPr>
      <w:r>
        <w:rPr>
          <w:rFonts w:hAnsi="方正黑体_GBK" w:cs="方正黑体_GBK" w:hint="eastAsia"/>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w:t>
      </w:r>
      <w:r>
        <w:rPr>
          <w:rFonts w:hAnsi="方正黑体_GBK" w:cs="方正黑体_GBK" w:hint="eastAsia"/>
          <w:sz w:val="15"/>
          <w:szCs w:val="20"/>
        </w:rPr>
        <w:t>或托管人无法准确评估理财产品资产价值的或国家金融监督管理总局或理财产品合同认定其他情形的，理财产品管理人与托管人协商后可选择暂停估值。</w:t>
      </w:r>
    </w:p>
    <w:p w:rsidR="00833B6B" w:rsidRDefault="00A3344E">
      <w:pPr>
        <w:pStyle w:val="Normalb8ede314"/>
        <w:widowControl/>
        <w:spacing w:line="200" w:lineRule="exact"/>
        <w:rPr>
          <w:rFonts w:hAnsi="方正黑体_GBK" w:cs="方正黑体_GBK"/>
          <w:b/>
          <w:bCs/>
          <w:kern w:val="0"/>
          <w:sz w:val="15"/>
          <w:szCs w:val="15"/>
        </w:rPr>
      </w:pPr>
      <w:r>
        <w:rPr>
          <w:rFonts w:hAnsi="方正黑体_GBK" w:cs="方正黑体_GBK" w:hint="eastAsia"/>
          <w:b/>
          <w:bCs/>
          <w:kern w:val="0"/>
          <w:sz w:val="15"/>
          <w:szCs w:val="15"/>
        </w:rPr>
        <w:t>第五条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信息披露</w:t>
      </w:r>
    </w:p>
    <w:p w:rsidR="00833B6B" w:rsidRDefault="00A3344E">
      <w:pPr>
        <w:pStyle w:val="Normalb8ede314"/>
        <w:widowControl/>
        <w:numPr>
          <w:ilvl w:val="0"/>
          <w:numId w:val="3"/>
        </w:numPr>
        <w:spacing w:line="200" w:lineRule="exact"/>
        <w:ind w:left="0" w:firstLineChars="200" w:firstLine="300"/>
        <w:rPr>
          <w:rFonts w:hAnsi="方正黑体_GBK" w:cs="方正黑体_GBK"/>
          <w:b/>
          <w:bCs/>
          <w:kern w:val="0"/>
          <w:sz w:val="15"/>
          <w:szCs w:val="15"/>
        </w:rPr>
      </w:pPr>
      <w:r>
        <w:rPr>
          <w:rFonts w:hAnsi="方正黑体_GBK" w:cs="方正黑体_GBK" w:hint="eastAsia"/>
          <w:b/>
          <w:bCs/>
          <w:kern w:val="0"/>
          <w:sz w:val="15"/>
          <w:szCs w:val="15"/>
        </w:rPr>
        <w:t>信息披露渠道</w:t>
      </w:r>
    </w:p>
    <w:p w:rsidR="00833B6B" w:rsidRDefault="00A3344E">
      <w:pPr>
        <w:spacing w:line="200" w:lineRule="exact"/>
        <w:rPr>
          <w:rFonts w:hAnsi="方正黑体_GBK" w:cs="方正黑体_GBK"/>
        </w:rPr>
      </w:pPr>
      <w:r>
        <w:rPr>
          <w:rFonts w:hAnsi="方正黑体_GBK" w:cs="方正黑体_GBK" w:hint="eastAsia"/>
          <w:color w:val="3D3D3D"/>
          <w:sz w:val="15"/>
          <w:szCs w:val="20"/>
        </w:rPr>
        <w:t xml:space="preserve">  </w:t>
      </w:r>
      <w:r>
        <w:rPr>
          <w:rFonts w:hAnsi="方正黑体_GBK" w:cs="方正黑体_GBK" w:hint="eastAsia"/>
          <w:color w:val="3D3D3D"/>
          <w:sz w:val="15"/>
          <w:szCs w:val="20"/>
        </w:rPr>
        <w:t>本理财产品的信息披露渠道包括但不限于南银理财官网（</w:t>
      </w:r>
      <w:r>
        <w:rPr>
          <w:rFonts w:hAnsi="方正黑体_GBK" w:cs="方正黑体_GBK" w:hint="eastAsia"/>
          <w:color w:val="3D3D3D"/>
          <w:sz w:val="15"/>
          <w:szCs w:val="20"/>
        </w:rPr>
        <w:t>www.nanyinwealth.com</w:t>
      </w:r>
      <w:r>
        <w:rPr>
          <w:rFonts w:hAnsi="方正黑体_GBK" w:cs="方正黑体_GBK" w:hint="eastAsia"/>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33B6B" w:rsidRDefault="00A3344E">
      <w:pPr>
        <w:pStyle w:val="Normalb8ede314"/>
        <w:widowControl/>
        <w:numPr>
          <w:ilvl w:val="0"/>
          <w:numId w:val="3"/>
        </w:numPr>
        <w:spacing w:line="200" w:lineRule="exact"/>
        <w:ind w:left="0" w:firstLineChars="200" w:firstLine="300"/>
        <w:rPr>
          <w:rFonts w:hAnsi="方正黑体_GBK" w:cs="方正黑体_GBK"/>
          <w:b/>
          <w:bCs/>
          <w:kern w:val="0"/>
          <w:sz w:val="15"/>
          <w:szCs w:val="15"/>
        </w:rPr>
      </w:pPr>
      <w:r>
        <w:rPr>
          <w:rFonts w:hAnsi="方正黑体_GBK" w:cs="方正黑体_GBK" w:hint="eastAsia"/>
          <w:b/>
          <w:bCs/>
          <w:kern w:val="0"/>
          <w:sz w:val="15"/>
          <w:szCs w:val="15"/>
        </w:rPr>
        <w:t>信息披露的内容及时间</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 xml:space="preserve"> </w:t>
      </w:r>
      <w:r>
        <w:rPr>
          <w:rFonts w:hAnsi="方正黑体_GBK" w:cs="方正黑体_GBK" w:hint="eastAsia"/>
          <w:color w:val="3D3D3D"/>
          <w:kern w:val="0"/>
          <w:sz w:val="15"/>
          <w:szCs w:val="15"/>
        </w:rPr>
        <w:t>净值信息</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管理人在本理财产品存续期间至少按日向投资者披露净值。</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产品发行公告</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w:t>
      </w:r>
      <w:r>
        <w:rPr>
          <w:rFonts w:hAnsi="方正黑体_GBK" w:cs="方正黑体_GBK" w:hint="eastAsia"/>
          <w:color w:val="3D3D3D"/>
          <w:kern w:val="0"/>
          <w:sz w:val="15"/>
          <w:szCs w:val="15"/>
        </w:rPr>
        <w:t>在本理财产品成立后</w:t>
      </w:r>
      <w:r>
        <w:rPr>
          <w:rFonts w:hAnsi="方正黑体_GBK" w:cs="方正黑体_GBK" w:hint="eastAsia"/>
          <w:color w:val="3D3D3D"/>
          <w:kern w:val="0"/>
          <w:sz w:val="15"/>
          <w:szCs w:val="15"/>
        </w:rPr>
        <w:t>5</w:t>
      </w:r>
      <w:r>
        <w:rPr>
          <w:rFonts w:hAnsi="方正黑体_GBK" w:cs="方正黑体_GBK" w:hint="eastAsia"/>
          <w:color w:val="3D3D3D"/>
          <w:kern w:val="0"/>
          <w:sz w:val="15"/>
          <w:szCs w:val="15"/>
        </w:rPr>
        <w:t>个工作日内披露产品发行公告。</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定期报告</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管理人将在每个季度结束之日起</w:t>
      </w:r>
      <w:r>
        <w:rPr>
          <w:rFonts w:hAnsi="方正黑体_GBK" w:cs="方正黑体_GBK" w:hint="eastAsia"/>
          <w:color w:val="3D3D3D"/>
          <w:kern w:val="0"/>
          <w:sz w:val="15"/>
          <w:szCs w:val="15"/>
        </w:rPr>
        <w:t>15</w:t>
      </w:r>
      <w:r>
        <w:rPr>
          <w:rFonts w:hAnsi="方正黑体_GBK" w:cs="方正黑体_GBK" w:hint="eastAsia"/>
          <w:color w:val="3D3D3D"/>
          <w:kern w:val="0"/>
          <w:sz w:val="15"/>
          <w:szCs w:val="15"/>
        </w:rPr>
        <w:t>个工作日内、上半年结束之日起</w:t>
      </w:r>
      <w:r>
        <w:rPr>
          <w:rFonts w:hAnsi="方正黑体_GBK" w:cs="方正黑体_GBK" w:hint="eastAsia"/>
          <w:color w:val="3D3D3D"/>
          <w:kern w:val="0"/>
          <w:sz w:val="15"/>
          <w:szCs w:val="15"/>
        </w:rPr>
        <w:t>60</w:t>
      </w:r>
      <w:r>
        <w:rPr>
          <w:rFonts w:hAnsi="方正黑体_GBK" w:cs="方正黑体_GBK" w:hint="eastAsia"/>
          <w:color w:val="3D3D3D"/>
          <w:kern w:val="0"/>
          <w:sz w:val="15"/>
          <w:szCs w:val="15"/>
        </w:rPr>
        <w:t>个工作日内、每年结束之日起</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个工作日内披露本理财产品的季度、半年和年度报告，如果本理财产品成立不足</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个工作日或者剩余存续期不超过</w:t>
      </w:r>
      <w:r>
        <w:rPr>
          <w:rFonts w:hAnsi="方正黑体_GBK" w:cs="方正黑体_GBK" w:hint="eastAsia"/>
          <w:color w:val="3D3D3D"/>
          <w:kern w:val="0"/>
          <w:sz w:val="15"/>
          <w:szCs w:val="15"/>
        </w:rPr>
        <w:t>90</w:t>
      </w:r>
      <w:r>
        <w:rPr>
          <w:rFonts w:hAnsi="方正黑体_GBK" w:cs="方正黑体_GBK" w:hint="eastAsia"/>
          <w:color w:val="3D3D3D"/>
          <w:kern w:val="0"/>
          <w:sz w:val="15"/>
          <w:szCs w:val="15"/>
        </w:rPr>
        <w:t>个工作日的，管理人可以不编制产品当期的季度、半年和年度报告。</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到期公告</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管理人将在本理财产品终止后</w:t>
      </w:r>
      <w:r>
        <w:rPr>
          <w:rFonts w:hAnsi="方正黑体_GBK" w:cs="方正黑体_GBK" w:hint="eastAsia"/>
          <w:color w:val="3D3D3D"/>
          <w:kern w:val="0"/>
          <w:sz w:val="15"/>
          <w:szCs w:val="15"/>
        </w:rPr>
        <w:t>5</w:t>
      </w:r>
      <w:r>
        <w:rPr>
          <w:rFonts w:hAnsi="方正黑体_GBK" w:cs="方正黑体_GBK" w:hint="eastAsia"/>
          <w:color w:val="3D3D3D"/>
          <w:kern w:val="0"/>
          <w:sz w:val="15"/>
          <w:szCs w:val="15"/>
        </w:rPr>
        <w:t>个工作日内披露产品到期公告。</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重大事项公告</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管理人将在发生可能对本理财产品投资者或者理财产品收益产生重大影响的事件后</w:t>
      </w:r>
      <w:r>
        <w:rPr>
          <w:rFonts w:hAnsi="方正黑体_GBK" w:cs="方正黑体_GBK" w:hint="eastAsia"/>
          <w:color w:val="3D3D3D"/>
          <w:kern w:val="0"/>
          <w:sz w:val="15"/>
          <w:szCs w:val="15"/>
        </w:rPr>
        <w:t>2</w:t>
      </w:r>
      <w:r>
        <w:rPr>
          <w:rFonts w:hAnsi="方正黑体_GBK" w:cs="方正黑体_GBK" w:hint="eastAsia"/>
          <w:color w:val="3D3D3D"/>
          <w:kern w:val="0"/>
          <w:sz w:val="15"/>
          <w:szCs w:val="15"/>
        </w:rPr>
        <w:t>个工作日内披露重大事项公告。</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临时公告</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理财产品在运作管理过程中，发生可能对理财产品持有人权益产生影响的事项时，管理人将根据法律法规规定及时进行临时信息披露。</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关联交易信息披露</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833B6B" w:rsidRDefault="00A3344E">
      <w:pPr>
        <w:pStyle w:val="Normalb8ede314"/>
        <w:widowControl/>
        <w:numPr>
          <w:ilvl w:val="0"/>
          <w:numId w:val="4"/>
        </w:numPr>
        <w:spacing w:line="200" w:lineRule="exact"/>
        <w:ind w:left="0"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账单</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公募理财产品的存续</w:t>
      </w:r>
      <w:r>
        <w:rPr>
          <w:rFonts w:hAnsi="方正黑体_GBK" w:cs="方正黑体_GBK"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p>
    <w:p w:rsidR="00833B6B" w:rsidRDefault="00A3344E">
      <w:pPr>
        <w:pStyle w:val="Normalb8ede314"/>
        <w:widowControl/>
        <w:numPr>
          <w:ilvl w:val="0"/>
          <w:numId w:val="4"/>
        </w:numPr>
        <w:spacing w:line="200" w:lineRule="exact"/>
        <w:ind w:left="0"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在本理财产品存续期内：</w:t>
      </w:r>
    </w:p>
    <w:p w:rsidR="00833B6B" w:rsidRDefault="00A3344E">
      <w:pPr>
        <w:pStyle w:val="Normalb8ede314"/>
        <w:widowControl/>
        <w:spacing w:line="200" w:lineRule="exact"/>
        <w:ind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w:t>
      </w:r>
      <w:r>
        <w:rPr>
          <w:rFonts w:hAnsi="方正黑体_GBK" w:cs="方正黑体_GBK" w:hint="eastAsia"/>
          <w:b/>
          <w:bCs/>
          <w:color w:val="3D3D3D"/>
          <w:kern w:val="0"/>
          <w:sz w:val="15"/>
          <w:szCs w:val="15"/>
        </w:rPr>
        <w:t>1</w:t>
      </w:r>
      <w:r>
        <w:rPr>
          <w:rFonts w:hAnsi="方正黑体_GBK" w:cs="方正黑体_GBK"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33B6B" w:rsidRDefault="00A3344E">
      <w:pPr>
        <w:pStyle w:val="Normalb8ede314"/>
        <w:widowControl/>
        <w:spacing w:line="200" w:lineRule="exact"/>
        <w:ind w:firstLineChars="200" w:firstLine="300"/>
        <w:rPr>
          <w:rFonts w:hAnsi="方正黑体_GBK" w:cs="方正黑体_GBK"/>
          <w:b/>
          <w:bCs/>
          <w:color w:val="3D3D3D"/>
          <w:kern w:val="0"/>
          <w:sz w:val="15"/>
          <w:szCs w:val="15"/>
        </w:rPr>
      </w:pPr>
      <w:r>
        <w:rPr>
          <w:rFonts w:hAnsi="方正黑体_GBK" w:cs="方正黑体_GBK" w:hint="eastAsia"/>
          <w:b/>
          <w:bCs/>
          <w:color w:val="3D3D3D"/>
          <w:kern w:val="0"/>
          <w:sz w:val="15"/>
          <w:szCs w:val="15"/>
        </w:rPr>
        <w:t>（</w:t>
      </w:r>
      <w:r>
        <w:rPr>
          <w:rFonts w:hAnsi="方正黑体_GBK" w:cs="方正黑体_GBK" w:hint="eastAsia"/>
          <w:b/>
          <w:bCs/>
          <w:color w:val="3D3D3D"/>
          <w:kern w:val="0"/>
          <w:sz w:val="15"/>
          <w:szCs w:val="15"/>
        </w:rPr>
        <w:t>2</w:t>
      </w:r>
      <w:r>
        <w:rPr>
          <w:rFonts w:hAnsi="方正黑体_GBK" w:cs="方正黑体_GBK" w:hint="eastAsia"/>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Ansi="方正黑体_GBK" w:cs="方正黑体_GBK" w:hint="eastAsia"/>
          <w:b/>
          <w:bCs/>
          <w:color w:val="3D3D3D"/>
          <w:kern w:val="0"/>
          <w:sz w:val="15"/>
          <w:szCs w:val="15"/>
        </w:rPr>
        <w:t>理财官网等</w:t>
      </w:r>
      <w:proofErr w:type="gramEnd"/>
      <w:r>
        <w:rPr>
          <w:rFonts w:hAnsi="方正黑体_GBK" w:cs="方正黑体_GBK" w:hint="eastAsia"/>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w:t>
      </w:r>
      <w:r>
        <w:rPr>
          <w:rFonts w:hAnsi="方正黑体_GBK" w:cs="方正黑体_GBK" w:hint="eastAsia"/>
          <w:b/>
          <w:bCs/>
          <w:color w:val="3D3D3D"/>
          <w:kern w:val="0"/>
          <w:sz w:val="15"/>
          <w:szCs w:val="15"/>
        </w:rPr>
        <w:t>财产品说明书项下相关业务的，视同其接受调整内容、放弃赎回权并继续持有本理财产品。</w:t>
      </w:r>
    </w:p>
    <w:p w:rsidR="00833B6B" w:rsidRDefault="00A3344E">
      <w:pPr>
        <w:pStyle w:val="Normalb8ede314"/>
        <w:widowControl/>
        <w:spacing w:line="200" w:lineRule="exact"/>
        <w:ind w:firstLineChars="200" w:firstLine="300"/>
        <w:rPr>
          <w:rFonts w:hAnsi="方正黑体_GBK" w:cs="方正黑体_GBK"/>
          <w:color w:val="3D3D3D"/>
          <w:kern w:val="0"/>
          <w:sz w:val="15"/>
          <w:szCs w:val="15"/>
        </w:rPr>
      </w:pPr>
      <w:r>
        <w:rPr>
          <w:rFonts w:hAnsi="方正黑体_GBK" w:cs="方正黑体_GBK" w:hint="eastAsia"/>
          <w:color w:val="3D3D3D"/>
          <w:kern w:val="0"/>
          <w:sz w:val="15"/>
          <w:szCs w:val="15"/>
        </w:rPr>
        <w:t>10.</w:t>
      </w:r>
      <w:r>
        <w:rPr>
          <w:rFonts w:hAnsi="方正黑体_GBK" w:cs="方正黑体_GBK" w:hint="eastAsia"/>
          <w:color w:val="3D3D3D"/>
          <w:kern w:val="0"/>
          <w:sz w:val="15"/>
          <w:szCs w:val="15"/>
        </w:rPr>
        <w:t>其他公告</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理财产品在运作管理过程中，管理人根据实际运作情况发布的其他公告。</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第六条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投资者保护提示</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您如对销售机构产品推介和销售等服务有任何意见或建议，您可通过拨打销售机构客</w:t>
      </w:r>
      <w:proofErr w:type="gramStart"/>
      <w:r>
        <w:rPr>
          <w:rFonts w:hAnsi="方正黑体_GBK" w:cs="方正黑体_GBK" w:hint="eastAsia"/>
          <w:color w:val="3D3D3D"/>
          <w:kern w:val="0"/>
          <w:sz w:val="15"/>
          <w:szCs w:val="15"/>
        </w:rPr>
        <w:t>服电话</w:t>
      </w:r>
      <w:proofErr w:type="gramEnd"/>
      <w:r>
        <w:rPr>
          <w:rFonts w:hAnsi="方正黑体_GBK" w:cs="方正黑体_GBK" w:hint="eastAsia"/>
          <w:color w:val="3D3D3D"/>
          <w:kern w:val="0"/>
          <w:sz w:val="15"/>
          <w:szCs w:val="15"/>
        </w:rPr>
        <w:t>进行咨询及反馈。</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您如对理财产品设计、投资管理等事项有任何意见或建议，您可通过拨打管理人客</w:t>
      </w:r>
      <w:proofErr w:type="gramStart"/>
      <w:r>
        <w:rPr>
          <w:rFonts w:hAnsi="方正黑体_GBK" w:cs="方正黑体_GBK" w:hint="eastAsia"/>
          <w:color w:val="3D3D3D"/>
          <w:kern w:val="0"/>
          <w:sz w:val="15"/>
          <w:szCs w:val="15"/>
        </w:rPr>
        <w:t>服电话</w:t>
      </w:r>
      <w:proofErr w:type="gramEnd"/>
      <w:r>
        <w:rPr>
          <w:rFonts w:hAnsi="方正黑体_GBK" w:cs="方正黑体_GBK" w:hint="eastAsia"/>
          <w:color w:val="3D3D3D"/>
          <w:kern w:val="0"/>
          <w:sz w:val="15"/>
          <w:szCs w:val="15"/>
        </w:rPr>
        <w:t>进行咨询及反馈。</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销售机构及管理人的联系方式详见《投资者权益须知》第八条。</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第七条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法律适用和争议解决</w:t>
      </w:r>
    </w:p>
    <w:p w:rsidR="00833B6B" w:rsidRDefault="00A3344E">
      <w:pPr>
        <w:pStyle w:val="Normalb8ede314"/>
        <w:widowControl/>
        <w:spacing w:line="200" w:lineRule="exact"/>
        <w:ind w:firstLine="300"/>
        <w:rPr>
          <w:rFonts w:hAnsi="方正黑体_GBK" w:cs="方正黑体_GBK"/>
          <w:color w:val="3D3D3D"/>
          <w:kern w:val="0"/>
          <w:sz w:val="15"/>
          <w:szCs w:val="15"/>
        </w:rPr>
      </w:pPr>
      <w:r>
        <w:rPr>
          <w:rFonts w:hAnsi="方正黑体_GBK" w:cs="方正黑体_GBK" w:hint="eastAsia"/>
          <w:color w:val="3D3D3D"/>
          <w:kern w:val="0"/>
          <w:sz w:val="15"/>
          <w:szCs w:val="15"/>
        </w:rPr>
        <w:t>理财产品销售文件的订立、生效、履行、解释、修改和终止等事项的适用法律和争议解决方式按照销售协议书的相关约定执行。</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第八条</w:t>
      </w:r>
      <w:r>
        <w:rPr>
          <w:rFonts w:hAnsi="方正黑体_GBK" w:cs="方正黑体_GBK" w:hint="eastAsia"/>
          <w:b/>
          <w:bCs/>
          <w:kern w:val="0"/>
          <w:sz w:val="15"/>
          <w:szCs w:val="15"/>
        </w:rPr>
        <w:t xml:space="preserve">  </w:t>
      </w:r>
      <w:r>
        <w:rPr>
          <w:rFonts w:hAnsi="方正黑体_GBK" w:cs="方正黑体_GBK" w:hint="eastAsia"/>
          <w:b/>
          <w:bCs/>
          <w:kern w:val="0"/>
          <w:sz w:val="15"/>
          <w:szCs w:val="15"/>
        </w:rPr>
        <w:t>重要提示</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lastRenderedPageBreak/>
        <w:t>请您一定仔细阅读本理财产品销售文件，了解理财产品具体情况，关注投资风险，自主决定是否投资。</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w:t>
      </w:r>
      <w:r>
        <w:rPr>
          <w:rFonts w:hAnsi="方正黑体_GBK" w:cs="方正黑体_GBK" w:hint="eastAsia"/>
          <w:b/>
          <w:bCs/>
          <w:kern w:val="0"/>
          <w:sz w:val="15"/>
          <w:szCs w:val="15"/>
        </w:rPr>
        <w:t>在办理与理财产品相关事项需要的情况下向服务机构及</w:t>
      </w:r>
      <w:r>
        <w:rPr>
          <w:rFonts w:hAnsi="方正黑体_GBK" w:cs="方正黑体_GBK" w:hint="eastAsia"/>
          <w:b/>
          <w:bCs/>
          <w:kern w:val="0"/>
          <w:sz w:val="15"/>
          <w:szCs w:val="15"/>
        </w:rPr>
        <w:t>其他管理人或销售机构认为必要的业务合作机构提供投资者相关信息。</w:t>
      </w:r>
      <w:r>
        <w:rPr>
          <w:rFonts w:hAnsi="方正黑体_GBK" w:cs="方正黑体_GBK" w:hint="eastAsia"/>
          <w:b/>
          <w:bCs/>
          <w:kern w:val="0"/>
          <w:sz w:val="15"/>
          <w:szCs w:val="15"/>
        </w:rPr>
        <w:t>管理人及销售机构保证信息采集、处理及使用的安全性和合法性</w:t>
      </w:r>
      <w:r>
        <w:rPr>
          <w:rFonts w:hAnsi="方正黑体_GBK" w:cs="方正黑体_GBK" w:hint="eastAsia"/>
          <w:b/>
          <w:bCs/>
          <w:kern w:val="0"/>
          <w:sz w:val="15"/>
          <w:szCs w:val="15"/>
        </w:rPr>
        <w:t>。</w:t>
      </w:r>
    </w:p>
    <w:p w:rsidR="00833B6B" w:rsidRDefault="00A3344E">
      <w:pPr>
        <w:pStyle w:val="Normalb8ede314"/>
        <w:widowControl/>
        <w:spacing w:line="200" w:lineRule="exact"/>
        <w:ind w:firstLineChars="200" w:firstLine="300"/>
        <w:rPr>
          <w:rFonts w:hAnsi="方正黑体_GBK" w:cs="方正黑体_GBK"/>
          <w:b/>
          <w:bCs/>
          <w:kern w:val="0"/>
          <w:sz w:val="15"/>
          <w:szCs w:val="15"/>
        </w:rPr>
      </w:pPr>
      <w:r>
        <w:rPr>
          <w:rFonts w:hAnsi="方正黑体_GBK" w:cs="方正黑体_GBK"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833B6B" w:rsidRDefault="00833B6B">
      <w:pPr>
        <w:pStyle w:val="Normalb8ede314"/>
        <w:widowControl/>
        <w:rPr>
          <w:rFonts w:hAnsi="方正黑体_GBK" w:cs="方正黑体_GBK"/>
          <w:b/>
          <w:bCs/>
          <w:color w:val="3D3D3D"/>
          <w:kern w:val="0"/>
          <w:sz w:val="15"/>
          <w:szCs w:val="15"/>
        </w:rPr>
      </w:pPr>
    </w:p>
    <w:p w:rsidR="00833B6B" w:rsidRDefault="00A3344E">
      <w:pPr>
        <w:pStyle w:val="Normalb8ede314"/>
        <w:widowControl/>
        <w:rPr>
          <w:rFonts w:hAnsi="方正黑体_GBK" w:cs="方正黑体_GBK"/>
          <w:b/>
          <w:bCs/>
          <w:color w:val="3D3D3D"/>
          <w:kern w:val="0"/>
          <w:sz w:val="15"/>
          <w:szCs w:val="15"/>
        </w:rPr>
      </w:pPr>
      <w:r>
        <w:rPr>
          <w:rFonts w:hAnsi="方正黑体_GBK" w:cs="方正黑体_GBK" w:hint="eastAsia"/>
          <w:b/>
          <w:bCs/>
          <w:color w:val="3D3D3D"/>
          <w:kern w:val="0"/>
          <w:sz w:val="15"/>
          <w:szCs w:val="15"/>
        </w:rPr>
        <w:t>风险提示：</w:t>
      </w:r>
    </w:p>
    <w:p w:rsidR="00833B6B" w:rsidRDefault="00A3344E">
      <w:pPr>
        <w:pStyle w:val="Normalb8ede314"/>
        <w:tabs>
          <w:tab w:val="left" w:pos="8033"/>
        </w:tabs>
        <w:jc w:val="left"/>
        <w:rPr>
          <w:rFonts w:hAnsi="方正黑体_GBK" w:cs="方正黑体_GBK"/>
          <w:b/>
          <w:bCs/>
          <w:color w:val="3D3D3D"/>
          <w:kern w:val="0"/>
          <w:sz w:val="15"/>
          <w:szCs w:val="15"/>
        </w:rPr>
      </w:pPr>
      <w:r>
        <w:rPr>
          <w:rFonts w:hAnsi="方正黑体_GBK" w:cs="方正黑体_GBK" w:hint="eastAsia"/>
          <w:b/>
          <w:bCs/>
          <w:color w:val="3D3D3D"/>
          <w:kern w:val="0"/>
          <w:sz w:val="15"/>
          <w:szCs w:val="15"/>
        </w:rPr>
        <w:t>本理财产品是</w:t>
      </w:r>
      <w:r>
        <w:rPr>
          <w:rFonts w:hAnsi="方正黑体_GBK" w:cs="方正黑体_GBK" w:hint="eastAsia"/>
          <w:b/>
          <w:bCs/>
          <w:i/>
          <w:iCs/>
          <w:kern w:val="0"/>
          <w:sz w:val="20"/>
          <w:u w:val="single"/>
        </w:rPr>
        <w:t>开放式、固定收益类、公募、净值型</w:t>
      </w:r>
      <w:r>
        <w:rPr>
          <w:rFonts w:hAnsi="方正黑体_GBK" w:cs="方正黑体_GBK" w:hint="eastAsia"/>
          <w:b/>
          <w:bCs/>
          <w:color w:val="3D3D3D"/>
          <w:kern w:val="0"/>
          <w:sz w:val="15"/>
          <w:szCs w:val="15"/>
        </w:rPr>
        <w:t>理财产品，</w:t>
      </w:r>
      <w:r>
        <w:rPr>
          <w:rFonts w:hAnsi="方正黑体_GBK" w:cs="方正黑体_GBK" w:hint="eastAsia"/>
          <w:b/>
          <w:bCs/>
          <w:i/>
          <w:iCs/>
          <w:color w:val="3D3D3D"/>
          <w:kern w:val="0"/>
          <w:sz w:val="21"/>
          <w:szCs w:val="21"/>
          <w:u w:val="single"/>
        </w:rPr>
        <w:t>不保证本金和收益</w:t>
      </w:r>
      <w:r>
        <w:rPr>
          <w:rFonts w:hAnsi="方正黑体_GBK" w:cs="方正黑体_GBK"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574068" w:rsidRDefault="00574068" w:rsidP="00574068">
      <w:pPr>
        <w:pStyle w:val="1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Default="00574068" w:rsidP="00574068"/>
    <w:p w:rsidR="00574068" w:rsidRDefault="00574068" w:rsidP="00574068">
      <w:pPr>
        <w:pStyle w:val="1"/>
      </w:pPr>
    </w:p>
    <w:p w:rsidR="00574068" w:rsidRPr="00574068" w:rsidRDefault="00574068" w:rsidP="00574068">
      <w:pPr>
        <w:rPr>
          <w:rFonts w:hint="eastAsia"/>
        </w:rPr>
      </w:pPr>
      <w:bookmarkStart w:id="0" w:name="_GoBack"/>
      <w:bookmarkEnd w:id="0"/>
    </w:p>
    <w:p w:rsidR="00574068" w:rsidRDefault="00574068" w:rsidP="00574068">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574068" w:rsidRDefault="00574068" w:rsidP="00574068">
      <w:pPr>
        <w:ind w:firstLineChars="200" w:firstLine="320"/>
        <w:jc w:val="center"/>
        <w:rPr>
          <w:rFonts w:ascii="宋体" w:hAnsi="宋体"/>
          <w:b/>
          <w:i/>
          <w:sz w:val="16"/>
          <w:szCs w:val="15"/>
          <w:u w:val="single"/>
        </w:rPr>
      </w:pPr>
    </w:p>
    <w:p w:rsidR="00574068" w:rsidRDefault="00574068" w:rsidP="00574068">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574068" w:rsidRDefault="00574068" w:rsidP="00574068">
      <w:pPr>
        <w:pStyle w:val="a9"/>
        <w:spacing w:before="0" w:after="0" w:line="240" w:lineRule="auto"/>
        <w:ind w:firstLine="0"/>
        <w:rPr>
          <w:spacing w:val="10"/>
          <w:kern w:val="2"/>
          <w:sz w:val="15"/>
          <w:szCs w:val="15"/>
        </w:rPr>
      </w:pPr>
      <w:r>
        <w:rPr>
          <w:rFonts w:hint="eastAsia"/>
          <w:spacing w:val="10"/>
          <w:kern w:val="2"/>
          <w:sz w:val="15"/>
          <w:szCs w:val="15"/>
        </w:rPr>
        <w:t>尊敬的投资者：</w:t>
      </w:r>
    </w:p>
    <w:p w:rsidR="00574068" w:rsidRDefault="00574068" w:rsidP="00574068">
      <w:pPr>
        <w:pStyle w:val="a9"/>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74068" w:rsidRDefault="00574068" w:rsidP="00574068">
      <w:pPr>
        <w:pStyle w:val="a9"/>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574068" w:rsidRDefault="00574068" w:rsidP="00574068">
      <w:pPr>
        <w:pStyle w:val="a9"/>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574068" w:rsidRDefault="00574068" w:rsidP="00574068">
      <w:pPr>
        <w:pStyle w:val="a9"/>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574068" w:rsidRDefault="00574068" w:rsidP="00574068">
      <w:pPr>
        <w:pStyle w:val="a9"/>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574068" w:rsidRDefault="00574068" w:rsidP="00574068">
      <w:pPr>
        <w:pStyle w:val="a9"/>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574068" w:rsidRDefault="00574068" w:rsidP="00574068">
      <w:pPr>
        <w:pStyle w:val="a9"/>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574068" w:rsidRDefault="00574068" w:rsidP="00574068">
      <w:pPr>
        <w:pStyle w:val="a9"/>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574068" w:rsidRDefault="00574068" w:rsidP="00574068">
      <w:pPr>
        <w:pStyle w:val="a9"/>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574068" w:rsidRDefault="00574068" w:rsidP="00574068">
      <w:pPr>
        <w:pStyle w:val="a9"/>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574068" w:rsidRDefault="00574068" w:rsidP="00574068">
      <w:pPr>
        <w:pStyle w:val="a9"/>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574068" w:rsidRDefault="00574068" w:rsidP="00574068">
      <w:pPr>
        <w:pStyle w:val="a9"/>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74068" w:rsidRDefault="00574068" w:rsidP="0057406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574068" w:rsidRDefault="00574068" w:rsidP="00574068">
      <w:pPr>
        <w:pStyle w:val="a9"/>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574068" w:rsidRDefault="00574068" w:rsidP="00574068">
      <w:pPr>
        <w:pStyle w:val="a9"/>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574068" w:rsidRDefault="00574068" w:rsidP="00574068">
      <w:pPr>
        <w:pStyle w:val="a9"/>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574068" w:rsidRDefault="00574068" w:rsidP="00574068">
      <w:pPr>
        <w:pStyle w:val="a9"/>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74068" w:rsidRDefault="00574068" w:rsidP="00574068">
      <w:pPr>
        <w:pStyle w:val="a9"/>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574068" w:rsidRDefault="00574068" w:rsidP="00574068">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574068" w:rsidRDefault="00574068" w:rsidP="00574068">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574068" w:rsidRDefault="00574068" w:rsidP="00574068">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574068" w:rsidRDefault="00574068" w:rsidP="00574068">
      <w:pPr>
        <w:pStyle w:val="a9"/>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574068" w:rsidRDefault="00574068" w:rsidP="00574068">
      <w:pPr>
        <w:pStyle w:val="a9"/>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574068" w:rsidRPr="009807FC" w:rsidRDefault="00574068" w:rsidP="00574068">
      <w:pPr>
        <w:pStyle w:val="a9"/>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574068" w:rsidRPr="009807FC" w:rsidRDefault="00574068" w:rsidP="00574068">
      <w:pPr>
        <w:pStyle w:val="a9"/>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574068" w:rsidRPr="009807FC" w:rsidRDefault="00574068" w:rsidP="00574068">
      <w:pPr>
        <w:pStyle w:val="a9"/>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574068" w:rsidRPr="009807FC" w:rsidRDefault="00574068" w:rsidP="00574068">
      <w:pPr>
        <w:pStyle w:val="a9"/>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574068" w:rsidRPr="009807FC" w:rsidRDefault="00574068" w:rsidP="00574068">
      <w:pPr>
        <w:pStyle w:val="a9"/>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574068" w:rsidRPr="009807FC" w:rsidRDefault="00574068" w:rsidP="00574068">
      <w:pPr>
        <w:pStyle w:val="a9"/>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574068" w:rsidRDefault="00574068" w:rsidP="00574068">
      <w:pPr>
        <w:pStyle w:val="a9"/>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574068" w:rsidRDefault="00574068" w:rsidP="00574068">
      <w:pPr>
        <w:pStyle w:val="a9"/>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574068" w:rsidRDefault="00574068" w:rsidP="00574068">
      <w:pPr>
        <w:pStyle w:val="a9"/>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574068" w:rsidRDefault="00574068" w:rsidP="00574068">
      <w:pPr>
        <w:pStyle w:val="a9"/>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574068" w:rsidRDefault="00574068" w:rsidP="00574068">
      <w:pPr>
        <w:pStyle w:val="a9"/>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574068" w:rsidRDefault="00574068" w:rsidP="00574068">
      <w:pPr>
        <w:pStyle w:val="a9"/>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574068" w:rsidRDefault="00574068" w:rsidP="00574068">
      <w:pPr>
        <w:pStyle w:val="a9"/>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574068" w:rsidRDefault="00574068" w:rsidP="00574068">
      <w:pPr>
        <w:pStyle w:val="a9"/>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574068" w:rsidRDefault="00574068" w:rsidP="00574068">
      <w:pPr>
        <w:pStyle w:val="a9"/>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574068" w:rsidRDefault="00574068" w:rsidP="00574068">
      <w:pPr>
        <w:pStyle w:val="a9"/>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574068" w:rsidRDefault="00574068" w:rsidP="00574068">
      <w:pPr>
        <w:pStyle w:val="a9"/>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74068" w:rsidRDefault="00574068" w:rsidP="00574068">
      <w:pPr>
        <w:pStyle w:val="a9"/>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574068" w:rsidRDefault="00574068" w:rsidP="00574068">
      <w:pPr>
        <w:pStyle w:val="a9"/>
        <w:spacing w:before="0" w:after="0" w:line="240" w:lineRule="auto"/>
        <w:ind w:firstLineChars="198" w:firstLine="338"/>
        <w:jc w:val="both"/>
        <w:rPr>
          <w:b/>
          <w:bCs/>
          <w:spacing w:val="10"/>
          <w:kern w:val="2"/>
          <w:sz w:val="15"/>
          <w:szCs w:val="15"/>
        </w:rPr>
      </w:pPr>
    </w:p>
    <w:p w:rsidR="00574068" w:rsidRDefault="00574068" w:rsidP="00574068">
      <w:pPr>
        <w:pStyle w:val="a9"/>
        <w:spacing w:before="0" w:after="0" w:line="240" w:lineRule="auto"/>
        <w:ind w:firstLineChars="198" w:firstLine="338"/>
        <w:jc w:val="both"/>
        <w:rPr>
          <w:b/>
          <w:bCs/>
          <w:spacing w:val="10"/>
          <w:kern w:val="2"/>
          <w:sz w:val="15"/>
          <w:szCs w:val="15"/>
        </w:rPr>
      </w:pPr>
    </w:p>
    <w:p w:rsidR="00574068" w:rsidRDefault="00574068" w:rsidP="00574068">
      <w:pPr>
        <w:pStyle w:val="a9"/>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574068" w:rsidTr="00FF25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574068" w:rsidTr="00FF25D9">
        <w:trPr>
          <w:trHeight w:val="735"/>
          <w:jc w:val="center"/>
        </w:trPr>
        <w:tc>
          <w:tcPr>
            <w:tcW w:w="1866" w:type="dxa"/>
            <w:vMerge/>
            <w:tcBorders>
              <w:left w:val="single" w:sz="4" w:space="0" w:color="auto"/>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574068" w:rsidTr="00FF25D9">
        <w:trPr>
          <w:trHeight w:val="270"/>
          <w:jc w:val="center"/>
        </w:trPr>
        <w:tc>
          <w:tcPr>
            <w:tcW w:w="1866" w:type="dxa"/>
            <w:tcBorders>
              <w:top w:val="nil"/>
              <w:left w:val="single" w:sz="4" w:space="0" w:color="auto"/>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r>
      <w:tr w:rsidR="00574068"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74068" w:rsidRDefault="00574068" w:rsidP="00FF25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r>
      <w:tr w:rsidR="00574068"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74068" w:rsidRDefault="00574068" w:rsidP="00FF25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r>
      <w:tr w:rsidR="00574068"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r>
      <w:tr w:rsidR="00574068"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74068" w:rsidRDefault="00574068" w:rsidP="00FF25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74068" w:rsidRDefault="00574068" w:rsidP="00FF25D9">
            <w:pPr>
              <w:widowControl/>
              <w:snapToGrid w:val="0"/>
              <w:jc w:val="center"/>
              <w:rPr>
                <w:rFonts w:ascii="宋体" w:hAnsi="宋体" w:cs="宋体"/>
                <w:kern w:val="0"/>
                <w:sz w:val="15"/>
                <w:szCs w:val="15"/>
              </w:rPr>
            </w:pPr>
            <w:r>
              <w:rPr>
                <w:rFonts w:hint="eastAsia"/>
                <w:spacing w:val="10"/>
                <w:sz w:val="15"/>
                <w:szCs w:val="15"/>
              </w:rPr>
              <w:t>×</w:t>
            </w:r>
          </w:p>
        </w:tc>
      </w:tr>
    </w:tbl>
    <w:p w:rsidR="00574068" w:rsidRDefault="00574068" w:rsidP="00574068">
      <w:pPr>
        <w:pStyle w:val="a9"/>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574068" w:rsidRDefault="00574068" w:rsidP="00574068">
      <w:pPr>
        <w:pStyle w:val="a9"/>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574068" w:rsidRDefault="00574068" w:rsidP="00574068">
      <w:pPr>
        <w:pStyle w:val="a9"/>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574068" w:rsidRDefault="00574068" w:rsidP="00574068">
      <w:pPr>
        <w:pStyle w:val="a9"/>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574068" w:rsidRDefault="00574068" w:rsidP="00574068">
      <w:pPr>
        <w:pStyle w:val="a9"/>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574068" w:rsidRDefault="00574068" w:rsidP="00574068">
      <w:pPr>
        <w:pStyle w:val="a9"/>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574068" w:rsidRDefault="00574068" w:rsidP="00574068">
      <w:pPr>
        <w:pStyle w:val="a9"/>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574068" w:rsidRDefault="00574068" w:rsidP="00574068">
      <w:pPr>
        <w:pStyle w:val="a9"/>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574068" w:rsidRDefault="00574068" w:rsidP="00574068">
      <w:pPr>
        <w:pStyle w:val="a9"/>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574068" w:rsidRDefault="00574068" w:rsidP="00574068">
      <w:pPr>
        <w:pStyle w:val="a9"/>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574068" w:rsidRDefault="00574068" w:rsidP="00574068">
      <w:pPr>
        <w:pStyle w:val="a9"/>
        <w:spacing w:before="0" w:after="0" w:line="240" w:lineRule="auto"/>
        <w:ind w:firstLineChars="200" w:firstLine="341"/>
        <w:rPr>
          <w:b/>
          <w:spacing w:val="10"/>
          <w:kern w:val="2"/>
          <w:sz w:val="15"/>
          <w:szCs w:val="15"/>
        </w:rPr>
      </w:pPr>
    </w:p>
    <w:p w:rsidR="00574068" w:rsidRDefault="00574068" w:rsidP="00574068">
      <w:pPr>
        <w:pStyle w:val="a9"/>
        <w:spacing w:before="0" w:after="0" w:line="240" w:lineRule="auto"/>
        <w:ind w:firstLine="0"/>
        <w:jc w:val="both"/>
        <w:rPr>
          <w:b/>
          <w:spacing w:val="10"/>
          <w:kern w:val="2"/>
          <w:sz w:val="15"/>
          <w:szCs w:val="15"/>
          <w:u w:val="single"/>
        </w:rPr>
      </w:pPr>
    </w:p>
    <w:p w:rsidR="00574068" w:rsidRDefault="00574068" w:rsidP="00574068">
      <w:pPr>
        <w:pStyle w:val="a9"/>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574068" w:rsidRDefault="00574068" w:rsidP="00574068">
      <w:pPr>
        <w:ind w:firstLineChars="200" w:firstLine="340"/>
        <w:rPr>
          <w:b/>
          <w:spacing w:val="10"/>
          <w:sz w:val="15"/>
          <w:szCs w:val="15"/>
          <w:u w:val="single"/>
        </w:rPr>
        <w:sectPr w:rsidR="0057406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r>
        <w:rPr>
          <w:rFonts w:eastAsia="黑体"/>
          <w:b/>
          <w:bCs/>
          <w:sz w:val="24"/>
          <w:szCs w:val="15"/>
        </w:rPr>
        <w:t>理财产品销售协议书</w:t>
      </w: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p>
    <w:p w:rsidR="00574068" w:rsidRDefault="00574068" w:rsidP="00574068">
      <w:pPr>
        <w:tabs>
          <w:tab w:val="left" w:pos="0"/>
        </w:tabs>
        <w:jc w:val="center"/>
      </w:pPr>
      <w:r>
        <w:t>编制单位：</w:t>
      </w:r>
      <w:r>
        <w:rPr>
          <w:u w:val="single"/>
        </w:rPr>
        <w:t>南银理财有限责任公司</w:t>
      </w:r>
    </w:p>
    <w:p w:rsidR="00574068" w:rsidRDefault="00574068" w:rsidP="0057406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574068" w:rsidRDefault="00574068" w:rsidP="00574068">
      <w:pPr>
        <w:adjustRightInd w:val="0"/>
        <w:snapToGrid w:val="0"/>
        <w:spacing w:line="0" w:lineRule="atLeast"/>
        <w:rPr>
          <w:b/>
          <w:bCs/>
        </w:rPr>
      </w:pPr>
      <w:r>
        <w:rPr>
          <w:b/>
          <w:bCs/>
        </w:rPr>
        <w:lastRenderedPageBreak/>
        <w:t>风险提示：</w:t>
      </w:r>
    </w:p>
    <w:p w:rsidR="00574068" w:rsidRDefault="00574068" w:rsidP="0057406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574068" w:rsidRDefault="00574068" w:rsidP="00574068">
      <w:pPr>
        <w:tabs>
          <w:tab w:val="left" w:pos="7920"/>
          <w:tab w:val="left" w:pos="8100"/>
        </w:tabs>
        <w:spacing w:line="0" w:lineRule="atLeast"/>
        <w:rPr>
          <w:b/>
          <w:bCs/>
        </w:rPr>
      </w:pPr>
    </w:p>
    <w:p w:rsidR="00574068" w:rsidRDefault="00574068" w:rsidP="00574068">
      <w:pPr>
        <w:spacing w:line="0" w:lineRule="atLeast"/>
        <w:jc w:val="center"/>
        <w:rPr>
          <w:rFonts w:eastAsia="黑体"/>
          <w:b/>
          <w:bCs/>
          <w:sz w:val="24"/>
          <w:szCs w:val="15"/>
        </w:rPr>
      </w:pPr>
    </w:p>
    <w:p w:rsidR="00574068" w:rsidRDefault="00574068" w:rsidP="00574068">
      <w:pPr>
        <w:spacing w:line="0" w:lineRule="atLeast"/>
        <w:jc w:val="center"/>
        <w:rPr>
          <w:rFonts w:eastAsia="黑体"/>
          <w:b/>
          <w:bCs/>
          <w:sz w:val="24"/>
          <w:szCs w:val="15"/>
        </w:rPr>
      </w:pPr>
      <w:r>
        <w:rPr>
          <w:rFonts w:eastAsia="黑体"/>
          <w:b/>
          <w:bCs/>
          <w:sz w:val="24"/>
          <w:szCs w:val="15"/>
        </w:rPr>
        <w:t>理财产品销售协议书</w:t>
      </w:r>
    </w:p>
    <w:p w:rsidR="00574068" w:rsidRDefault="00574068" w:rsidP="00574068">
      <w:pPr>
        <w:spacing w:line="200" w:lineRule="exact"/>
        <w:ind w:firstLineChars="200" w:firstLine="300"/>
        <w:rPr>
          <w:rFonts w:eastAsia="方正细黑一简体"/>
          <w:sz w:val="15"/>
          <w:szCs w:val="15"/>
        </w:rPr>
      </w:pPr>
    </w:p>
    <w:p w:rsidR="00574068" w:rsidRDefault="00574068" w:rsidP="0057406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574068" w:rsidRDefault="00574068" w:rsidP="00574068">
      <w:pPr>
        <w:numPr>
          <w:ilvl w:val="0"/>
          <w:numId w:val="6"/>
        </w:numPr>
        <w:spacing w:line="200" w:lineRule="exact"/>
        <w:ind w:firstLineChars="200" w:firstLine="340"/>
        <w:rPr>
          <w:b/>
          <w:bCs/>
          <w:spacing w:val="10"/>
          <w:sz w:val="15"/>
          <w:szCs w:val="15"/>
        </w:rPr>
      </w:pPr>
      <w:r>
        <w:rPr>
          <w:b/>
          <w:bCs/>
          <w:spacing w:val="10"/>
          <w:sz w:val="15"/>
          <w:szCs w:val="15"/>
        </w:rPr>
        <w:t>名词释义</w:t>
      </w:r>
    </w:p>
    <w:p w:rsidR="00574068" w:rsidRDefault="00574068" w:rsidP="00574068">
      <w:pPr>
        <w:pStyle w:val="13"/>
        <w:ind w:firstLine="340"/>
        <w:rPr>
          <w:spacing w:val="10"/>
          <w:sz w:val="15"/>
          <w:szCs w:val="15"/>
        </w:rPr>
      </w:pPr>
      <w:r>
        <w:rPr>
          <w:spacing w:val="10"/>
          <w:sz w:val="15"/>
          <w:szCs w:val="15"/>
        </w:rPr>
        <w:t>本协议项下用词与对应期次的《理财产品说明书》中相关用词含义一致，本协议另有说明的除外。</w:t>
      </w:r>
    </w:p>
    <w:p w:rsidR="00574068" w:rsidRDefault="00574068" w:rsidP="00574068">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574068" w:rsidRDefault="00574068" w:rsidP="0057406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574068" w:rsidRDefault="00574068" w:rsidP="00574068">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574068" w:rsidRDefault="00574068" w:rsidP="0057406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574068" w:rsidRDefault="00574068" w:rsidP="0057406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574068" w:rsidRDefault="00574068" w:rsidP="0057406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574068" w:rsidRDefault="00574068" w:rsidP="0057406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574068" w:rsidRDefault="00574068" w:rsidP="0057406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574068" w:rsidRDefault="00574068" w:rsidP="00574068">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574068" w:rsidRDefault="00574068" w:rsidP="00574068">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574068" w:rsidRDefault="00574068" w:rsidP="00574068">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574068" w:rsidRDefault="00574068" w:rsidP="0057406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574068" w:rsidRDefault="00574068" w:rsidP="0057406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574068" w:rsidRDefault="00574068" w:rsidP="0057406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574068" w:rsidRDefault="00574068" w:rsidP="0057406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574068" w:rsidRDefault="00574068" w:rsidP="0057406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574068" w:rsidRDefault="00574068" w:rsidP="0057406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574068" w:rsidRDefault="00574068" w:rsidP="0057406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574068" w:rsidRDefault="00574068" w:rsidP="0057406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574068" w:rsidRDefault="00574068" w:rsidP="0057406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574068" w:rsidRDefault="00574068" w:rsidP="0057406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574068" w:rsidRDefault="00574068" w:rsidP="0057406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574068" w:rsidRDefault="00574068" w:rsidP="00574068">
      <w:pPr>
        <w:pStyle w:val="a3"/>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574068" w:rsidRDefault="00574068" w:rsidP="00574068">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574068" w:rsidRDefault="00574068" w:rsidP="0057406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574068" w:rsidRDefault="00574068" w:rsidP="0057406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74068" w:rsidRDefault="00574068" w:rsidP="0057406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574068" w:rsidRDefault="00574068" w:rsidP="00574068">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74068" w:rsidRDefault="00574068" w:rsidP="00574068">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74068" w:rsidRDefault="00574068" w:rsidP="0057406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574068" w:rsidRDefault="00574068" w:rsidP="00574068">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574068" w:rsidRDefault="00574068" w:rsidP="0057406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574068" w:rsidRDefault="00574068" w:rsidP="0057406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574068" w:rsidRDefault="00574068" w:rsidP="0057406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574068" w:rsidRDefault="00574068" w:rsidP="0057406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574068" w:rsidRDefault="00574068" w:rsidP="0057406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574068" w:rsidRDefault="00574068" w:rsidP="00574068">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574068" w:rsidRDefault="00574068" w:rsidP="0057406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574068" w:rsidRDefault="00574068" w:rsidP="00574068">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574068" w:rsidRDefault="00574068" w:rsidP="0057406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574068" w:rsidRDefault="00574068" w:rsidP="00574068">
      <w:pPr>
        <w:pStyle w:val="13"/>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574068" w:rsidRDefault="00574068" w:rsidP="00574068">
      <w:pPr>
        <w:pStyle w:val="13"/>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574068" w:rsidRDefault="00574068" w:rsidP="00574068">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574068" w:rsidRDefault="00574068" w:rsidP="0057406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lastRenderedPageBreak/>
        <w:t>因不可抗力等原因，导致管理人无法及时收回资金及/或进行理财资金清算分配的；</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其他管理人认为需要延期的情形；</w:t>
      </w:r>
    </w:p>
    <w:p w:rsidR="00574068" w:rsidRDefault="00574068" w:rsidP="00574068">
      <w:pPr>
        <w:pStyle w:val="13"/>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574068" w:rsidRDefault="00574068" w:rsidP="0057406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574068" w:rsidRDefault="00574068" w:rsidP="00574068">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74068" w:rsidRDefault="00574068" w:rsidP="00574068">
      <w:pPr>
        <w:spacing w:line="200" w:lineRule="exact"/>
        <w:ind w:firstLineChars="200" w:firstLine="340"/>
        <w:rPr>
          <w:b/>
          <w:spacing w:val="10"/>
          <w:sz w:val="15"/>
          <w:szCs w:val="15"/>
        </w:rPr>
      </w:pPr>
      <w:r>
        <w:rPr>
          <w:rFonts w:hint="eastAsia"/>
          <w:b/>
          <w:spacing w:val="10"/>
          <w:sz w:val="15"/>
          <w:szCs w:val="15"/>
        </w:rPr>
        <w:t xml:space="preserve">7.产品资产的清算 </w:t>
      </w:r>
    </w:p>
    <w:p w:rsidR="00574068" w:rsidRDefault="00574068" w:rsidP="0057406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574068" w:rsidRDefault="00574068" w:rsidP="0057406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574068" w:rsidRDefault="00574068" w:rsidP="00574068">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574068" w:rsidRDefault="00574068" w:rsidP="00574068">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574068" w:rsidRDefault="00574068" w:rsidP="00574068">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574068" w:rsidRDefault="00574068" w:rsidP="00574068">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74068" w:rsidRPr="00996FE5" w:rsidRDefault="00574068" w:rsidP="00574068">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574068" w:rsidRPr="00996FE5" w:rsidRDefault="00574068" w:rsidP="00574068">
      <w:pPr>
        <w:pStyle w:val="13"/>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574068" w:rsidRPr="00996FE5" w:rsidRDefault="00574068" w:rsidP="00574068">
      <w:pPr>
        <w:pStyle w:val="13"/>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574068" w:rsidRPr="00996FE5" w:rsidRDefault="00574068" w:rsidP="00574068">
      <w:pPr>
        <w:pStyle w:val="13"/>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574068" w:rsidRPr="00996FE5" w:rsidRDefault="00574068" w:rsidP="00574068">
      <w:pPr>
        <w:pStyle w:val="13"/>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574068" w:rsidRDefault="00574068" w:rsidP="0057406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574068" w:rsidRDefault="00574068" w:rsidP="0057406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574068" w:rsidRDefault="00574068" w:rsidP="0057406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574068" w:rsidRDefault="00574068" w:rsidP="0057406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574068" w:rsidRDefault="00574068" w:rsidP="00574068">
      <w:pPr>
        <w:pStyle w:val="13"/>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574068" w:rsidRDefault="00574068" w:rsidP="00574068">
      <w:pPr>
        <w:pStyle w:val="13"/>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574068" w:rsidRDefault="00574068" w:rsidP="00574068">
      <w:pPr>
        <w:numPr>
          <w:ilvl w:val="0"/>
          <w:numId w:val="12"/>
        </w:numPr>
        <w:spacing w:line="200" w:lineRule="exact"/>
        <w:ind w:firstLineChars="200" w:firstLine="340"/>
        <w:rPr>
          <w:spacing w:val="10"/>
          <w:sz w:val="15"/>
          <w:szCs w:val="15"/>
        </w:rPr>
      </w:pPr>
      <w:r>
        <w:rPr>
          <w:bCs/>
          <w:spacing w:val="10"/>
          <w:sz w:val="15"/>
          <w:szCs w:val="15"/>
        </w:rPr>
        <w:t>弃权</w:t>
      </w:r>
    </w:p>
    <w:p w:rsidR="00574068" w:rsidRDefault="00574068" w:rsidP="0057406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74068" w:rsidRDefault="00574068" w:rsidP="00574068">
      <w:pPr>
        <w:numPr>
          <w:ilvl w:val="0"/>
          <w:numId w:val="12"/>
        </w:numPr>
        <w:spacing w:line="200" w:lineRule="exact"/>
        <w:ind w:firstLineChars="200" w:firstLine="340"/>
        <w:rPr>
          <w:spacing w:val="10"/>
          <w:sz w:val="15"/>
          <w:szCs w:val="15"/>
        </w:rPr>
      </w:pPr>
      <w:r>
        <w:rPr>
          <w:spacing w:val="10"/>
          <w:sz w:val="15"/>
          <w:szCs w:val="15"/>
        </w:rPr>
        <w:t>可分割性</w:t>
      </w:r>
    </w:p>
    <w:p w:rsidR="00574068" w:rsidRDefault="00574068" w:rsidP="0057406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574068" w:rsidRDefault="00574068" w:rsidP="00574068">
      <w:pPr>
        <w:numPr>
          <w:ilvl w:val="0"/>
          <w:numId w:val="12"/>
        </w:numPr>
        <w:spacing w:line="200" w:lineRule="exact"/>
        <w:ind w:firstLineChars="200" w:firstLine="340"/>
        <w:rPr>
          <w:spacing w:val="10"/>
          <w:sz w:val="15"/>
          <w:szCs w:val="15"/>
        </w:rPr>
      </w:pPr>
      <w:r>
        <w:rPr>
          <w:spacing w:val="10"/>
          <w:sz w:val="15"/>
          <w:szCs w:val="15"/>
        </w:rPr>
        <w:t>税收条款</w:t>
      </w:r>
    </w:p>
    <w:p w:rsidR="00574068" w:rsidRDefault="00574068" w:rsidP="0057406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574068" w:rsidRDefault="00574068" w:rsidP="00574068">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574068" w:rsidRDefault="00574068" w:rsidP="0057406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574068" w:rsidRDefault="00574068" w:rsidP="00574068">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574068" w:rsidRDefault="00574068" w:rsidP="0057406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574068" w:rsidRDefault="00574068" w:rsidP="00574068">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w:t>
      </w:r>
      <w:r>
        <w:rPr>
          <w:spacing w:val="10"/>
          <w:sz w:val="15"/>
          <w:szCs w:val="15"/>
        </w:rPr>
        <w:lastRenderedPageBreak/>
        <w:t>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574068" w:rsidRDefault="00574068" w:rsidP="0057406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574068" w:rsidRDefault="00574068" w:rsidP="0057406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574068" w:rsidRDefault="00574068" w:rsidP="0057406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574068" w:rsidRDefault="00574068" w:rsidP="00574068">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74068" w:rsidRDefault="00574068" w:rsidP="00574068">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574068" w:rsidRDefault="00574068" w:rsidP="0057406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574068" w:rsidRDefault="00574068" w:rsidP="00574068">
      <w:pPr>
        <w:spacing w:line="200" w:lineRule="exact"/>
        <w:ind w:firstLineChars="200" w:firstLine="340"/>
        <w:rPr>
          <w:spacing w:val="10"/>
          <w:sz w:val="15"/>
          <w:szCs w:val="15"/>
        </w:rPr>
      </w:pPr>
    </w:p>
    <w:p w:rsidR="00574068" w:rsidRDefault="00574068" w:rsidP="0057406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574068" w:rsidTr="00FF25D9">
        <w:trPr>
          <w:jc w:val="center"/>
        </w:trPr>
        <w:tc>
          <w:tcPr>
            <w:tcW w:w="4812" w:type="dxa"/>
          </w:tcPr>
          <w:p w:rsidR="00574068" w:rsidRDefault="00574068" w:rsidP="00FF25D9">
            <w:pPr>
              <w:spacing w:line="200" w:lineRule="exact"/>
              <w:rPr>
                <w:spacing w:val="10"/>
                <w:sz w:val="15"/>
                <w:szCs w:val="15"/>
              </w:rPr>
            </w:pPr>
            <w:r>
              <w:rPr>
                <w:spacing w:val="10"/>
                <w:sz w:val="15"/>
                <w:szCs w:val="15"/>
              </w:rPr>
              <w:t>个人投资者（如适用）：</w:t>
            </w:r>
          </w:p>
        </w:tc>
        <w:tc>
          <w:tcPr>
            <w:tcW w:w="4713" w:type="dxa"/>
          </w:tcPr>
          <w:p w:rsidR="00574068" w:rsidRDefault="00574068" w:rsidP="00FF25D9">
            <w:pPr>
              <w:spacing w:line="200" w:lineRule="exact"/>
              <w:rPr>
                <w:spacing w:val="10"/>
                <w:sz w:val="15"/>
                <w:szCs w:val="15"/>
              </w:rPr>
            </w:pPr>
            <w:r>
              <w:rPr>
                <w:spacing w:val="10"/>
                <w:sz w:val="15"/>
                <w:szCs w:val="15"/>
              </w:rPr>
              <w:t>机构投资者（如适用）：</w:t>
            </w:r>
          </w:p>
        </w:tc>
      </w:tr>
      <w:tr w:rsidR="00574068" w:rsidTr="00FF25D9">
        <w:trPr>
          <w:jc w:val="center"/>
        </w:trPr>
        <w:tc>
          <w:tcPr>
            <w:tcW w:w="4812" w:type="dxa"/>
          </w:tcPr>
          <w:p w:rsidR="00574068" w:rsidRDefault="00574068" w:rsidP="00FF25D9">
            <w:pPr>
              <w:spacing w:line="200" w:lineRule="exact"/>
              <w:ind w:firstLineChars="200" w:firstLine="340"/>
              <w:rPr>
                <w:spacing w:val="10"/>
                <w:sz w:val="15"/>
                <w:szCs w:val="15"/>
              </w:rPr>
            </w:pPr>
          </w:p>
          <w:p w:rsidR="00574068" w:rsidRDefault="00574068" w:rsidP="00FF25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574068" w:rsidRDefault="00574068" w:rsidP="00FF25D9">
            <w:pPr>
              <w:spacing w:line="200" w:lineRule="exact"/>
              <w:ind w:firstLineChars="400" w:firstLine="680"/>
              <w:rPr>
                <w:spacing w:val="10"/>
                <w:sz w:val="15"/>
                <w:szCs w:val="15"/>
              </w:rPr>
            </w:pPr>
          </w:p>
          <w:p w:rsidR="00574068" w:rsidRDefault="00574068" w:rsidP="00FF25D9">
            <w:pPr>
              <w:spacing w:line="200" w:lineRule="exact"/>
              <w:ind w:firstLineChars="500" w:firstLine="850"/>
              <w:rPr>
                <w:spacing w:val="10"/>
                <w:sz w:val="15"/>
                <w:szCs w:val="15"/>
              </w:rPr>
            </w:pPr>
          </w:p>
          <w:p w:rsidR="00574068" w:rsidRDefault="00574068" w:rsidP="00FF25D9">
            <w:pPr>
              <w:spacing w:line="200" w:lineRule="exact"/>
              <w:ind w:firstLineChars="500" w:firstLine="850"/>
              <w:rPr>
                <w:spacing w:val="10"/>
                <w:sz w:val="15"/>
                <w:szCs w:val="15"/>
              </w:rPr>
            </w:pPr>
            <w:r>
              <w:rPr>
                <w:spacing w:val="10"/>
                <w:sz w:val="15"/>
                <w:szCs w:val="15"/>
              </w:rPr>
              <w:t>年月日</w:t>
            </w:r>
          </w:p>
        </w:tc>
        <w:tc>
          <w:tcPr>
            <w:tcW w:w="4713" w:type="dxa"/>
          </w:tcPr>
          <w:p w:rsidR="00574068" w:rsidRDefault="00574068" w:rsidP="00FF25D9">
            <w:pPr>
              <w:spacing w:line="200" w:lineRule="exact"/>
              <w:ind w:firstLineChars="200" w:firstLine="340"/>
              <w:rPr>
                <w:spacing w:val="10"/>
                <w:sz w:val="15"/>
                <w:szCs w:val="15"/>
              </w:rPr>
            </w:pPr>
          </w:p>
          <w:p w:rsidR="00574068" w:rsidRDefault="00574068" w:rsidP="00FF25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574068" w:rsidRDefault="00574068" w:rsidP="00FF25D9">
            <w:pPr>
              <w:spacing w:line="200" w:lineRule="exact"/>
              <w:rPr>
                <w:spacing w:val="10"/>
                <w:sz w:val="15"/>
                <w:szCs w:val="15"/>
              </w:rPr>
            </w:pPr>
          </w:p>
          <w:p w:rsidR="00574068" w:rsidRDefault="00574068" w:rsidP="00FF25D9">
            <w:pPr>
              <w:spacing w:line="200" w:lineRule="exact"/>
              <w:rPr>
                <w:spacing w:val="10"/>
                <w:sz w:val="15"/>
                <w:szCs w:val="15"/>
              </w:rPr>
            </w:pPr>
          </w:p>
          <w:p w:rsidR="00574068" w:rsidRDefault="00574068" w:rsidP="00FF25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574068" w:rsidRDefault="00574068" w:rsidP="00FF25D9">
            <w:pPr>
              <w:spacing w:line="200" w:lineRule="exact"/>
              <w:ind w:firstLineChars="400" w:firstLine="680"/>
              <w:rPr>
                <w:spacing w:val="10"/>
                <w:sz w:val="15"/>
                <w:szCs w:val="15"/>
              </w:rPr>
            </w:pPr>
          </w:p>
          <w:p w:rsidR="00574068" w:rsidRDefault="00574068" w:rsidP="00FF25D9">
            <w:pPr>
              <w:spacing w:line="200" w:lineRule="exact"/>
              <w:ind w:firstLineChars="400" w:firstLine="680"/>
              <w:rPr>
                <w:spacing w:val="10"/>
                <w:sz w:val="15"/>
                <w:szCs w:val="15"/>
              </w:rPr>
            </w:pPr>
            <w:r>
              <w:rPr>
                <w:spacing w:val="10"/>
                <w:sz w:val="15"/>
                <w:szCs w:val="15"/>
              </w:rPr>
              <w:t>年月日</w:t>
            </w:r>
          </w:p>
        </w:tc>
      </w:tr>
    </w:tbl>
    <w:p w:rsidR="00574068" w:rsidRDefault="00574068" w:rsidP="00574068">
      <w:pPr>
        <w:spacing w:line="200" w:lineRule="exact"/>
        <w:rPr>
          <w:spacing w:val="10"/>
          <w:sz w:val="15"/>
          <w:szCs w:val="15"/>
        </w:rPr>
      </w:pPr>
    </w:p>
    <w:p w:rsidR="00574068" w:rsidRDefault="00574068" w:rsidP="00574068">
      <w:pPr>
        <w:pStyle w:val="12"/>
        <w:spacing w:line="360" w:lineRule="auto"/>
        <w:ind w:firstLineChars="0" w:firstLine="0"/>
        <w:jc w:val="center"/>
        <w:sectPr w:rsidR="00574068">
          <w:headerReference w:type="default" r:id="rId7"/>
          <w:footerReference w:type="default" r:id="rId8"/>
          <w:pgSz w:w="11906" w:h="16838"/>
          <w:pgMar w:top="720" w:right="720" w:bottom="720" w:left="720" w:header="851" w:footer="992" w:gutter="0"/>
          <w:cols w:space="720"/>
          <w:docGrid w:type="lines" w:linePitch="312"/>
        </w:sectPr>
      </w:pPr>
    </w:p>
    <w:p w:rsidR="00574068" w:rsidRDefault="00574068" w:rsidP="0057406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经南银理财有限责任公司（下称“甲方”或“理财产品管理人”）与投资者（下称“乙方”）协商一致，就乙方购买的对应期次理财产品投资事宜，达成如下协议：</w:t>
      </w:r>
    </w:p>
    <w:p w:rsidR="00574068"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一、重要提示</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b/>
          <w:sz w:val="20"/>
        </w:rPr>
        <w:t>理财非存款、产品有风险、投资须谨慎。</w:t>
      </w:r>
      <w:r>
        <w:rPr>
          <w:rFonts w:ascii="宋体" w:hAnsi="宋体" w:cs="宋体" w:hint="eastAsia"/>
          <w:sz w:val="20"/>
        </w:rPr>
        <w:t>理财产品面临</w:t>
      </w:r>
      <w:r>
        <w:rPr>
          <w:rFonts w:ascii="宋体" w:hAnsi="宋体" w:cs="宋体"/>
          <w:sz w:val="20"/>
        </w:rPr>
        <w:t>的风险详见</w:t>
      </w:r>
      <w:r>
        <w:rPr>
          <w:rFonts w:ascii="宋体" w:hAnsi="宋体" w:cs="宋体" w:hint="eastAsia"/>
          <w:sz w:val="20"/>
        </w:rPr>
        <w:t>对应期次《理财产品风险揭示书》和《理财产品说明书》的详细条款，乙方</w:t>
      </w:r>
      <w:r>
        <w:rPr>
          <w:rFonts w:ascii="宋体" w:hAnsi="宋体" w:cs="宋体"/>
          <w:sz w:val="20"/>
        </w:rPr>
        <w:t>应</w:t>
      </w:r>
      <w:r>
        <w:rPr>
          <w:rFonts w:ascii="宋体" w:hAnsi="宋体" w:cs="宋体" w:hint="eastAsia"/>
          <w:sz w:val="20"/>
        </w:rPr>
        <w:t>仔细阅读并充分理解对应期次理财产品可能</w:t>
      </w:r>
      <w:r>
        <w:rPr>
          <w:rFonts w:ascii="宋体" w:hAnsi="宋体" w:cs="宋体"/>
          <w:sz w:val="20"/>
        </w:rPr>
        <w:t>发生的风险</w:t>
      </w:r>
      <w:r>
        <w:rPr>
          <w:rFonts w:ascii="宋体" w:hAnsi="宋体" w:cs="宋体" w:hint="eastAsia"/>
          <w:sz w:val="20"/>
        </w:rPr>
        <w:t>。</w:t>
      </w:r>
    </w:p>
    <w:p w:rsidR="00574068" w:rsidRPr="002C6027"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本协议为理财产品销售文件不可分割之组成部分，</w:t>
      </w:r>
      <w:proofErr w:type="gramStart"/>
      <w:r>
        <w:rPr>
          <w:rFonts w:ascii="宋体" w:hAnsi="宋体" w:cs="宋体" w:hint="eastAsia"/>
          <w:b/>
          <w:bCs/>
          <w:sz w:val="20"/>
        </w:rPr>
        <w:t>乙方签署</w:t>
      </w:r>
      <w:proofErr w:type="gramEnd"/>
      <w:r>
        <w:rPr>
          <w:rFonts w:ascii="宋体" w:hAnsi="宋体" w:cs="宋体" w:hint="eastAsia"/>
          <w:b/>
          <w:bCs/>
          <w:sz w:val="20"/>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rPr>
        <w:t>《理财产品销售（代理销售）协议书》</w:t>
      </w:r>
      <w:r>
        <w:rPr>
          <w:rFonts w:ascii="宋体" w:hAnsi="宋体" w:cs="宋体" w:hint="eastAsia"/>
          <w:b/>
          <w:bCs/>
          <w:sz w:val="20"/>
        </w:rPr>
        <w:t>及《投资者权益须知》等完整理财产品销售文件中的各项条款。</w:t>
      </w:r>
    </w:p>
    <w:p w:rsidR="00574068" w:rsidRDefault="00574068" w:rsidP="00574068">
      <w:pPr>
        <w:pStyle w:val="12"/>
        <w:spacing w:line="360" w:lineRule="auto"/>
        <w:ind w:firstLine="400"/>
        <w:rPr>
          <w:rFonts w:ascii="宋体" w:hAnsi="宋体" w:cs="宋体"/>
          <w:b/>
          <w:sz w:val="20"/>
        </w:rPr>
      </w:pPr>
      <w:r>
        <w:rPr>
          <w:rFonts w:ascii="宋体" w:hAnsi="宋体" w:cs="宋体" w:hint="eastAsia"/>
          <w:b/>
          <w:sz w:val="20"/>
        </w:rPr>
        <w:t>二、</w:t>
      </w:r>
      <w:r>
        <w:rPr>
          <w:rFonts w:ascii="宋体" w:hAnsi="宋体" w:cs="宋体"/>
          <w:b/>
          <w:sz w:val="20"/>
        </w:rPr>
        <w:t>双方权利与义务</w:t>
      </w:r>
    </w:p>
    <w:p w:rsidR="00574068" w:rsidRDefault="00574068" w:rsidP="00574068">
      <w:pPr>
        <w:pStyle w:val="12"/>
        <w:spacing w:line="360" w:lineRule="auto"/>
        <w:ind w:firstLine="400"/>
        <w:rPr>
          <w:rFonts w:ascii="宋体" w:hAnsi="宋体" w:cs="宋体"/>
          <w:sz w:val="20"/>
        </w:rPr>
      </w:pPr>
      <w:r>
        <w:rPr>
          <w:rFonts w:ascii="宋体" w:hAnsi="宋体" w:cs="宋体"/>
          <w:sz w:val="20"/>
        </w:rPr>
        <w:t>（</w:t>
      </w:r>
      <w:r>
        <w:rPr>
          <w:rFonts w:ascii="宋体" w:hAnsi="宋体" w:cs="宋体" w:hint="eastAsia"/>
          <w:sz w:val="20"/>
        </w:rPr>
        <w:t>一</w:t>
      </w:r>
      <w:r>
        <w:rPr>
          <w:rFonts w:ascii="宋体" w:hAnsi="宋体" w:cs="宋体"/>
          <w:sz w:val="20"/>
        </w:rPr>
        <w:t>）</w:t>
      </w:r>
      <w:r>
        <w:rPr>
          <w:rFonts w:ascii="宋体" w:hAnsi="宋体" w:cs="宋体" w:hint="eastAsia"/>
          <w:sz w:val="20"/>
        </w:rPr>
        <w:t>甲方的权利与义务</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1.</w:t>
      </w:r>
      <w:r>
        <w:rPr>
          <w:rFonts w:ascii="宋体" w:hAnsi="宋体" w:cs="宋体"/>
          <w:sz w:val="20"/>
        </w:rPr>
        <w:t>甲方应当履行恪尽职守、勤勉尽责、诚实守信、有效管理的义务。</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2.</w:t>
      </w:r>
      <w:r>
        <w:rPr>
          <w:rFonts w:ascii="宋体" w:hAnsi="宋体" w:cs="宋体" w:hint="eastAsia"/>
          <w:sz w:val="20"/>
        </w:rPr>
        <w:t>按照法律法规及</w:t>
      </w:r>
      <w:r>
        <w:rPr>
          <w:rFonts w:ascii="宋体" w:hAnsi="宋体" w:cs="宋体"/>
          <w:sz w:val="20"/>
        </w:rPr>
        <w:t>对应期次</w:t>
      </w:r>
      <w:r>
        <w:rPr>
          <w:rFonts w:ascii="宋体" w:hAnsi="宋体" w:cs="宋体" w:hint="eastAsia"/>
          <w:sz w:val="20"/>
        </w:rPr>
        <w:t>《理财产品说明书》</w:t>
      </w:r>
      <w:r>
        <w:rPr>
          <w:rFonts w:ascii="宋体" w:hAnsi="宋体" w:cs="宋体"/>
          <w:sz w:val="20"/>
        </w:rPr>
        <w:t>约定的投资范围和权限内，甲方拥有管理和运用理财资金的权利。</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3.</w:t>
      </w:r>
      <w:r>
        <w:rPr>
          <w:rFonts w:ascii="宋体" w:hAnsi="宋体" w:cs="宋体"/>
          <w:sz w:val="20"/>
        </w:rPr>
        <w:t>甲方应当按照对应期次</w:t>
      </w:r>
      <w:r>
        <w:rPr>
          <w:rFonts w:ascii="宋体" w:hAnsi="宋体" w:cs="宋体" w:hint="eastAsia"/>
          <w:sz w:val="20"/>
        </w:rPr>
        <w:t>《理财产品说明书》的</w:t>
      </w:r>
      <w:r>
        <w:rPr>
          <w:rFonts w:ascii="宋体" w:hAnsi="宋体" w:cs="宋体"/>
          <w:sz w:val="20"/>
        </w:rPr>
        <w:t>约定向</w:t>
      </w:r>
      <w:r>
        <w:rPr>
          <w:rFonts w:ascii="宋体" w:hAnsi="宋体" w:cs="宋体" w:hint="eastAsia"/>
          <w:sz w:val="20"/>
        </w:rPr>
        <w:t>乙方</w:t>
      </w:r>
      <w:r>
        <w:rPr>
          <w:rFonts w:ascii="宋体" w:hAnsi="宋体" w:cs="宋体"/>
          <w:sz w:val="20"/>
        </w:rPr>
        <w:t>分配收益</w:t>
      </w:r>
      <w:r>
        <w:rPr>
          <w:rFonts w:ascii="宋体" w:hAnsi="宋体" w:cs="宋体" w:hint="eastAsia"/>
          <w:sz w:val="20"/>
        </w:rPr>
        <w:t>。</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4.</w:t>
      </w:r>
      <w:r>
        <w:rPr>
          <w:rFonts w:ascii="宋体" w:hAnsi="宋体" w:cs="宋体" w:hint="eastAsia"/>
          <w:sz w:val="20"/>
        </w:rPr>
        <w:t>甲方</w:t>
      </w:r>
      <w:r>
        <w:rPr>
          <w:rFonts w:ascii="宋体" w:hAnsi="宋体" w:cs="宋体"/>
          <w:sz w:val="20"/>
        </w:rPr>
        <w:t>有权按照对应期次《理财产品说明书》的约定收取相应费用。</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5.</w:t>
      </w:r>
      <w:r>
        <w:rPr>
          <w:rFonts w:ascii="宋体" w:hAnsi="宋体" w:cs="宋体"/>
          <w:sz w:val="20"/>
        </w:rPr>
        <w:t>由于投资管理或者获取投资标的</w:t>
      </w:r>
      <w:proofErr w:type="gramStart"/>
      <w:r>
        <w:rPr>
          <w:rFonts w:ascii="宋体" w:hAnsi="宋体" w:cs="宋体"/>
          <w:sz w:val="20"/>
        </w:rPr>
        <w:t>的</w:t>
      </w:r>
      <w:proofErr w:type="gramEnd"/>
      <w:r>
        <w:rPr>
          <w:rFonts w:ascii="宋体" w:hAnsi="宋体" w:cs="宋体"/>
          <w:sz w:val="20"/>
        </w:rPr>
        <w:t>需要，甲方有权决定以理财产品财产支付</w:t>
      </w:r>
      <w:r>
        <w:rPr>
          <w:rFonts w:ascii="宋体" w:hAnsi="宋体" w:cs="宋体" w:hint="eastAsia"/>
          <w:sz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rPr>
        <w:t>，在实际发生时列支。</w:t>
      </w:r>
    </w:p>
    <w:p w:rsidR="00574068" w:rsidRDefault="00574068" w:rsidP="00574068">
      <w:pPr>
        <w:pStyle w:val="12"/>
        <w:spacing w:line="360" w:lineRule="auto"/>
        <w:ind w:firstLine="400"/>
        <w:rPr>
          <w:rFonts w:ascii="宋体" w:hAnsi="宋体" w:cs="宋体"/>
          <w:b/>
          <w:bCs/>
          <w:sz w:val="20"/>
        </w:rPr>
      </w:pPr>
      <w:r>
        <w:rPr>
          <w:rFonts w:ascii="宋体" w:hAnsi="宋体" w:cs="宋体" w:hint="eastAsia"/>
          <w:sz w:val="20"/>
        </w:rPr>
        <w:t>6.</w:t>
      </w:r>
      <w:r>
        <w:rPr>
          <w:rFonts w:ascii="宋体" w:hAnsi="宋体" w:cs="宋体" w:hint="eastAsia"/>
          <w:sz w:val="20"/>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w:t>
      </w:r>
      <w:r>
        <w:rPr>
          <w:rFonts w:ascii="宋体" w:hAnsi="宋体" w:cs="宋体" w:hint="eastAsia"/>
          <w:sz w:val="20"/>
        </w:rPr>
        <w:lastRenderedPageBreak/>
        <w:t>讼</w:t>
      </w:r>
      <w:r>
        <w:rPr>
          <w:rFonts w:ascii="宋体" w:hAnsi="宋体" w:cs="宋体" w:hint="eastAsia"/>
          <w:sz w:val="20"/>
        </w:rPr>
        <w:t>/</w:t>
      </w:r>
      <w:r>
        <w:rPr>
          <w:rFonts w:ascii="宋体" w:hAnsi="宋体" w:cs="宋体" w:hint="eastAsia"/>
          <w:sz w:val="20"/>
        </w:rPr>
        <w:t>仲裁、申请保全</w:t>
      </w:r>
      <w:r>
        <w:rPr>
          <w:rFonts w:ascii="宋体" w:hAnsi="宋体" w:cs="宋体" w:hint="eastAsia"/>
          <w:sz w:val="20"/>
        </w:rPr>
        <w:t>/</w:t>
      </w:r>
      <w:r>
        <w:rPr>
          <w:rFonts w:ascii="宋体" w:hAnsi="宋体" w:cs="宋体" w:hint="eastAsia"/>
          <w:sz w:val="20"/>
        </w:rPr>
        <w:t>执行等，由此产生的费用由理财产品承担，在实际发生时列支。</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7.</w:t>
      </w:r>
      <w:r>
        <w:rPr>
          <w:rFonts w:ascii="宋体" w:hAnsi="宋体" w:cs="宋体"/>
          <w:sz w:val="20"/>
        </w:rPr>
        <w:t>甲方有权根据产品运作的需要选任必要的业务合作机构</w:t>
      </w:r>
      <w:r>
        <w:rPr>
          <w:rFonts w:ascii="宋体" w:hAnsi="宋体" w:cs="宋体" w:hint="eastAsia"/>
          <w:sz w:val="20"/>
        </w:rPr>
        <w:t>，并确定合作模式等相关内容。</w:t>
      </w:r>
    </w:p>
    <w:p w:rsidR="00574068" w:rsidRDefault="00574068" w:rsidP="00574068">
      <w:pPr>
        <w:pStyle w:val="12"/>
        <w:spacing w:line="360" w:lineRule="auto"/>
        <w:ind w:firstLineChars="0" w:firstLine="440"/>
        <w:rPr>
          <w:rFonts w:ascii="宋体" w:hAnsi="宋体" w:cs="宋体"/>
          <w:b/>
          <w:bCs/>
          <w:sz w:val="20"/>
        </w:rPr>
      </w:pPr>
      <w:r>
        <w:rPr>
          <w:rFonts w:ascii="宋体" w:hAnsi="宋体" w:cs="宋体" w:hint="eastAsia"/>
          <w:sz w:val="20"/>
        </w:rPr>
        <w:t>8.</w:t>
      </w:r>
      <w:r>
        <w:rPr>
          <w:rFonts w:ascii="宋体" w:hAnsi="宋体" w:cs="宋体" w:hint="eastAsia"/>
          <w:b/>
          <w:bCs/>
          <w:sz w:val="20"/>
        </w:rPr>
        <w:t>在本理财产品存续期内：</w:t>
      </w:r>
    </w:p>
    <w:p w:rsidR="00574068" w:rsidRDefault="00574068" w:rsidP="00574068">
      <w:pPr>
        <w:pStyle w:val="12"/>
        <w:spacing w:line="360" w:lineRule="auto"/>
        <w:ind w:firstLineChars="0" w:firstLine="440"/>
        <w:rPr>
          <w:rFonts w:ascii="宋体" w:hAnsi="宋体" w:cs="宋体"/>
          <w:b/>
          <w:bCs/>
          <w:sz w:val="20"/>
        </w:rPr>
      </w:pPr>
      <w:r>
        <w:rPr>
          <w:rFonts w:ascii="宋体" w:hAnsi="宋体" w:cs="宋体" w:hint="eastAsia"/>
          <w:b/>
          <w:bCs/>
          <w:sz w:val="20"/>
        </w:rPr>
        <w:t>（</w:t>
      </w:r>
      <w:r>
        <w:rPr>
          <w:rFonts w:ascii="宋体" w:hAnsi="宋体" w:cs="宋体" w:hint="eastAsia"/>
          <w:b/>
          <w:bCs/>
          <w:sz w:val="20"/>
        </w:rPr>
        <w:t>1</w:t>
      </w:r>
      <w:r>
        <w:rPr>
          <w:rFonts w:ascii="宋体" w:hAnsi="宋体" w:cs="宋体" w:hint="eastAsia"/>
          <w:b/>
          <w:bCs/>
          <w:sz w:val="20"/>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74068" w:rsidRDefault="00574068" w:rsidP="00574068">
      <w:pPr>
        <w:pStyle w:val="12"/>
        <w:spacing w:line="360" w:lineRule="auto"/>
        <w:ind w:firstLineChars="0" w:firstLine="440"/>
        <w:rPr>
          <w:rFonts w:ascii="宋体" w:hAnsi="宋体" w:cs="宋体"/>
          <w:b/>
          <w:bCs/>
          <w:sz w:val="20"/>
        </w:rPr>
      </w:pPr>
      <w:r>
        <w:rPr>
          <w:rFonts w:ascii="宋体" w:hAnsi="宋体" w:cs="宋体" w:hint="eastAsia"/>
          <w:b/>
          <w:bCs/>
          <w:sz w:val="20"/>
        </w:rPr>
        <w:t>（</w:t>
      </w:r>
      <w:r>
        <w:rPr>
          <w:rFonts w:ascii="宋体" w:hAnsi="宋体" w:cs="宋体" w:hint="eastAsia"/>
          <w:b/>
          <w:bCs/>
          <w:sz w:val="20"/>
        </w:rPr>
        <w:t>2</w:t>
      </w:r>
      <w:r>
        <w:rPr>
          <w:rFonts w:ascii="宋体" w:hAnsi="宋体" w:cs="宋体" w:hint="eastAsia"/>
          <w:b/>
          <w:bCs/>
          <w:sz w:val="20"/>
        </w:rPr>
        <w:t>）若因市场情况等发生变化或是出于维护本理财产品正常运营或管理的需要，或基于甲方合理认定的其他情形，</w:t>
      </w:r>
      <w:r w:rsidRPr="002C6027">
        <w:rPr>
          <w:rFonts w:ascii="宋体" w:hAnsi="宋体" w:cs="宋体" w:hint="eastAsia"/>
          <w:b/>
          <w:bCs/>
          <w:sz w:val="20"/>
        </w:rPr>
        <w:t>且投资者无法发起赎回申请时，</w:t>
      </w:r>
      <w:r>
        <w:rPr>
          <w:rFonts w:ascii="宋体" w:hAnsi="宋体" w:cs="宋体" w:hint="eastAsia"/>
          <w:b/>
          <w:bCs/>
          <w:sz w:val="20"/>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rPr>
        <w:t>并通过短信及南银</w:t>
      </w:r>
      <w:proofErr w:type="gramStart"/>
      <w:r w:rsidRPr="002C6027">
        <w:rPr>
          <w:rFonts w:ascii="宋体" w:hAnsi="宋体" w:cs="宋体" w:hint="eastAsia"/>
          <w:b/>
          <w:bCs/>
          <w:sz w:val="20"/>
        </w:rPr>
        <w:t>理财官网等</w:t>
      </w:r>
      <w:proofErr w:type="gramEnd"/>
      <w:r w:rsidRPr="002C6027">
        <w:rPr>
          <w:rFonts w:ascii="宋体" w:hAnsi="宋体" w:cs="宋体" w:hint="eastAsia"/>
          <w:b/>
          <w:bCs/>
          <w:sz w:val="20"/>
        </w:rPr>
        <w:t>渠道进行信息披露。</w:t>
      </w:r>
      <w:r>
        <w:rPr>
          <w:rFonts w:ascii="宋体" w:hAnsi="宋体" w:cs="宋体" w:hint="eastAsia"/>
          <w:b/>
          <w:bCs/>
          <w:sz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74068" w:rsidRDefault="00574068" w:rsidP="00574068">
      <w:pPr>
        <w:pStyle w:val="12"/>
        <w:spacing w:line="360" w:lineRule="auto"/>
        <w:ind w:firstLineChars="0" w:firstLine="440"/>
        <w:rPr>
          <w:rFonts w:ascii="宋体" w:hAnsi="宋体" w:cs="宋体"/>
          <w:b/>
          <w:bCs/>
          <w:sz w:val="20"/>
        </w:rPr>
      </w:pPr>
      <w:r>
        <w:rPr>
          <w:rFonts w:ascii="宋体" w:hAnsi="宋体" w:cs="宋体" w:hint="eastAsia"/>
          <w:b/>
          <w:bCs/>
          <w:sz w:val="20"/>
        </w:rPr>
        <w:t>9.</w:t>
      </w:r>
      <w:r>
        <w:rPr>
          <w:rFonts w:ascii="宋体" w:hAnsi="宋体" w:cs="宋体" w:hint="eastAsia"/>
          <w:b/>
          <w:bCs/>
          <w:sz w:val="20"/>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10.</w:t>
      </w:r>
      <w:r>
        <w:rPr>
          <w:rFonts w:ascii="宋体" w:hAnsi="宋体" w:cs="宋体" w:hint="eastAsia"/>
          <w:sz w:val="20"/>
        </w:rPr>
        <w:t>法律法规规定或理财产品销售文件约定的其它权利及义务。</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（二）乙方的权利与义务</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1.</w:t>
      </w:r>
      <w:r>
        <w:rPr>
          <w:rFonts w:ascii="宋体" w:hAnsi="宋体" w:cs="宋体"/>
          <w:sz w:val="20"/>
        </w:rPr>
        <w:t>乙方保证具有完全民事行为能力，</w:t>
      </w:r>
      <w:r>
        <w:rPr>
          <w:rFonts w:ascii="宋体" w:hAnsi="宋体" w:cs="宋体" w:hint="eastAsia"/>
          <w:sz w:val="20"/>
        </w:rPr>
        <w:t>有完全适当的资格与能力订立并履行本协议。</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2.</w:t>
      </w:r>
      <w:r>
        <w:rPr>
          <w:rFonts w:ascii="宋体" w:hAnsi="宋体" w:cs="宋体"/>
          <w:sz w:val="20"/>
        </w:rPr>
        <w:t>乙方能够自行识别、判断和承担理财产品的相关风险；不存在法律法规、有权机关或主管机关禁止或限制</w:t>
      </w:r>
      <w:r>
        <w:rPr>
          <w:rFonts w:ascii="宋体" w:hAnsi="宋体" w:cs="宋体" w:hint="eastAsia"/>
          <w:sz w:val="20"/>
        </w:rPr>
        <w:t>购买</w:t>
      </w:r>
      <w:r>
        <w:rPr>
          <w:rFonts w:ascii="宋体" w:hAnsi="宋体" w:cs="宋体"/>
          <w:sz w:val="20"/>
        </w:rPr>
        <w:t>理财产品的各种情形。乙方按其</w:t>
      </w:r>
      <w:r>
        <w:rPr>
          <w:rFonts w:ascii="宋体" w:hAnsi="宋体" w:cs="宋体" w:hint="eastAsia"/>
          <w:sz w:val="20"/>
        </w:rPr>
        <w:t>购买</w:t>
      </w:r>
      <w:r>
        <w:rPr>
          <w:rFonts w:ascii="宋体" w:hAnsi="宋体" w:cs="宋体"/>
          <w:sz w:val="20"/>
        </w:rPr>
        <w:t>金额在</w:t>
      </w:r>
      <w:r>
        <w:rPr>
          <w:rFonts w:ascii="宋体" w:hAnsi="宋体" w:cs="宋体" w:hint="eastAsia"/>
          <w:sz w:val="20"/>
        </w:rPr>
        <w:t>对应期次</w:t>
      </w:r>
      <w:r>
        <w:rPr>
          <w:rFonts w:ascii="宋体" w:hAnsi="宋体" w:cs="宋体"/>
          <w:sz w:val="20"/>
        </w:rPr>
        <w:t>理财协议中享有相应的权利，承担相应的义务和风险。</w:t>
      </w:r>
    </w:p>
    <w:p w:rsidR="00574068" w:rsidRDefault="00574068" w:rsidP="00574068">
      <w:pPr>
        <w:pStyle w:val="12"/>
        <w:spacing w:line="360" w:lineRule="auto"/>
        <w:ind w:firstLine="400"/>
        <w:rPr>
          <w:rFonts w:ascii="宋体" w:hAnsi="宋体" w:cs="宋体"/>
          <w:sz w:val="20"/>
        </w:rPr>
      </w:pPr>
      <w:r>
        <w:rPr>
          <w:rFonts w:ascii="宋体" w:hAnsi="宋体" w:cs="宋体"/>
          <w:sz w:val="20"/>
        </w:rPr>
        <w:t>3</w:t>
      </w:r>
      <w:r>
        <w:rPr>
          <w:rFonts w:ascii="宋体" w:hAnsi="宋体" w:cs="宋体" w:hint="eastAsia"/>
          <w:sz w:val="20"/>
        </w:rPr>
        <w:t>.</w:t>
      </w:r>
      <w:r>
        <w:rPr>
          <w:rFonts w:ascii="宋体" w:hAnsi="宋体" w:cs="宋体"/>
          <w:sz w:val="20"/>
        </w:rPr>
        <w:t>乙方自愿</w:t>
      </w:r>
      <w:r>
        <w:rPr>
          <w:rFonts w:ascii="宋体" w:hAnsi="宋体" w:cs="宋体" w:hint="eastAsia"/>
          <w:sz w:val="20"/>
        </w:rPr>
        <w:t>购买</w:t>
      </w:r>
      <w:r>
        <w:rPr>
          <w:rFonts w:ascii="宋体" w:hAnsi="宋体" w:cs="宋体"/>
          <w:sz w:val="20"/>
        </w:rPr>
        <w:t>甲方管理的理财产品，接受甲方提供的投资理财服务。</w:t>
      </w:r>
      <w:r>
        <w:rPr>
          <w:rFonts w:ascii="宋体" w:hAnsi="宋体" w:cs="宋体" w:hint="eastAsia"/>
          <w:sz w:val="20"/>
        </w:rPr>
        <w:t>甲方向乙方提供的市场分析和预测（如有）仅供参考，乙方据此做出的任何决策均出于乙方自身的判断，甲方不承担任何责任。</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lastRenderedPageBreak/>
        <w:t>4.</w:t>
      </w:r>
      <w:r>
        <w:rPr>
          <w:rFonts w:ascii="宋体" w:hAnsi="宋体" w:cs="宋体"/>
          <w:sz w:val="20"/>
        </w:rPr>
        <w:t>乙方已仔细阅读</w:t>
      </w:r>
      <w:r>
        <w:rPr>
          <w:rFonts w:ascii="宋体" w:hAnsi="宋体" w:cs="宋体" w:hint="eastAsia"/>
          <w:sz w:val="20"/>
        </w:rPr>
        <w:t>《投资者权益须知》</w:t>
      </w:r>
      <w:r>
        <w:rPr>
          <w:rFonts w:ascii="宋体" w:hAnsi="宋体" w:cs="宋体"/>
          <w:sz w:val="20"/>
        </w:rPr>
        <w:t>《理财产品说明书》</w:t>
      </w:r>
      <w:r>
        <w:rPr>
          <w:rFonts w:ascii="宋体" w:hAnsi="宋体" w:cs="宋体" w:hint="eastAsia"/>
          <w:sz w:val="20"/>
        </w:rPr>
        <w:t>并清楚知晓其内容，接受并签署《理财产品风险揭示书》《</w:t>
      </w:r>
      <w:r>
        <w:rPr>
          <w:rFonts w:ascii="宋体" w:hAnsi="宋体" w:cs="宋体"/>
          <w:sz w:val="20"/>
        </w:rPr>
        <w:t>理财产品销售协议书》</w:t>
      </w:r>
      <w:r>
        <w:rPr>
          <w:rFonts w:ascii="宋体" w:hAnsi="宋体" w:cs="宋体" w:hint="eastAsia"/>
          <w:sz w:val="20"/>
        </w:rPr>
        <w:t>和本协议。</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5.</w:t>
      </w:r>
      <w:r>
        <w:rPr>
          <w:rFonts w:ascii="宋体" w:hAnsi="宋体" w:cs="宋体" w:hint="eastAsia"/>
          <w:sz w:val="20"/>
        </w:rPr>
        <w:t>乙方</w:t>
      </w:r>
      <w:r>
        <w:rPr>
          <w:rFonts w:ascii="宋体" w:hAnsi="宋体" w:cs="宋体"/>
          <w:sz w:val="20"/>
        </w:rPr>
        <w:t>已充分知悉</w:t>
      </w:r>
      <w:r>
        <w:rPr>
          <w:rFonts w:ascii="宋体" w:hAnsi="宋体" w:cs="宋体" w:hint="eastAsia"/>
          <w:sz w:val="20"/>
        </w:rPr>
        <w:t>对应期次</w:t>
      </w:r>
      <w:r>
        <w:rPr>
          <w:rFonts w:ascii="宋体" w:hAnsi="宋体" w:cs="宋体"/>
          <w:sz w:val="20"/>
        </w:rPr>
        <w:t>理财产品风险等级</w:t>
      </w:r>
      <w:r>
        <w:rPr>
          <w:rFonts w:ascii="宋体" w:hAnsi="宋体" w:cs="宋体" w:hint="eastAsia"/>
          <w:sz w:val="20"/>
        </w:rPr>
        <w:t>（该产品通过代理销售机构渠道销售的，理财产品评级应当以代理销售机构最终披露的评级结果为准）</w:t>
      </w:r>
      <w:r>
        <w:rPr>
          <w:rFonts w:ascii="宋体" w:hAnsi="宋体" w:cs="宋体"/>
          <w:sz w:val="20"/>
        </w:rPr>
        <w:t>，并确定以相应理财资金</w:t>
      </w:r>
      <w:r>
        <w:rPr>
          <w:rFonts w:ascii="宋体" w:hAnsi="宋体" w:cs="宋体" w:hint="eastAsia"/>
          <w:sz w:val="20"/>
        </w:rPr>
        <w:t>购买对应期次</w:t>
      </w:r>
      <w:r>
        <w:rPr>
          <w:rFonts w:ascii="宋体" w:hAnsi="宋体" w:cs="宋体"/>
          <w:sz w:val="20"/>
        </w:rPr>
        <w:t>理财产品，乙方承诺由此产生的相关风险由其自身承担。</w:t>
      </w:r>
    </w:p>
    <w:p w:rsidR="00574068"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6.</w:t>
      </w:r>
      <w:r>
        <w:rPr>
          <w:rFonts w:ascii="宋体" w:hAnsi="宋体" w:cs="宋体" w:hint="eastAsia"/>
          <w:b/>
          <w:bCs/>
          <w:sz w:val="20"/>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74068"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7.</w:t>
      </w:r>
      <w:r>
        <w:rPr>
          <w:rFonts w:ascii="宋体" w:hAnsi="宋体" w:cs="宋体" w:hint="eastAsia"/>
          <w:b/>
          <w:bCs/>
          <w:sz w:val="20"/>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rPr>
        <w:t>涉恐及反洗</w:t>
      </w:r>
      <w:proofErr w:type="gramEnd"/>
      <w:r>
        <w:rPr>
          <w:rFonts w:ascii="宋体" w:hAnsi="宋体" w:cs="宋体" w:hint="eastAsia"/>
          <w:b/>
          <w:bCs/>
          <w:sz w:val="20"/>
        </w:rPr>
        <w:t>钱相关风险名单；</w:t>
      </w:r>
      <w:proofErr w:type="gramStart"/>
      <w:r>
        <w:rPr>
          <w:rFonts w:ascii="宋体" w:hAnsi="宋体" w:cs="宋体" w:hint="eastAsia"/>
          <w:b/>
          <w:bCs/>
          <w:sz w:val="20"/>
        </w:rPr>
        <w:t>不</w:t>
      </w:r>
      <w:proofErr w:type="gramEnd"/>
      <w:r>
        <w:rPr>
          <w:rFonts w:ascii="宋体" w:hAnsi="宋体" w:cs="宋体" w:hint="eastAsia"/>
          <w:b/>
          <w:bCs/>
          <w:sz w:val="20"/>
        </w:rPr>
        <w:t>位于被联合国、欧盟或美国等制裁的国家和地区。甲方或销售机构发现或有合理理由怀疑乙方或其资金存在洗钱、恐怖融资、逃税等嫌疑，甲方有权提前终止本协议，造成乙方损失的，甲方不承担责任。</w:t>
      </w:r>
    </w:p>
    <w:p w:rsidR="00574068" w:rsidRDefault="00574068" w:rsidP="00574068">
      <w:pPr>
        <w:pStyle w:val="12"/>
        <w:spacing w:line="360" w:lineRule="auto"/>
        <w:ind w:firstLineChars="0" w:firstLine="440"/>
        <w:rPr>
          <w:rFonts w:ascii="宋体" w:hAnsi="宋体" w:cs="宋体"/>
          <w:b/>
          <w:bCs/>
          <w:sz w:val="20"/>
        </w:rPr>
      </w:pPr>
      <w:r>
        <w:rPr>
          <w:rFonts w:ascii="宋体" w:hAnsi="宋体" w:cs="宋体"/>
          <w:b/>
          <w:bCs/>
          <w:sz w:val="20"/>
        </w:rPr>
        <w:t>8</w:t>
      </w:r>
      <w:r>
        <w:rPr>
          <w:rFonts w:ascii="宋体" w:hAnsi="宋体" w:cs="宋体" w:hint="eastAsia"/>
          <w:sz w:val="20"/>
        </w:rPr>
        <w:t>.</w:t>
      </w:r>
      <w:r>
        <w:rPr>
          <w:rFonts w:ascii="宋体" w:hAnsi="宋体" w:cs="宋体" w:hint="eastAsia"/>
          <w:b/>
          <w:bCs/>
          <w:sz w:val="20"/>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74068"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9.</w:t>
      </w:r>
      <w:r>
        <w:rPr>
          <w:rFonts w:ascii="宋体" w:hAnsi="宋体" w:cs="宋体" w:hint="eastAsia"/>
          <w:b/>
          <w:bCs/>
          <w:sz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74068" w:rsidRDefault="00574068" w:rsidP="00574068">
      <w:pPr>
        <w:pStyle w:val="12"/>
        <w:spacing w:line="360" w:lineRule="auto"/>
        <w:ind w:firstLineChars="0" w:firstLine="442"/>
        <w:rPr>
          <w:rFonts w:ascii="宋体" w:hAnsi="宋体" w:cs="宋体"/>
          <w:b/>
          <w:bCs/>
          <w:sz w:val="20"/>
        </w:rPr>
      </w:pPr>
      <w:r>
        <w:rPr>
          <w:rFonts w:ascii="宋体" w:hAnsi="宋体" w:cs="宋体" w:hint="eastAsia"/>
          <w:b/>
          <w:bCs/>
          <w:sz w:val="20"/>
        </w:rPr>
        <w:t>10.</w:t>
      </w:r>
      <w:r>
        <w:rPr>
          <w:rFonts w:ascii="宋体" w:hAnsi="宋体" w:cs="宋体" w:hint="eastAsia"/>
          <w:b/>
          <w:bCs/>
          <w:sz w:val="20"/>
        </w:rPr>
        <w:t>乙方对因购买、持有本理财产品而知悉的甲方及销售机构保密信息承担保密义务，乙方承诺不以任何方式向任何第三方披露甲方或销售机构的保密信息，法律法规另有规定的除外。</w:t>
      </w:r>
    </w:p>
    <w:p w:rsidR="00574068" w:rsidRDefault="00574068" w:rsidP="00574068">
      <w:pPr>
        <w:pStyle w:val="12"/>
        <w:spacing w:line="360" w:lineRule="auto"/>
        <w:ind w:firstLineChars="0" w:firstLine="440"/>
        <w:rPr>
          <w:rFonts w:ascii="宋体" w:hAnsi="宋体" w:cs="宋体"/>
          <w:sz w:val="20"/>
        </w:rPr>
      </w:pPr>
      <w:r>
        <w:rPr>
          <w:rFonts w:ascii="宋体" w:hAnsi="宋体" w:cs="宋体" w:hint="eastAsia"/>
          <w:sz w:val="20"/>
        </w:rPr>
        <w:t>11.</w:t>
      </w:r>
      <w:r>
        <w:rPr>
          <w:rFonts w:ascii="宋体" w:hAnsi="宋体" w:cs="宋体" w:hint="eastAsia"/>
          <w:sz w:val="20"/>
        </w:rPr>
        <w:t>法律法规规定或理财产品销售文件约定的其它权利及义务。</w:t>
      </w:r>
    </w:p>
    <w:p w:rsidR="00574068" w:rsidRDefault="00574068" w:rsidP="00574068">
      <w:pPr>
        <w:pStyle w:val="12"/>
        <w:spacing w:line="360" w:lineRule="auto"/>
        <w:ind w:firstLine="400"/>
        <w:rPr>
          <w:rFonts w:ascii="宋体" w:hAnsi="宋体" w:cs="宋体"/>
          <w:b/>
          <w:sz w:val="20"/>
        </w:rPr>
      </w:pPr>
      <w:r>
        <w:rPr>
          <w:rFonts w:ascii="宋体" w:hAnsi="宋体" w:cs="宋体" w:hint="eastAsia"/>
          <w:b/>
          <w:sz w:val="20"/>
        </w:rPr>
        <w:t>三、协议的生效和终止</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（一）本协议书以纸质书面形式订立的情况下，乙方为个人投资者的，本协议自乙方签名、成功缴纳购买资金并经</w:t>
      </w:r>
      <w:r>
        <w:rPr>
          <w:rFonts w:ascii="宋体" w:hAnsi="宋体" w:cs="宋体" w:hint="eastAsia"/>
          <w:sz w:val="20"/>
        </w:rPr>
        <w:lastRenderedPageBreak/>
        <w:t>甲方系统确认购买份额后成立并生效；乙方为机构投资者的，本协议自乙方法定代表人或授权代理人签名或盖章并加盖公章或合同专用章、成功缴纳购买资金并经甲方系统确认购买份额后成立并生效。</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t>（三）乙方购买理财产品失败、甲方提前终止对应期次理财产品以及对应期次理财产品到期并结清后，本协议自动终止。</w:t>
      </w:r>
    </w:p>
    <w:p w:rsidR="00574068" w:rsidRPr="00832DA9" w:rsidRDefault="00574068" w:rsidP="00574068">
      <w:pPr>
        <w:pStyle w:val="12"/>
        <w:spacing w:line="360" w:lineRule="auto"/>
        <w:ind w:firstLine="400"/>
        <w:rPr>
          <w:rFonts w:ascii="宋体" w:hAnsi="宋体" w:cs="宋体"/>
          <w:b/>
          <w:bCs/>
          <w:sz w:val="20"/>
        </w:rPr>
      </w:pPr>
      <w:r w:rsidRPr="00832DA9">
        <w:rPr>
          <w:rFonts w:ascii="宋体" w:hAnsi="宋体" w:cs="宋体" w:hint="eastAsia"/>
          <w:b/>
          <w:bCs/>
          <w:sz w:val="20"/>
        </w:rPr>
        <w:t>四、不可抗力及其他免责条款</w:t>
      </w:r>
    </w:p>
    <w:p w:rsidR="00574068" w:rsidRPr="00832DA9" w:rsidRDefault="00574068" w:rsidP="00574068">
      <w:pPr>
        <w:pStyle w:val="12"/>
        <w:spacing w:line="360" w:lineRule="auto"/>
        <w:ind w:firstLine="400"/>
        <w:rPr>
          <w:rFonts w:ascii="宋体" w:hAnsi="宋体" w:cs="宋体"/>
          <w:b/>
          <w:sz w:val="20"/>
        </w:rPr>
      </w:pPr>
      <w:r w:rsidRPr="00832DA9">
        <w:rPr>
          <w:rFonts w:ascii="宋体" w:hAnsi="宋体" w:cs="宋体" w:hint="eastAsia"/>
          <w:b/>
          <w:sz w:val="20"/>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74068" w:rsidRPr="00832DA9" w:rsidRDefault="00574068" w:rsidP="00574068">
      <w:pPr>
        <w:pStyle w:val="12"/>
        <w:spacing w:line="360" w:lineRule="auto"/>
        <w:ind w:firstLine="400"/>
        <w:rPr>
          <w:rFonts w:ascii="宋体" w:hAnsi="宋体" w:cs="宋体"/>
          <w:b/>
          <w:sz w:val="20"/>
        </w:rPr>
      </w:pPr>
      <w:r w:rsidRPr="00832DA9">
        <w:rPr>
          <w:rFonts w:ascii="宋体" w:hAnsi="宋体" w:cs="宋体"/>
          <w:b/>
          <w:sz w:val="20"/>
        </w:rPr>
        <w:t>非因</w:t>
      </w:r>
      <w:r w:rsidRPr="00832DA9">
        <w:rPr>
          <w:rFonts w:ascii="宋体" w:hAnsi="宋体" w:cs="宋体" w:hint="eastAsia"/>
          <w:b/>
          <w:sz w:val="20"/>
        </w:rPr>
        <w:t>甲方</w:t>
      </w:r>
      <w:r w:rsidRPr="00832DA9">
        <w:rPr>
          <w:rFonts w:ascii="宋体" w:hAnsi="宋体" w:cs="宋体"/>
          <w:b/>
          <w:sz w:val="20"/>
        </w:rPr>
        <w:t>原因（包括但不限于理财产品投资者遗失理财产品销售文件、理财产品销售文件被盗用等原因）造成的损失，</w:t>
      </w:r>
      <w:r w:rsidRPr="00832DA9">
        <w:rPr>
          <w:rFonts w:ascii="宋体" w:hAnsi="宋体" w:cs="宋体" w:hint="eastAsia"/>
          <w:b/>
          <w:sz w:val="20"/>
        </w:rPr>
        <w:t>甲方</w:t>
      </w:r>
      <w:r w:rsidRPr="00832DA9">
        <w:rPr>
          <w:rFonts w:ascii="宋体" w:hAnsi="宋体" w:cs="宋体"/>
          <w:b/>
          <w:sz w:val="20"/>
        </w:rPr>
        <w:t>不承担责任。</w:t>
      </w:r>
    </w:p>
    <w:p w:rsidR="00574068" w:rsidRPr="00832DA9" w:rsidRDefault="00574068" w:rsidP="00574068">
      <w:pPr>
        <w:pStyle w:val="12"/>
        <w:spacing w:line="360" w:lineRule="auto"/>
        <w:ind w:firstLine="400"/>
        <w:rPr>
          <w:rFonts w:ascii="宋体" w:hAnsi="宋体" w:cs="宋体"/>
          <w:b/>
          <w:bCs/>
          <w:sz w:val="20"/>
        </w:rPr>
      </w:pPr>
      <w:r w:rsidRPr="00832DA9">
        <w:rPr>
          <w:rFonts w:ascii="宋体" w:hAnsi="宋体" w:cs="宋体" w:hint="eastAsia"/>
          <w:b/>
          <w:bCs/>
          <w:sz w:val="20"/>
        </w:rPr>
        <w:t>五、争议解决</w:t>
      </w:r>
    </w:p>
    <w:p w:rsidR="00574068" w:rsidRPr="00832DA9" w:rsidRDefault="00574068" w:rsidP="00574068">
      <w:pPr>
        <w:pStyle w:val="12"/>
        <w:spacing w:line="360" w:lineRule="auto"/>
        <w:ind w:firstLine="400"/>
        <w:rPr>
          <w:rFonts w:ascii="宋体" w:hAnsi="宋体" w:cs="宋体"/>
          <w:b/>
          <w:sz w:val="20"/>
        </w:rPr>
      </w:pPr>
      <w:r w:rsidRPr="00832DA9">
        <w:rPr>
          <w:rFonts w:ascii="宋体" w:hAnsi="宋体" w:cs="宋体" w:hint="eastAsia"/>
          <w:b/>
          <w:sz w:val="20"/>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74068" w:rsidRDefault="00574068" w:rsidP="00574068">
      <w:pPr>
        <w:pStyle w:val="12"/>
        <w:spacing w:line="360" w:lineRule="auto"/>
        <w:ind w:firstLine="400"/>
        <w:rPr>
          <w:rFonts w:ascii="宋体" w:hAnsi="宋体" w:cs="宋体"/>
          <w:sz w:val="20"/>
        </w:rPr>
      </w:pPr>
      <w:r>
        <w:rPr>
          <w:rFonts w:ascii="宋体" w:hAnsi="宋体" w:cs="宋体" w:hint="eastAsia"/>
          <w:b/>
          <w:bCs/>
          <w:sz w:val="20"/>
        </w:rPr>
        <w:t>六、</w:t>
      </w:r>
      <w:r>
        <w:rPr>
          <w:rFonts w:ascii="宋体" w:hAnsi="宋体" w:cs="宋体" w:hint="eastAsia"/>
          <w:sz w:val="20"/>
        </w:rPr>
        <w:t>本协议未尽事宜，以《理财产品说明书》《理财产品风险揭示书》《理财产品销售协议书》及《投资者权益须知》等销售文件的内容为准。</w:t>
      </w:r>
    </w:p>
    <w:p w:rsidR="00574068" w:rsidRDefault="00574068" w:rsidP="00574068">
      <w:pPr>
        <w:pStyle w:val="12"/>
        <w:spacing w:line="360" w:lineRule="auto"/>
        <w:ind w:firstLine="400"/>
        <w:rPr>
          <w:rFonts w:ascii="宋体" w:hAnsi="宋体" w:cs="宋体"/>
          <w:sz w:val="20"/>
        </w:rPr>
      </w:pPr>
    </w:p>
    <w:p w:rsidR="00574068" w:rsidRDefault="00574068" w:rsidP="00574068">
      <w:pPr>
        <w:pStyle w:val="12"/>
        <w:spacing w:line="360" w:lineRule="auto"/>
        <w:ind w:firstLine="400"/>
        <w:rPr>
          <w:rFonts w:ascii="宋体" w:hAnsi="宋体" w:cs="宋体"/>
          <w:b/>
          <w:bCs/>
          <w:sz w:val="20"/>
        </w:rPr>
      </w:pPr>
      <w:r>
        <w:rPr>
          <w:rFonts w:ascii="宋体" w:hAnsi="宋体" w:cs="宋体" w:hint="eastAsia"/>
          <w:b/>
          <w:bCs/>
          <w:sz w:val="20"/>
        </w:rPr>
        <w:t>请投资者在购买本理财产品前认真阅读以上条款，尤其是加粗的条款。如果投资者不同意本协议的任何内容，或者无法准确理解相关条款的解释，请不要进行后续操作。</w:t>
      </w:r>
    </w:p>
    <w:p w:rsidR="00574068" w:rsidRDefault="00574068" w:rsidP="00574068">
      <w:pPr>
        <w:pStyle w:val="12"/>
        <w:spacing w:line="360" w:lineRule="auto"/>
        <w:ind w:firstLine="400"/>
        <w:rPr>
          <w:rFonts w:ascii="宋体" w:hAnsi="宋体" w:cs="宋体"/>
          <w:sz w:val="20"/>
        </w:rPr>
      </w:pPr>
      <w:r>
        <w:rPr>
          <w:rFonts w:ascii="宋体" w:hAnsi="宋体" w:cs="宋体" w:hint="eastAsia"/>
          <w:sz w:val="20"/>
        </w:rPr>
        <w:lastRenderedPageBreak/>
        <w:t>（以下无正文）</w:t>
      </w:r>
    </w:p>
    <w:p w:rsidR="00574068" w:rsidRDefault="00574068" w:rsidP="00574068">
      <w:pPr>
        <w:pStyle w:val="12"/>
        <w:spacing w:line="360" w:lineRule="auto"/>
        <w:ind w:firstLine="400"/>
        <w:rPr>
          <w:rFonts w:ascii="宋体" w:hAnsi="宋体" w:cs="宋体"/>
          <w:sz w:val="20"/>
        </w:rPr>
      </w:pPr>
    </w:p>
    <w:p w:rsidR="00574068" w:rsidRDefault="00574068" w:rsidP="00574068">
      <w:pPr>
        <w:spacing w:line="360" w:lineRule="auto"/>
        <w:rPr>
          <w:rStyle w:val="fontstyle01"/>
        </w:rPr>
      </w:pPr>
      <w:r>
        <w:rPr>
          <w:rStyle w:val="fontstyle01"/>
        </w:rPr>
        <w:t>个人投资者（如适用）：</w:t>
      </w:r>
      <w:r>
        <w:rPr>
          <w:rStyle w:val="fontstyle01"/>
        </w:rPr>
        <w:t xml:space="preserve">                   </w:t>
      </w:r>
      <w:r>
        <w:rPr>
          <w:rStyle w:val="fontstyle01"/>
        </w:rPr>
        <w:t>机构投资者（如适用）：</w:t>
      </w:r>
    </w:p>
    <w:p w:rsidR="00574068" w:rsidRDefault="00574068" w:rsidP="00574068">
      <w:pPr>
        <w:spacing w:line="360" w:lineRule="auto"/>
        <w:rPr>
          <w:rStyle w:val="fontstyle01"/>
        </w:rPr>
      </w:pPr>
      <w:r>
        <w:rPr>
          <w:rStyle w:val="fontstyle01"/>
        </w:rPr>
        <w:t>个人投资者：</w:t>
      </w:r>
      <w:r>
        <w:rPr>
          <w:rStyle w:val="fontstyle01"/>
        </w:rPr>
        <w:t xml:space="preserve"> </w:t>
      </w:r>
      <w:r>
        <w:rPr>
          <w:rStyle w:val="fontstyle01"/>
        </w:rPr>
        <w:t>（签名或盖章）</w:t>
      </w:r>
      <w:r>
        <w:rPr>
          <w:rStyle w:val="fontstyle01"/>
        </w:rPr>
        <w:t xml:space="preserve">              </w:t>
      </w:r>
      <w:r>
        <w:rPr>
          <w:rStyle w:val="fontstyle01"/>
        </w:rPr>
        <w:t>机构投资者：</w:t>
      </w:r>
      <w:r>
        <w:rPr>
          <w:rStyle w:val="fontstyle01"/>
        </w:rPr>
        <w:t xml:space="preserve"> </w:t>
      </w:r>
      <w:r>
        <w:rPr>
          <w:rStyle w:val="fontstyle01"/>
        </w:rPr>
        <w:t>（</w:t>
      </w:r>
      <w:r>
        <w:rPr>
          <w:rFonts w:ascii="宋体" w:hAnsi="宋体" w:cs="宋体" w:hint="eastAsia"/>
          <w:sz w:val="20"/>
        </w:rPr>
        <w:t>公章或合同专用章</w:t>
      </w:r>
      <w:r>
        <w:rPr>
          <w:rStyle w:val="fontstyle01"/>
        </w:rPr>
        <w:t>）</w:t>
      </w:r>
    </w:p>
    <w:p w:rsidR="00574068" w:rsidRDefault="00574068" w:rsidP="00574068">
      <w:pPr>
        <w:spacing w:line="360" w:lineRule="auto"/>
        <w:rPr>
          <w:rStyle w:val="fontstyle01"/>
        </w:rPr>
      </w:pPr>
      <w:r>
        <w:rPr>
          <w:rStyle w:val="fontstyle01"/>
        </w:rPr>
        <w:t xml:space="preserve">   </w:t>
      </w:r>
      <w:r>
        <w:rPr>
          <w:rStyle w:val="fontstyle01"/>
        </w:rPr>
        <w:t>年</w:t>
      </w:r>
      <w:r>
        <w:rPr>
          <w:rStyle w:val="fontstyle01"/>
        </w:rPr>
        <w:t xml:space="preserve">  </w:t>
      </w:r>
      <w:r>
        <w:rPr>
          <w:rStyle w:val="fontstyle01"/>
        </w:rPr>
        <w:t>月</w:t>
      </w:r>
      <w:r>
        <w:rPr>
          <w:rStyle w:val="fontstyle01"/>
        </w:rPr>
        <w:t xml:space="preserve">  </w:t>
      </w:r>
      <w:r>
        <w:rPr>
          <w:rStyle w:val="fontstyle01"/>
        </w:rPr>
        <w:t>日</w:t>
      </w:r>
      <w:r>
        <w:rPr>
          <w:rStyle w:val="fontstyle01"/>
        </w:rPr>
        <w:t xml:space="preserve">                           </w:t>
      </w:r>
      <w:r>
        <w:rPr>
          <w:rStyle w:val="fontstyle01"/>
        </w:rPr>
        <w:t>法定代表人或授权代理人：（签名或盖章）</w:t>
      </w:r>
    </w:p>
    <w:p w:rsidR="00574068" w:rsidRDefault="00574068" w:rsidP="00574068">
      <w:pPr>
        <w:widowControl/>
        <w:jc w:val="left"/>
      </w:pPr>
      <w:r>
        <w:rPr>
          <w:rStyle w:val="fontstyle01"/>
        </w:rPr>
        <w:t xml:space="preserve">                                            </w:t>
      </w:r>
      <w:r>
        <w:rPr>
          <w:rStyle w:val="fontstyle01"/>
        </w:rPr>
        <w:t>年</w:t>
      </w:r>
      <w:r>
        <w:rPr>
          <w:rStyle w:val="fontstyle01"/>
        </w:rPr>
        <w:t xml:space="preserve">    </w:t>
      </w:r>
      <w:r>
        <w:rPr>
          <w:rStyle w:val="fontstyle01"/>
        </w:rPr>
        <w:t>月</w:t>
      </w:r>
      <w:r>
        <w:rPr>
          <w:rStyle w:val="fontstyle01"/>
        </w:rPr>
        <w:t xml:space="preserve">   </w:t>
      </w:r>
      <w:r>
        <w:rPr>
          <w:rStyle w:val="fontstyle01"/>
        </w:rPr>
        <w:t>日</w:t>
      </w:r>
    </w:p>
    <w:p w:rsidR="00574068" w:rsidRDefault="00574068" w:rsidP="00574068">
      <w:pPr>
        <w:pStyle w:val="ae"/>
        <w:ind w:firstLineChars="0" w:firstLine="0"/>
        <w:rPr>
          <w:b/>
          <w:kern w:val="0"/>
          <w:sz w:val="15"/>
          <w:szCs w:val="11"/>
        </w:rPr>
      </w:pPr>
    </w:p>
    <w:p w:rsidR="00574068" w:rsidRDefault="00574068" w:rsidP="00574068">
      <w:pPr>
        <w:pStyle w:val="ae"/>
        <w:ind w:firstLine="301"/>
        <w:rPr>
          <w:rFonts w:ascii="宋体"/>
          <w:b/>
          <w:bCs/>
          <w:color w:val="3D3D3D"/>
          <w:kern w:val="0"/>
          <w:sz w:val="15"/>
          <w:szCs w:val="15"/>
        </w:rPr>
      </w:pPr>
    </w:p>
    <w:p w:rsidR="00574068" w:rsidRDefault="00574068" w:rsidP="00574068">
      <w:pPr>
        <w:pStyle w:val="ae"/>
        <w:ind w:firstLine="301"/>
        <w:rPr>
          <w:rFonts w:ascii="宋体"/>
          <w:b/>
          <w:bCs/>
          <w:color w:val="3D3D3D"/>
          <w:kern w:val="0"/>
          <w:sz w:val="15"/>
          <w:szCs w:val="15"/>
        </w:rPr>
      </w:pPr>
    </w:p>
    <w:p w:rsidR="00574068" w:rsidRDefault="00574068" w:rsidP="00574068"/>
    <w:p w:rsidR="00574068" w:rsidRPr="00574068" w:rsidRDefault="00574068" w:rsidP="00574068">
      <w:pPr>
        <w:pStyle w:val="1"/>
        <w:rPr>
          <w:rFonts w:hint="eastAsia"/>
        </w:rPr>
      </w:pPr>
    </w:p>
    <w:sectPr w:rsidR="00574068" w:rsidRPr="00574068">
      <w:headerReference w:type="default" r:id="rId9"/>
      <w:pgSz w:w="11907" w:h="1683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4E" w:rsidRDefault="00A3344E">
      <w:r>
        <w:separator/>
      </w:r>
    </w:p>
  </w:endnote>
  <w:endnote w:type="continuationSeparator" w:id="0">
    <w:p w:rsidR="00A3344E" w:rsidRDefault="00A3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_PDF_Subse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068" w:rsidRDefault="005740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4E" w:rsidRDefault="00A3344E">
      <w:r>
        <w:separator/>
      </w:r>
    </w:p>
  </w:footnote>
  <w:footnote w:type="continuationSeparator" w:id="0">
    <w:p w:rsidR="00A3344E" w:rsidRDefault="00A3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068" w:rsidRDefault="00574068">
    <w:pPr>
      <w:pStyle w:val="a7"/>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B" w:rsidRDefault="00A3344E">
    <w:pPr>
      <w:pStyle w:val="a7"/>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0000001"/>
    <w:multiLevelType w:val="multilevel"/>
    <w:tmpl w:val="00000001"/>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00000002"/>
    <w:multiLevelType w:val="multilevel"/>
    <w:tmpl w:val="00000002"/>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3" w15:restartNumberingAfterBreak="0">
    <w:nsid w:val="00000003"/>
    <w:multiLevelType w:val="multilevel"/>
    <w:tmpl w:val="00000003"/>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4"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833B6B"/>
    <w:rsid w:val="00574068"/>
    <w:rsid w:val="00833B6B"/>
    <w:rsid w:val="009D35AF"/>
    <w:rsid w:val="00A3344E"/>
    <w:rsid w:val="4FB419A6"/>
    <w:rsid w:val="5C3C2BF4"/>
    <w:rsid w:val="5EAA7148"/>
    <w:rsid w:val="7C02443C"/>
    <w:rsid w:val="7E3A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D561"/>
  <w15:docId w15:val="{92C60BD9-1290-4266-A5B2-837C7A3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方正黑体_GBK" w:eastAsia="方正黑体_GBK"/>
      <w:kern w:val="2"/>
      <w:sz w:val="21"/>
      <w:szCs w:val="21"/>
    </w:rPr>
  </w:style>
  <w:style w:type="paragraph" w:styleId="10">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style>
  <w:style w:type="paragraph" w:styleId="a3">
    <w:name w:val="annotation text"/>
    <w:basedOn w:val="a"/>
    <w:link w:val="a4"/>
    <w:unhideWhenUsed/>
    <w:qFormat/>
    <w:pPr>
      <w:jc w:val="left"/>
    </w:pPr>
  </w:style>
  <w:style w:type="paragraph" w:styleId="5">
    <w:name w:val="toc 5"/>
    <w:basedOn w:val="a"/>
    <w:next w:val="a"/>
    <w:qFormat/>
    <w:pPr>
      <w:ind w:left="1680"/>
    </w:pPr>
  </w:style>
  <w:style w:type="paragraph" w:styleId="30">
    <w:name w:val="toc 3"/>
    <w:basedOn w:val="a"/>
    <w:next w:val="a"/>
    <w:qFormat/>
    <w:pPr>
      <w:ind w:left="840"/>
    </w:pPr>
  </w:style>
  <w:style w:type="paragraph" w:styleId="a5">
    <w:name w:val="footer"/>
    <w:basedOn w:val="a"/>
    <w:link w:val="a6"/>
    <w:qFormat/>
    <w:pPr>
      <w:tabs>
        <w:tab w:val="center" w:pos="4153"/>
        <w:tab w:val="right" w:pos="8307"/>
      </w:tabs>
      <w:snapToGrid w:val="0"/>
      <w:jc w:val="left"/>
    </w:pPr>
    <w:rPr>
      <w:sz w:val="18"/>
    </w:rPr>
  </w:style>
  <w:style w:type="paragraph" w:styleId="a7">
    <w:name w:val="header"/>
    <w:basedOn w:val="a"/>
    <w:link w:val="a8"/>
    <w:qFormat/>
    <w:pPr>
      <w:pBdr>
        <w:bottom w:val="single" w:sz="6" w:space="1" w:color="auto"/>
      </w:pBdr>
      <w:tabs>
        <w:tab w:val="center" w:pos="4153"/>
        <w:tab w:val="right" w:pos="8307"/>
      </w:tabs>
      <w:snapToGrid w:val="0"/>
      <w:jc w:val="center"/>
    </w:pPr>
    <w:rPr>
      <w:sz w:val="18"/>
    </w:rPr>
  </w:style>
  <w:style w:type="paragraph" w:styleId="11">
    <w:name w:val="toc 1"/>
    <w:basedOn w:val="a"/>
    <w:next w:val="a"/>
    <w:qFormat/>
  </w:style>
  <w:style w:type="paragraph" w:styleId="4">
    <w:name w:val="toc 4"/>
    <w:basedOn w:val="a"/>
    <w:next w:val="a"/>
    <w:qFormat/>
    <w:pPr>
      <w:ind w:left="1260"/>
    </w:pPr>
  </w:style>
  <w:style w:type="paragraph" w:styleId="20">
    <w:name w:val="toc 2"/>
    <w:basedOn w:val="a"/>
    <w:next w:val="a"/>
    <w:qFormat/>
    <w:pPr>
      <w:ind w:left="420"/>
    </w:pPr>
  </w:style>
  <w:style w:type="paragraph" w:styleId="a9">
    <w:name w:val="Normal (Web)"/>
    <w:basedOn w:val="a"/>
    <w:qFormat/>
    <w:pPr>
      <w:widowControl/>
      <w:spacing w:before="102" w:after="102" w:line="1099" w:lineRule="atLeast"/>
      <w:ind w:firstLine="419"/>
      <w:jc w:val="left"/>
      <w:textAlignment w:val="baseline"/>
    </w:pPr>
    <w:rPr>
      <w:rFonts w:ascii="Times New Roman" w:eastAsia="宋体"/>
      <w:color w:val="000000"/>
      <w:kern w:val="0"/>
      <w:sz w:val="24"/>
      <w:szCs w:val="20"/>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Normal752c9bba">
    <w:name w:val="Normal752c9bba"/>
    <w:qFormat/>
    <w:pPr>
      <w:widowControl w:val="0"/>
      <w:jc w:val="both"/>
    </w:pPr>
    <w:rPr>
      <w:rFonts w:ascii="方正黑体_GBK" w:eastAsia="方正黑体_GBK"/>
      <w:kern w:val="2"/>
      <w:sz w:val="21"/>
      <w:szCs w:val="21"/>
    </w:rPr>
  </w:style>
  <w:style w:type="paragraph" w:customStyle="1" w:styleId="heading13221a6a8">
    <w:name w:val="heading 13221a6a8"/>
    <w:basedOn w:val="Normal752c9bba"/>
    <w:next w:val="a"/>
    <w:qFormat/>
    <w:pPr>
      <w:keepNext/>
      <w:keepLines/>
      <w:spacing w:before="340" w:after="330" w:line="578" w:lineRule="auto"/>
      <w:outlineLvl w:val="0"/>
    </w:pPr>
    <w:rPr>
      <w:b/>
      <w:bCs/>
      <w:kern w:val="44"/>
      <w:sz w:val="44"/>
    </w:rPr>
  </w:style>
  <w:style w:type="paragraph" w:customStyle="1" w:styleId="heading218917a50">
    <w:name w:val="heading 218917a50"/>
    <w:basedOn w:val="Normal752c9bba"/>
    <w:next w:val="a"/>
    <w:qFormat/>
    <w:pPr>
      <w:keepNext/>
      <w:keepLines/>
      <w:spacing w:before="260" w:after="260" w:line="415" w:lineRule="auto"/>
      <w:outlineLvl w:val="1"/>
    </w:pPr>
    <w:rPr>
      <w:b/>
      <w:sz w:val="32"/>
    </w:rPr>
  </w:style>
  <w:style w:type="paragraph" w:customStyle="1" w:styleId="heading3f5ec5214">
    <w:name w:val="heading 3f5ec5214"/>
    <w:basedOn w:val="Normal752c9bba"/>
    <w:next w:val="a"/>
    <w:qFormat/>
    <w:pPr>
      <w:keepNext/>
      <w:keepLines/>
      <w:spacing w:before="260" w:after="260" w:line="415" w:lineRule="auto"/>
      <w:outlineLvl w:val="2"/>
    </w:pPr>
    <w:rPr>
      <w:b/>
      <w:sz w:val="32"/>
    </w:rPr>
  </w:style>
  <w:style w:type="character" w:customStyle="1" w:styleId="DefaultParagraphFont11f294c6">
    <w:name w:val="Default Paragraph Font11f294c6"/>
    <w:qFormat/>
  </w:style>
  <w:style w:type="paragraph" w:customStyle="1" w:styleId="toc1178a4269">
    <w:name w:val="toc 1178a4269"/>
    <w:basedOn w:val="Normal752c9bba"/>
    <w:next w:val="a"/>
    <w:qFormat/>
  </w:style>
  <w:style w:type="paragraph" w:customStyle="1" w:styleId="toc2d7513c68">
    <w:name w:val="toc 2d7513c68"/>
    <w:basedOn w:val="Normal752c9bba"/>
    <w:next w:val="a"/>
    <w:qFormat/>
    <w:pPr>
      <w:ind w:left="420"/>
    </w:pPr>
  </w:style>
  <w:style w:type="paragraph" w:customStyle="1" w:styleId="toc3200aa628">
    <w:name w:val="toc 3200aa628"/>
    <w:basedOn w:val="Normal752c9bba"/>
    <w:next w:val="a"/>
    <w:qFormat/>
    <w:pPr>
      <w:ind w:left="840"/>
    </w:pPr>
  </w:style>
  <w:style w:type="paragraph" w:customStyle="1" w:styleId="toc484ea9bab">
    <w:name w:val="toc 484ea9bab"/>
    <w:basedOn w:val="Normal752c9bba"/>
    <w:next w:val="a"/>
    <w:qFormat/>
    <w:pPr>
      <w:ind w:left="1260"/>
    </w:pPr>
  </w:style>
  <w:style w:type="paragraph" w:customStyle="1" w:styleId="toc5acde109e">
    <w:name w:val="toc 5acde109e"/>
    <w:basedOn w:val="Normal752c9bba"/>
    <w:next w:val="a"/>
    <w:qFormat/>
    <w:pPr>
      <w:ind w:left="1680"/>
    </w:pPr>
  </w:style>
  <w:style w:type="paragraph" w:customStyle="1" w:styleId="headercd65e758">
    <w:name w:val="headercd65e758"/>
    <w:basedOn w:val="Normal752c9bba"/>
    <w:qFormat/>
    <w:pPr>
      <w:pBdr>
        <w:bottom w:val="single" w:sz="6" w:space="1" w:color="auto"/>
      </w:pBdr>
      <w:tabs>
        <w:tab w:val="center" w:pos="4153"/>
        <w:tab w:val="right" w:pos="8307"/>
      </w:tabs>
      <w:snapToGrid w:val="0"/>
      <w:jc w:val="center"/>
    </w:pPr>
    <w:rPr>
      <w:sz w:val="18"/>
    </w:rPr>
  </w:style>
  <w:style w:type="paragraph" w:customStyle="1" w:styleId="footer103e6b47">
    <w:name w:val="footer103e6b47"/>
    <w:basedOn w:val="Normal752c9bba"/>
    <w:qFormat/>
    <w:pPr>
      <w:tabs>
        <w:tab w:val="center" w:pos="4153"/>
        <w:tab w:val="right" w:pos="8307"/>
      </w:tabs>
      <w:snapToGrid w:val="0"/>
      <w:jc w:val="left"/>
    </w:pPr>
    <w:rPr>
      <w:sz w:val="18"/>
    </w:rPr>
  </w:style>
  <w:style w:type="character" w:customStyle="1" w:styleId="Strong33f15dac">
    <w:name w:val="Strong33f15dac"/>
    <w:qFormat/>
    <w:rPr>
      <w:b/>
    </w:rPr>
  </w:style>
  <w:style w:type="paragraph" w:customStyle="1" w:styleId="annotationtext23">
    <w:name w:val="annotation text23"/>
    <w:next w:val="11"/>
    <w:qFormat/>
    <w:pPr>
      <w:widowControl w:val="0"/>
    </w:pPr>
    <w:rPr>
      <w:rFonts w:ascii="方正黑体_GBK" w:eastAsia="方正黑体_GBK"/>
      <w:kern w:val="2"/>
      <w:sz w:val="21"/>
      <w:szCs w:val="21"/>
    </w:rPr>
  </w:style>
  <w:style w:type="paragraph" w:customStyle="1" w:styleId="Normalb8ede314">
    <w:name w:val="Normalb8ede314"/>
    <w:next w:val="11"/>
    <w:qFormat/>
    <w:pPr>
      <w:widowControl w:val="0"/>
      <w:jc w:val="both"/>
    </w:pPr>
    <w:rPr>
      <w:rFonts w:ascii="方正黑体_GBK" w:eastAsia="方正黑体_GBK"/>
      <w:kern w:val="2"/>
      <w:sz w:val="18"/>
      <w:szCs w:val="18"/>
    </w:rPr>
  </w:style>
  <w:style w:type="paragraph" w:customStyle="1" w:styleId="heading13e4925e3">
    <w:name w:val="heading 13e4925e3"/>
    <w:basedOn w:val="Normalb8ede314"/>
    <w:next w:val="a"/>
    <w:qFormat/>
    <w:pPr>
      <w:keepNext/>
      <w:keepLines/>
      <w:spacing w:before="340" w:after="330" w:line="578" w:lineRule="auto"/>
      <w:outlineLvl w:val="0"/>
    </w:pPr>
    <w:rPr>
      <w:b/>
      <w:bCs/>
      <w:kern w:val="44"/>
      <w:sz w:val="44"/>
    </w:rPr>
  </w:style>
  <w:style w:type="paragraph" w:customStyle="1" w:styleId="heading288bae3e0">
    <w:name w:val="heading 288bae3e0"/>
    <w:basedOn w:val="Normalb8ede314"/>
    <w:next w:val="a"/>
    <w:qFormat/>
    <w:pPr>
      <w:keepNext/>
      <w:keepLines/>
      <w:spacing w:before="260" w:after="260" w:line="415" w:lineRule="auto"/>
      <w:outlineLvl w:val="1"/>
    </w:pPr>
    <w:rPr>
      <w:b/>
      <w:sz w:val="32"/>
    </w:rPr>
  </w:style>
  <w:style w:type="paragraph" w:customStyle="1" w:styleId="heading3ab8ef9ae">
    <w:name w:val="heading 3ab8ef9ae"/>
    <w:basedOn w:val="Normalb8ede314"/>
    <w:next w:val="a"/>
    <w:qFormat/>
    <w:pPr>
      <w:keepNext/>
      <w:keepLines/>
      <w:spacing w:before="260" w:after="260" w:line="415" w:lineRule="auto"/>
      <w:outlineLvl w:val="2"/>
    </w:pPr>
    <w:rPr>
      <w:b/>
      <w:sz w:val="32"/>
    </w:rPr>
  </w:style>
  <w:style w:type="character" w:customStyle="1" w:styleId="DefaultParagraphFontf60e5e9a">
    <w:name w:val="Default Paragraph Fontf60e5e9a"/>
    <w:qFormat/>
  </w:style>
  <w:style w:type="paragraph" w:customStyle="1" w:styleId="NormalIndentdc4e3047">
    <w:name w:val="Normal Indentdc4e3047"/>
    <w:basedOn w:val="Normalb8ede314"/>
    <w:qFormat/>
    <w:pPr>
      <w:ind w:firstLineChars="200" w:firstLine="200"/>
    </w:pPr>
  </w:style>
  <w:style w:type="paragraph" w:customStyle="1" w:styleId="toc55e95fd05">
    <w:name w:val="toc 55e95fd05"/>
    <w:basedOn w:val="Normalb8ede314"/>
    <w:next w:val="a"/>
    <w:qFormat/>
    <w:pPr>
      <w:ind w:left="1680"/>
    </w:pPr>
  </w:style>
  <w:style w:type="paragraph" w:customStyle="1" w:styleId="toc3245d742a">
    <w:name w:val="toc 3245d742a"/>
    <w:basedOn w:val="Normalb8ede314"/>
    <w:next w:val="a"/>
    <w:qFormat/>
    <w:pPr>
      <w:ind w:left="840"/>
    </w:pPr>
  </w:style>
  <w:style w:type="paragraph" w:customStyle="1" w:styleId="footer90e9b4c1">
    <w:name w:val="footer90e9b4c1"/>
    <w:basedOn w:val="Normalb8ede314"/>
    <w:qFormat/>
    <w:pPr>
      <w:tabs>
        <w:tab w:val="center" w:pos="4153"/>
        <w:tab w:val="right" w:pos="8307"/>
      </w:tabs>
      <w:snapToGrid w:val="0"/>
      <w:jc w:val="left"/>
    </w:pPr>
  </w:style>
  <w:style w:type="paragraph" w:customStyle="1" w:styleId="header384e65a5">
    <w:name w:val="header384e65a5"/>
    <w:basedOn w:val="Normalb8ede314"/>
    <w:qFormat/>
    <w:pPr>
      <w:pBdr>
        <w:bottom w:val="single" w:sz="6" w:space="1" w:color="auto"/>
      </w:pBdr>
      <w:tabs>
        <w:tab w:val="center" w:pos="4153"/>
        <w:tab w:val="right" w:pos="8307"/>
      </w:tabs>
      <w:snapToGrid w:val="0"/>
      <w:jc w:val="center"/>
    </w:pPr>
  </w:style>
  <w:style w:type="paragraph" w:customStyle="1" w:styleId="toc174eca712">
    <w:name w:val="toc 174eca712"/>
    <w:basedOn w:val="Normalb8ede314"/>
    <w:next w:val="a"/>
    <w:qFormat/>
  </w:style>
  <w:style w:type="paragraph" w:customStyle="1" w:styleId="toc4b0a553ed">
    <w:name w:val="toc 4b0a553ed"/>
    <w:basedOn w:val="Normalb8ede314"/>
    <w:next w:val="a"/>
    <w:qFormat/>
    <w:pPr>
      <w:ind w:left="1260"/>
    </w:pPr>
  </w:style>
  <w:style w:type="paragraph" w:customStyle="1" w:styleId="toc20ce72a88">
    <w:name w:val="toc 20ce72a88"/>
    <w:basedOn w:val="Normalb8ede314"/>
    <w:next w:val="a"/>
    <w:qFormat/>
    <w:pPr>
      <w:ind w:left="420"/>
    </w:pPr>
  </w:style>
  <w:style w:type="paragraph" w:customStyle="1" w:styleId="NormalWeb89f8fce9">
    <w:name w:val="Normal (Web)89f8fce9"/>
    <w:next w:val="a7"/>
    <w:qFormat/>
    <w:pPr>
      <w:spacing w:before="102" w:after="102" w:line="1099" w:lineRule="atLeast"/>
      <w:ind w:firstLine="419"/>
      <w:textAlignment w:val="baseline"/>
    </w:pPr>
    <w:rPr>
      <w:rFonts w:ascii="方正黑体_GBK" w:eastAsia="方正黑体_GBK"/>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kern w:val="2"/>
      <w:sz w:val="21"/>
      <w:szCs w:val="21"/>
    </w:rPr>
  </w:style>
  <w:style w:type="paragraph" w:customStyle="1" w:styleId="Normala8cc090ea8cc090e">
    <w:name w:val="Normala8cc090ea8cc090e"/>
    <w:next w:val="11"/>
    <w:qFormat/>
    <w:pPr>
      <w:widowControl w:val="0"/>
      <w:jc w:val="both"/>
    </w:pPr>
    <w:rPr>
      <w:rFonts w:ascii="方正黑体_GBK" w:eastAsia="方正黑体_GBK"/>
      <w:kern w:val="2"/>
      <w:sz w:val="21"/>
      <w:szCs w:val="21"/>
    </w:rPr>
  </w:style>
  <w:style w:type="paragraph" w:customStyle="1" w:styleId="heading18356d9178356d917">
    <w:name w:val="heading 18356d9178356d917"/>
    <w:basedOn w:val="Normala8cc090ea8cc090e"/>
    <w:next w:val="a"/>
    <w:qFormat/>
    <w:pPr>
      <w:keepNext/>
      <w:keepLines/>
      <w:spacing w:before="340" w:after="330" w:line="578" w:lineRule="auto"/>
      <w:outlineLvl w:val="0"/>
    </w:pPr>
    <w:rPr>
      <w:b/>
      <w:bCs/>
      <w:kern w:val="44"/>
      <w:sz w:val="44"/>
    </w:rPr>
  </w:style>
  <w:style w:type="paragraph" w:customStyle="1" w:styleId="heading2109a001d109a001d">
    <w:name w:val="heading 2109a001d109a001d"/>
    <w:basedOn w:val="Normala8cc090ea8cc090e"/>
    <w:next w:val="a"/>
    <w:qFormat/>
    <w:pPr>
      <w:keepNext/>
      <w:keepLines/>
      <w:spacing w:before="260" w:after="260" w:line="415" w:lineRule="auto"/>
      <w:outlineLvl w:val="1"/>
    </w:pPr>
    <w:rPr>
      <w:b/>
      <w:sz w:val="32"/>
    </w:rPr>
  </w:style>
  <w:style w:type="paragraph" w:customStyle="1" w:styleId="heading3e9fbb5a0e9fbb5a0">
    <w:name w:val="heading 3e9fbb5a0e9fbb5a0"/>
    <w:basedOn w:val="Normala8cc090ea8cc090e"/>
    <w:next w:val="a"/>
    <w:qFormat/>
    <w:pPr>
      <w:keepNext/>
      <w:keepLines/>
      <w:spacing w:before="260" w:after="260" w:line="415" w:lineRule="auto"/>
      <w:outlineLvl w:val="2"/>
    </w:pPr>
    <w:rPr>
      <w:b/>
      <w:sz w:val="32"/>
    </w:rPr>
  </w:style>
  <w:style w:type="character" w:customStyle="1" w:styleId="DefaultParagraphFontaa19d0dbaa19d0db">
    <w:name w:val="Default Paragraph Fontaa19d0dbaa19d0db"/>
    <w:qFormat/>
  </w:style>
  <w:style w:type="paragraph" w:customStyle="1" w:styleId="107e0252e07e0252e">
    <w:name w:val="引文目录107e0252e07e0252e"/>
    <w:basedOn w:val="Normala8cc090ea8cc090e"/>
    <w:next w:val="a"/>
    <w:qFormat/>
    <w:pPr>
      <w:ind w:leftChars="200" w:left="200"/>
    </w:pPr>
  </w:style>
  <w:style w:type="paragraph" w:customStyle="1" w:styleId="toc54527ce154527ce15">
    <w:name w:val="toc 54527ce154527ce15"/>
    <w:basedOn w:val="Normala8cc090ea8cc090e"/>
    <w:next w:val="a"/>
    <w:qFormat/>
    <w:pPr>
      <w:ind w:left="1680"/>
    </w:pPr>
  </w:style>
  <w:style w:type="paragraph" w:customStyle="1" w:styleId="toc39df5a7d59df5a7d5">
    <w:name w:val="toc 39df5a7d59df5a7d5"/>
    <w:basedOn w:val="Normala8cc090ea8cc090e"/>
    <w:next w:val="a"/>
    <w:qFormat/>
    <w:pPr>
      <w:ind w:left="840"/>
    </w:pPr>
  </w:style>
  <w:style w:type="paragraph" w:customStyle="1" w:styleId="footer5880ed445880ed44">
    <w:name w:val="footer5880ed445880ed44"/>
    <w:basedOn w:val="Normala8cc090ea8cc090e"/>
    <w:qFormat/>
    <w:pPr>
      <w:tabs>
        <w:tab w:val="center" w:pos="4153"/>
        <w:tab w:val="right" w:pos="8307"/>
      </w:tabs>
      <w:snapToGrid w:val="0"/>
      <w:jc w:val="left"/>
    </w:pPr>
    <w:rPr>
      <w:sz w:val="18"/>
    </w:rPr>
  </w:style>
  <w:style w:type="paragraph" w:customStyle="1" w:styleId="header49b1823249b18232">
    <w:name w:val="header49b1823249b18232"/>
    <w:basedOn w:val="Normala8cc090ea8cc090e"/>
    <w:qFormat/>
    <w:pPr>
      <w:pBdr>
        <w:bottom w:val="single" w:sz="6" w:space="1" w:color="auto"/>
      </w:pBdr>
      <w:tabs>
        <w:tab w:val="center" w:pos="4153"/>
        <w:tab w:val="right" w:pos="8307"/>
      </w:tabs>
      <w:snapToGrid w:val="0"/>
      <w:jc w:val="center"/>
    </w:pPr>
    <w:rPr>
      <w:sz w:val="18"/>
    </w:rPr>
  </w:style>
  <w:style w:type="paragraph" w:customStyle="1" w:styleId="toc1b2becd38b2becd38">
    <w:name w:val="toc 1b2becd38b2becd38"/>
    <w:basedOn w:val="Normala8cc090ea8cc090e"/>
    <w:next w:val="a"/>
    <w:qFormat/>
  </w:style>
  <w:style w:type="paragraph" w:customStyle="1" w:styleId="toc4694e7676694e7676">
    <w:name w:val="toc 4694e7676694e7676"/>
    <w:basedOn w:val="Normala8cc090ea8cc090e"/>
    <w:next w:val="a"/>
    <w:qFormat/>
    <w:pPr>
      <w:ind w:left="1260"/>
    </w:pPr>
  </w:style>
  <w:style w:type="paragraph" w:customStyle="1" w:styleId="toc2523d5357523d5357">
    <w:name w:val="toc 2523d5357523d5357"/>
    <w:basedOn w:val="Normala8cc090ea8cc090e"/>
    <w:next w:val="a"/>
    <w:qFormat/>
    <w:pPr>
      <w:ind w:left="420"/>
    </w:pPr>
  </w:style>
  <w:style w:type="paragraph" w:customStyle="1" w:styleId="1b32994c1b32994c1">
    <w:name w:val="列出段落1b32994c1b32994c1"/>
    <w:link w:val="1b32994c1b32994c1Char"/>
    <w:qFormat/>
    <w:pPr>
      <w:widowControl w:val="0"/>
      <w:ind w:firstLineChars="200" w:firstLine="200"/>
      <w:jc w:val="both"/>
    </w:pPr>
    <w:rPr>
      <w:rFonts w:ascii="方正黑体_GBK" w:eastAsia="方正黑体_GBK"/>
      <w:kern w:val="2"/>
      <w:sz w:val="21"/>
      <w:szCs w:val="21"/>
    </w:rPr>
  </w:style>
  <w:style w:type="character" w:customStyle="1" w:styleId="1b32994c1b32994c1Char">
    <w:name w:val="列出段落1b32994c1b32994c1 Char"/>
    <w:basedOn w:val="a0"/>
    <w:link w:val="1b32994c1b32994c1"/>
    <w:qFormat/>
    <w:rPr>
      <w:rFonts w:ascii="方正黑体_GBK" w:eastAsia="方正黑体_GBK" w:cs="Times New Roman"/>
      <w:snapToGrid/>
      <w:color w:val="auto"/>
      <w:spacing w:val="0"/>
      <w:w w:val="100"/>
      <w:kern w:val="2"/>
      <w:position w:val="0"/>
      <w:sz w:val="21"/>
      <w:szCs w:val="21"/>
      <w:u w:val="none"/>
      <w:shd w:val="clear" w:color="auto" w:fill="auto"/>
      <w:vertAlign w:val="baseline"/>
      <w:lang w:val="en-US" w:eastAsia="zh-CN" w:bidi="ar-SA"/>
    </w:rPr>
  </w:style>
  <w:style w:type="paragraph" w:customStyle="1" w:styleId="Normal950dbae9950dbae9">
    <w:name w:val="Normal950dbae9950dbae9"/>
    <w:next w:val="20"/>
    <w:qFormat/>
    <w:pPr>
      <w:widowControl w:val="0"/>
      <w:jc w:val="both"/>
    </w:pPr>
    <w:rPr>
      <w:rFonts w:ascii="方正黑体_GBK" w:eastAsia="方正黑体_GBK"/>
      <w:kern w:val="2"/>
      <w:sz w:val="21"/>
      <w:szCs w:val="21"/>
    </w:rPr>
  </w:style>
  <w:style w:type="paragraph" w:customStyle="1" w:styleId="12">
    <w:name w:val="列表段落1"/>
    <w:basedOn w:val="a"/>
    <w:uiPriority w:val="34"/>
    <w:unhideWhenUsed/>
    <w:qFormat/>
    <w:pPr>
      <w:ind w:firstLineChars="200" w:firstLine="420"/>
    </w:pPr>
  </w:style>
  <w:style w:type="paragraph" w:customStyle="1" w:styleId="13">
    <w:name w:val="列出段落1"/>
    <w:basedOn w:val="a"/>
    <w:uiPriority w:val="99"/>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 w:type="paragraph" w:styleId="ac">
    <w:name w:val="Balloon Text"/>
    <w:basedOn w:val="a"/>
    <w:link w:val="ad"/>
    <w:rsid w:val="00574068"/>
    <w:rPr>
      <w:sz w:val="18"/>
      <w:szCs w:val="18"/>
    </w:rPr>
  </w:style>
  <w:style w:type="character" w:customStyle="1" w:styleId="ad">
    <w:name w:val="批注框文本 字符"/>
    <w:basedOn w:val="a0"/>
    <w:link w:val="ac"/>
    <w:rsid w:val="00574068"/>
    <w:rPr>
      <w:rFonts w:ascii="方正黑体_GBK" w:eastAsia="方正黑体_GBK"/>
      <w:kern w:val="2"/>
      <w:sz w:val="18"/>
      <w:szCs w:val="18"/>
    </w:rPr>
  </w:style>
  <w:style w:type="character" w:customStyle="1" w:styleId="a8">
    <w:name w:val="页眉 字符"/>
    <w:basedOn w:val="a0"/>
    <w:link w:val="a7"/>
    <w:rsid w:val="00574068"/>
    <w:rPr>
      <w:rFonts w:ascii="方正黑体_GBK" w:eastAsia="方正黑体_GBK"/>
      <w:kern w:val="2"/>
      <w:sz w:val="18"/>
      <w:szCs w:val="21"/>
    </w:rPr>
  </w:style>
  <w:style w:type="character" w:customStyle="1" w:styleId="a6">
    <w:name w:val="页脚 字符"/>
    <w:basedOn w:val="a0"/>
    <w:link w:val="a5"/>
    <w:rsid w:val="00574068"/>
    <w:rPr>
      <w:rFonts w:ascii="方正黑体_GBK" w:eastAsia="方正黑体_GBK"/>
      <w:kern w:val="2"/>
      <w:sz w:val="18"/>
      <w:szCs w:val="21"/>
    </w:rPr>
  </w:style>
  <w:style w:type="paragraph" w:styleId="ae">
    <w:name w:val="Normal Indent"/>
    <w:basedOn w:val="a"/>
    <w:qFormat/>
    <w:rsid w:val="00574068"/>
    <w:pPr>
      <w:ind w:firstLineChars="200" w:firstLine="200"/>
    </w:pPr>
    <w:rPr>
      <w:rFonts w:ascii="Times New Roman" w:eastAsia="宋体"/>
      <w:sz w:val="18"/>
      <w:szCs w:val="18"/>
    </w:rPr>
  </w:style>
  <w:style w:type="character" w:customStyle="1" w:styleId="a4">
    <w:name w:val="批注文字 字符"/>
    <w:basedOn w:val="a0"/>
    <w:link w:val="a3"/>
    <w:rsid w:val="00574068"/>
    <w:rPr>
      <w:rFonts w:ascii="方正黑体_GBK" w:eastAsia="方正黑体_GB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6281</Words>
  <Characters>35807</Characters>
  <Application>Microsoft Office Word</Application>
  <DocSecurity>0</DocSecurity>
  <Lines>298</Lines>
  <Paragraphs>84</Paragraphs>
  <ScaleCrop>false</ScaleCrop>
  <Company>P R C</Company>
  <LinksUpToDate>false</LinksUpToDate>
  <CharactersWithSpaces>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2024-08-30T02:39:00Z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BC6C6833D6D34E10B2C09B27BBC83DC8</vt:lpwstr>
  </property>
</Properties>
</file>