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VWF06GC79TA06HGRYR8KLJN7NL0OAYRES0XWJDWXGI8TFLTZ7BRVCJ7FSTTPFIRXSM6SOL0ZI6D8HNJQSFTQFFW8RN0WHWBASOOQHB338D2F6D0CF139DE32A73D2CB35905BCE" Type="http://schemas.microsoft.com/office/2006/relationships/officeDocumentMain" Target="docProps/core.xml"/><Relationship Id="SZWMR6GI79TQ0THGRQR8ZL0S7ZEMOAGR9J06BJDWXGHRTEWTZRBJQCJXFYRTPDRRBEMXJOLKZHKD8INJQEFARF8C8RZMWMLBAEOD0HB3863889EE369760A0E03E311EE7B1B715"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关于调整南银理财珠联璧合安稳</w:t>
      </w:r>
      <w:r>
        <w:rPr>
          <w:rFonts w:hint="eastAsia" w:ascii="方正黑体_GBK" w:hAnsi="方正黑体_GBK" w:eastAsia="方正黑体_GBK" w:cs="方正黑体_GBK"/>
          <w:b/>
          <w:bCs/>
          <w:sz w:val="32"/>
          <w:szCs w:val="32"/>
          <w:lang w:val="en-US" w:eastAsia="zh-CN"/>
        </w:rPr>
        <w:t>1908</w:t>
      </w:r>
      <w:r>
        <w:rPr>
          <w:rFonts w:hint="eastAsia" w:ascii="方正黑体_GBK" w:hAnsi="方正黑体_GBK" w:eastAsia="方正黑体_GBK" w:cs="方正黑体_GBK"/>
          <w:b/>
          <w:bCs/>
          <w:sz w:val="32"/>
          <w:szCs w:val="32"/>
        </w:rPr>
        <w:t>一年定开公募人民币理财产品</w:t>
      </w:r>
      <w:r>
        <w:rPr>
          <w:rFonts w:hint="eastAsia" w:ascii="方正黑体_GBK" w:hAnsi="方正黑体_GBK" w:eastAsia="方正黑体_GBK" w:cs="方正黑体_GBK"/>
          <w:b/>
          <w:bCs/>
          <w:sz w:val="32"/>
          <w:szCs w:val="32"/>
          <w:lang w:eastAsia="zh-CN"/>
        </w:rPr>
        <w:t>相关要素</w:t>
      </w:r>
      <w:r>
        <w:rPr>
          <w:rFonts w:hint="eastAsia" w:ascii="方正黑体_GBK" w:hAnsi="方正黑体_GBK" w:eastAsia="方正黑体_GBK" w:cs="方正黑体_GBK"/>
          <w:b/>
          <w:bCs/>
          <w:sz w:val="32"/>
          <w:szCs w:val="32"/>
        </w:rPr>
        <w:t>的公告</w:t>
      </w:r>
    </w:p>
    <w:p>
      <w:pP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尊敬的投资者：</w:t>
      </w:r>
    </w:p>
    <w:p>
      <w:pPr>
        <w:spacing w:after="240"/>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color w:val="auto"/>
          <w:sz w:val="24"/>
          <w:szCs w:val="32"/>
          <w:lang w:eastAsia="zh-CN"/>
        </w:rPr>
        <w:t>根据</w:t>
      </w:r>
      <w:r>
        <w:rPr>
          <w:rFonts w:hint="eastAsia" w:ascii="方正黑体_GBK" w:hAnsi="方正黑体_GBK" w:eastAsia="方正黑体_GBK" w:cs="方正黑体_GBK"/>
          <w:color w:val="auto"/>
          <w:sz w:val="24"/>
          <w:szCs w:val="24"/>
          <w:lang w:eastAsia="zh-CN"/>
        </w:rPr>
        <w:t>理财产品说明书的相关约定，</w:t>
      </w:r>
      <w:r>
        <w:rPr>
          <w:rFonts w:hint="eastAsia" w:ascii="方正黑体_GBK" w:hAnsi="方正黑体_GBK" w:eastAsia="方正黑体_GBK" w:cs="方正黑体_GBK"/>
          <w:sz w:val="24"/>
        </w:rPr>
        <w:t>本公司将对南银理财珠联璧合安稳</w:t>
      </w:r>
      <w:r>
        <w:rPr>
          <w:rFonts w:hint="eastAsia" w:ascii="方正黑体_GBK" w:hAnsi="方正黑体_GBK" w:eastAsia="方正黑体_GBK" w:cs="方正黑体_GBK"/>
          <w:sz w:val="24"/>
          <w:lang w:val="en-US" w:eastAsia="zh-CN"/>
        </w:rPr>
        <w:t>1908</w:t>
      </w:r>
      <w:r>
        <w:rPr>
          <w:rFonts w:hint="eastAsia" w:ascii="方正黑体_GBK" w:hAnsi="方正黑体_GBK" w:eastAsia="方正黑体_GBK" w:cs="方正黑体_GBK"/>
          <w:sz w:val="24"/>
        </w:rPr>
        <w:t>一年定开公募人民币理财产品（产品登记编码：Z7003221000023）的</w:t>
      </w:r>
      <w:r>
        <w:rPr>
          <w:rFonts w:hint="eastAsia" w:ascii="方正黑体_GBK" w:hAnsi="方正黑体_GBK" w:eastAsia="方正黑体_GBK" w:cs="方正黑体_GBK"/>
          <w:sz w:val="24"/>
          <w:lang w:eastAsia="zh-CN"/>
        </w:rPr>
        <w:t>相关要素</w:t>
      </w:r>
      <w:r>
        <w:rPr>
          <w:rFonts w:hint="eastAsia" w:ascii="方正黑体_GBK" w:hAnsi="方正黑体_GBK" w:eastAsia="方正黑体_GBK" w:cs="方正黑体_GBK"/>
          <w:sz w:val="24"/>
        </w:rPr>
        <w:t>进行调整，具体如下：</w:t>
      </w:r>
    </w:p>
    <w:tbl>
      <w:tblPr>
        <w:tblStyle w:val="8"/>
        <w:tblW w:w="10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3817"/>
        <w:gridCol w:w="469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jc w:val="center"/>
              <w:rPr>
                <w:rFonts w:hint="eastAsia" w:ascii="方正黑体_GBK" w:hAnsi="方正黑体_GBK" w:eastAsia="方正黑体_GBK" w:cs="方正黑体_GBK"/>
                <w:b/>
                <w:bCs/>
                <w:sz w:val="18"/>
                <w:szCs w:val="18"/>
              </w:rPr>
            </w:pPr>
            <w:r>
              <w:rPr>
                <w:rFonts w:hint="eastAsia" w:ascii="方正黑体_GBK" w:hAnsi="方正黑体_GBK" w:eastAsia="方正黑体_GBK" w:cs="方正黑体_GBK"/>
                <w:b/>
                <w:bCs/>
                <w:sz w:val="18"/>
                <w:szCs w:val="18"/>
              </w:rPr>
              <w:t>调整要素</w:t>
            </w:r>
          </w:p>
        </w:tc>
        <w:tc>
          <w:tcPr>
            <w:tcW w:w="3817" w:type="dxa"/>
            <w:vAlign w:val="center"/>
          </w:tcPr>
          <w:p>
            <w:pPr>
              <w:jc w:val="center"/>
              <w:rPr>
                <w:rFonts w:hint="eastAsia" w:ascii="方正黑体_GBK" w:hAnsi="方正黑体_GBK" w:eastAsia="方正黑体_GBK" w:cs="方正黑体_GBK"/>
                <w:b/>
                <w:bCs/>
                <w:sz w:val="18"/>
                <w:szCs w:val="18"/>
              </w:rPr>
            </w:pPr>
            <w:r>
              <w:rPr>
                <w:rFonts w:hint="eastAsia" w:ascii="方正黑体_GBK" w:hAnsi="方正黑体_GBK" w:eastAsia="方正黑体_GBK" w:cs="方正黑体_GBK"/>
                <w:b/>
                <w:bCs/>
                <w:sz w:val="18"/>
                <w:szCs w:val="18"/>
              </w:rPr>
              <w:t>调整前</w:t>
            </w:r>
          </w:p>
        </w:tc>
        <w:tc>
          <w:tcPr>
            <w:tcW w:w="4690" w:type="dxa"/>
            <w:vAlign w:val="center"/>
          </w:tcPr>
          <w:p>
            <w:pPr>
              <w:jc w:val="center"/>
              <w:rPr>
                <w:rFonts w:hint="eastAsia" w:ascii="方正黑体_GBK" w:hAnsi="方正黑体_GBK" w:eastAsia="方正黑体_GBK" w:cs="方正黑体_GBK"/>
                <w:b/>
                <w:bCs/>
                <w:sz w:val="18"/>
                <w:szCs w:val="18"/>
              </w:rPr>
            </w:pPr>
            <w:r>
              <w:rPr>
                <w:rFonts w:hint="eastAsia" w:ascii="方正黑体_GBK" w:hAnsi="方正黑体_GBK" w:eastAsia="方正黑体_GBK" w:cs="方正黑体_GBK"/>
                <w:b/>
                <w:bCs/>
                <w:sz w:val="18"/>
                <w:szCs w:val="18"/>
              </w:rPr>
              <w:t>调整后</w:t>
            </w:r>
          </w:p>
        </w:tc>
        <w:tc>
          <w:tcPr>
            <w:tcW w:w="1033" w:type="dxa"/>
            <w:vAlign w:val="center"/>
          </w:tcPr>
          <w:p>
            <w:pPr>
              <w:jc w:val="center"/>
              <w:rPr>
                <w:rFonts w:hint="eastAsia" w:ascii="方正黑体_GBK" w:hAnsi="方正黑体_GBK" w:eastAsia="方正黑体_GBK" w:cs="方正黑体_GBK"/>
                <w:b/>
                <w:bCs/>
                <w:sz w:val="18"/>
                <w:szCs w:val="18"/>
                <w:lang w:eastAsia="zh-CN"/>
              </w:rPr>
            </w:pPr>
            <w:r>
              <w:rPr>
                <w:rFonts w:hint="eastAsia" w:ascii="方正黑体_GBK" w:hAnsi="方正黑体_GBK" w:eastAsia="方正黑体_GBK" w:cs="方正黑体_GBK"/>
                <w:b/>
                <w:bCs/>
                <w:sz w:val="18"/>
                <w:szCs w:val="18"/>
                <w:lang w:eastAsia="zh-CN"/>
              </w:rPr>
              <w:t>调整日期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sz w:val="18"/>
                <w:szCs w:val="18"/>
                <w:lang w:val="en-US" w:eastAsia="zh-CN"/>
              </w:rPr>
            </w:pPr>
            <w:r>
              <w:rPr>
                <w:rFonts w:hint="eastAsia" w:ascii="方正黑体_GBK" w:hAnsi="方正黑体_GBK" w:eastAsia="方正黑体_GBK" w:cs="方正黑体_GBK"/>
                <w:sz w:val="18"/>
                <w:szCs w:val="18"/>
                <w:lang w:val="en-US" w:eastAsia="zh-CN"/>
              </w:rPr>
              <w:t>业绩比较基准</w:t>
            </w:r>
          </w:p>
        </w:tc>
        <w:tc>
          <w:tcPr>
            <w:tcW w:w="3817" w:type="dxa"/>
            <w:vAlign w:val="center"/>
          </w:tcPr>
          <w:p>
            <w:pPr>
              <w:widowControl/>
              <w:spacing w:line="200" w:lineRule="exact"/>
              <w:ind w:firstLine="30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中债新综合财富指数（1-3年）收益率</w:t>
            </w:r>
          </w:p>
        </w:tc>
        <w:tc>
          <w:tcPr>
            <w:tcW w:w="4690" w:type="dxa"/>
            <w:vAlign w:val="center"/>
          </w:tcPr>
          <w:p>
            <w:pPr>
              <w:widowControl/>
              <w:spacing w:line="200" w:lineRule="exact"/>
              <w:ind w:firstLine="30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中债新综合全价(1-3年)指数收益率</w:t>
            </w:r>
          </w:p>
        </w:tc>
        <w:tc>
          <w:tcPr>
            <w:tcW w:w="1033" w:type="dxa"/>
            <w:vAlign w:val="center"/>
          </w:tcPr>
          <w:p>
            <w:pPr>
              <w:widowControl/>
              <w:spacing w:line="200" w:lineRule="exact"/>
              <w:ind w:firstLine="0"/>
              <w:jc w:val="center"/>
              <w:rPr>
                <w:rFonts w:hint="eastAsia" w:ascii="方正黑体_GBK" w:hAnsi="方正黑体_GBK" w:eastAsia="方正黑体_GBK" w:cs="方正黑体_GBK"/>
                <w:sz w:val="18"/>
                <w:szCs w:val="18"/>
                <w:lang w:val="en-US" w:eastAsia="zh-CN"/>
              </w:rPr>
            </w:pPr>
            <w:r>
              <w:rPr>
                <w:rFonts w:hint="eastAsia" w:ascii="方正黑体_GBK" w:hAnsi="方正黑体_GBK" w:eastAsia="方正黑体_GBK" w:cs="方正黑体_GBK"/>
                <w:sz w:val="18"/>
                <w:szCs w:val="18"/>
                <w:lang w:val="en-US" w:eastAsia="zh-CN"/>
              </w:rPr>
              <w:t>2024年9月12日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sz w:val="18"/>
                <w:szCs w:val="18"/>
                <w:lang w:eastAsia="zh-CN"/>
              </w:rPr>
            </w:pPr>
            <w:r>
              <w:rPr>
                <w:rFonts w:hint="eastAsia" w:ascii="方正黑体_GBK" w:hAnsi="方正黑体_GBK" w:eastAsia="方正黑体_GBK" w:cs="方正黑体_GBK"/>
                <w:sz w:val="18"/>
                <w:szCs w:val="18"/>
                <w:lang w:eastAsia="zh-CN"/>
              </w:rPr>
              <w:t>投资比例</w:t>
            </w:r>
          </w:p>
        </w:tc>
        <w:tc>
          <w:tcPr>
            <w:tcW w:w="3817" w:type="dxa"/>
            <w:vAlign w:val="center"/>
          </w:tcPr>
          <w:p>
            <w:pPr>
              <w:widowControl/>
              <w:spacing w:line="200" w:lineRule="exact"/>
              <w:ind w:firstLine="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本理财产品投资于固定收益类资产的比例</w:t>
            </w:r>
            <w:r>
              <w:rPr>
                <w:rFonts w:hint="eastAsia" w:ascii="方正黑体_GBK" w:hAnsi="方正黑体_GBK" w:eastAsia="方正黑体_GBK" w:cs="方正黑体_GBK"/>
                <w:sz w:val="18"/>
                <w:szCs w:val="18"/>
                <w:lang w:eastAsia="zh-CN"/>
              </w:rPr>
              <w:t>为</w:t>
            </w:r>
            <w:r>
              <w:rPr>
                <w:rFonts w:hint="eastAsia" w:ascii="方正黑体_GBK" w:hAnsi="方正黑体_GBK" w:eastAsia="方正黑体_GBK" w:cs="方正黑体_GBK"/>
                <w:sz w:val="18"/>
                <w:szCs w:val="18"/>
                <w:lang w:val="en-US" w:eastAsia="zh-CN"/>
              </w:rPr>
              <w:t>10</w:t>
            </w:r>
            <w:r>
              <w:rPr>
                <w:rFonts w:hint="eastAsia" w:ascii="方正黑体_GBK" w:hAnsi="方正黑体_GBK" w:eastAsia="方正黑体_GBK" w:cs="方正黑体_GBK"/>
                <w:sz w:val="18"/>
                <w:szCs w:val="18"/>
              </w:rPr>
              <w:t>0%,投资于非标准化债权类资产的比例不高于50%。</w:t>
            </w:r>
          </w:p>
        </w:tc>
        <w:tc>
          <w:tcPr>
            <w:tcW w:w="4690" w:type="dxa"/>
            <w:vAlign w:val="center"/>
          </w:tcPr>
          <w:p>
            <w:pPr>
              <w:widowControl/>
              <w:spacing w:line="200" w:lineRule="exact"/>
              <w:ind w:firstLine="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本理财产品投资于固定收益类资产的比例不低于80%,投资于非标准化债权类资产的比例不高于50%。</w:t>
            </w:r>
          </w:p>
        </w:tc>
        <w:tc>
          <w:tcPr>
            <w:tcW w:w="1033" w:type="dxa"/>
            <w:vAlign w:val="center"/>
          </w:tcPr>
          <w:p>
            <w:pPr>
              <w:widowControl/>
              <w:spacing w:line="200" w:lineRule="exact"/>
              <w:ind w:firstLine="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lang w:val="en-US" w:eastAsia="zh-CN"/>
              </w:rPr>
              <w:t>2024年9月12日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sz w:val="18"/>
                <w:szCs w:val="18"/>
                <w:lang w:eastAsia="zh-CN"/>
              </w:rPr>
            </w:pPr>
            <w:r>
              <w:rPr>
                <w:rFonts w:hint="eastAsia" w:ascii="方正黑体_GBK" w:hAnsi="方正黑体_GBK" w:eastAsia="方正黑体_GBK" w:cs="方正黑体_GBK"/>
                <w:sz w:val="18"/>
                <w:szCs w:val="18"/>
                <w:lang w:eastAsia="zh-CN"/>
              </w:rPr>
              <w:t>投资范围</w:t>
            </w:r>
          </w:p>
        </w:tc>
        <w:tc>
          <w:tcPr>
            <w:tcW w:w="3817" w:type="dxa"/>
            <w:vAlign w:val="center"/>
          </w:tcPr>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本理财产品募集的资金投资于以下金融资产和金融工具，包括但不限于：</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1.现金、银行存款、银行承兑汇票、同业存款、大额存单、同业存单、债券回购、货币基金等货币市场工具；</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3.理财直接融资工具、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4.投资范围为上述资产的信托计划、资产管理计划等资产管理产品；</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5.法律法规或监管机构允许投资的符合本理财产品投资性质的其他金融工具；</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6.如存在法律法规或监管机构以后允许投资的其他品种或法律法规或监管政策出现调整，管理人在履行本理财产品销售文件规定的适当程序后，有权调整以上品种。</w:t>
            </w:r>
          </w:p>
        </w:tc>
        <w:tc>
          <w:tcPr>
            <w:tcW w:w="4690" w:type="dxa"/>
            <w:vAlign w:val="center"/>
          </w:tcPr>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本理财产品募集的资金投资于以下金融资产和金融工具，包括但不限于：</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1.现金、银行存款、银行承兑汇票、同业存款、大额存单、同业存单、债券回购、货币基金等货币市场工具；</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4.投资范围为上述资产的信托计划、资产管理计划等资产管理产品；</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5.法律法规或监管机构允许投资的符合本理财产品投资性质的其他金融工具；</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6.如存在法律法规或监管机构以后允许投资的其他品种或法律法规或监管政策出现调整，管理人在履行本理财产品销售文件规定的适当程序后，有权调整以上品种。</w:t>
            </w:r>
          </w:p>
        </w:tc>
        <w:tc>
          <w:tcPr>
            <w:tcW w:w="1033" w:type="dxa"/>
            <w:vAlign w:val="center"/>
          </w:tcPr>
          <w:p>
            <w:pPr>
              <w:widowControl/>
              <w:spacing w:line="200" w:lineRule="exact"/>
              <w:ind w:firstLine="0"/>
              <w:jc w:val="center"/>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lang w:val="en-US" w:eastAsia="zh-CN"/>
              </w:rPr>
              <w:t>2024年9月12日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sz w:val="18"/>
                <w:szCs w:val="18"/>
                <w:lang w:eastAsia="zh-CN"/>
              </w:rPr>
            </w:pPr>
            <w:r>
              <w:rPr>
                <w:rFonts w:hint="eastAsia" w:ascii="方正黑体_GBK" w:hAnsi="方正黑体_GBK" w:eastAsia="方正黑体_GBK" w:cs="方正黑体_GBK"/>
                <w:color w:val="000000"/>
                <w:kern w:val="0"/>
                <w:sz w:val="18"/>
                <w:szCs w:val="18"/>
                <w:lang w:eastAsia="zh-CN"/>
              </w:rPr>
              <w:t>理财产品估值</w:t>
            </w:r>
          </w:p>
        </w:tc>
        <w:tc>
          <w:tcPr>
            <w:tcW w:w="3817" w:type="dxa"/>
            <w:vAlign w:val="center"/>
          </w:tcPr>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（一）估值日</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本理财产品每个工作日进行估值。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（二）估值对象</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本理财产品所拥有的所有资产及负债。</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（三）估值目的</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客观、准确反映理财产品的价值。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（四）估值原则</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估值中坚持公允价值计量原则。</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（五）估值方法</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1.债券的估值方法</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（1）本理财产品所投债券均在全国银行间债券市场或证券交易所市场交易，以估值技术确定公允价值，不投资在全国银行间债券市场和证券交易所市场两个市场以外交易的债券。</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（2）同一债券同时在两个或两个以上市场交易的，按债券所处的市场分别估值。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（3）未上市债券（指买入的债券已起息但尚未在全国银行间债券市场或证券交易所市场上市的阶段）按照其成本估值。应收利息按债券发行利率逐日计提，计入理财产品的当日净值。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2.银行存款、回购、借款和拆借以成本列示，按商定利率在实际持有期间内逐日计提利息。</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3.货币市场基金按照每日万份收益计提收益，其他证券投资基金按</w:t>
            </w:r>
            <w:r>
              <w:rPr>
                <w:rFonts w:hint="eastAsia" w:ascii="方正黑体_GBK" w:hAnsi="方正黑体_GBK" w:eastAsia="方正黑体_GBK" w:cs="方正黑体_GBK"/>
                <w:sz w:val="18"/>
                <w:szCs w:val="18"/>
              </w:rPr>
              <w:t>照最近一个估值日公布的基金净值进行估值。</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4.其他资产：存在公允价值的，按照公允价值估值；公允价值不能确定的按照估值技术确定其价值。</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5.如果管理人或托管人认为按以上约定的方法对产品资产进行估值不能客观反映其公允价值的，可提出异议，管理人和托管人协商一致后，变更公允价值的确定方式，并从经管理人与托管人协商一致日起执行。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6.如有新增事项或变更事项，按国家最新规定或管理人最新的约定估值。</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sz w:val="18"/>
                <w:szCs w:val="18"/>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tc>
        <w:tc>
          <w:tcPr>
            <w:tcW w:w="4690" w:type="dxa"/>
            <w:vAlign w:val="center"/>
          </w:tcPr>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（一）估值日</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本理财产品每个工作日进行估值。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（二）估值对象</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本理财产品所拥有的所有资产及负债。</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（三）估值目的</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客观、准确反映理财产品的价值。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（四）估值原则</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理财产品应坚持公允价值计量原则，</w:t>
            </w:r>
            <w:r>
              <w:rPr>
                <w:rFonts w:hint="eastAsia" w:ascii="方正黑体_GBK" w:hAnsi="方正黑体_GBK" w:eastAsia="方正黑体_GBK" w:cs="方正黑体_GBK"/>
                <w:color w:val="000000"/>
                <w:kern w:val="0"/>
                <w:sz w:val="18"/>
                <w:szCs w:val="18"/>
                <w:lang w:eastAsia="zh-CN"/>
              </w:rPr>
              <w:t>符合</w:t>
            </w:r>
            <w:r>
              <w:rPr>
                <w:rFonts w:hint="eastAsia" w:ascii="方正黑体_GBK" w:hAnsi="方正黑体_GBK" w:eastAsia="方正黑体_GBK" w:cs="方正黑体_GBK"/>
                <w:color w:val="000000"/>
                <w:kern w:val="0"/>
                <w:sz w:val="18"/>
                <w:szCs w:val="18"/>
              </w:rPr>
              <w:t>会计准则和监管规定的范围内</w:t>
            </w:r>
            <w:r>
              <w:rPr>
                <w:rFonts w:hint="eastAsia" w:ascii="方正黑体_GBK" w:hAnsi="方正黑体_GBK" w:eastAsia="方正黑体_GBK" w:cs="方正黑体_GBK"/>
                <w:color w:val="000000"/>
                <w:kern w:val="0"/>
                <w:sz w:val="18"/>
                <w:szCs w:val="18"/>
                <w:lang w:eastAsia="zh-CN"/>
              </w:rPr>
              <w:t>的可</w:t>
            </w:r>
            <w:r>
              <w:rPr>
                <w:rFonts w:hint="eastAsia" w:ascii="方正黑体_GBK" w:hAnsi="方正黑体_GBK" w:eastAsia="方正黑体_GBK" w:cs="方正黑体_GBK"/>
                <w:color w:val="000000"/>
                <w:kern w:val="0"/>
                <w:sz w:val="18"/>
                <w:szCs w:val="18"/>
              </w:rPr>
              <w:t>选择摊余成本法计量。</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（五）估值方法</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估值方法中列示的资产品种不代表管理人的实际投向，本理财产品拟投资范围以“投资范围”章节描述为准。</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1.银行存款、回购等货币市场工具</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以本金列示，按商定的利率在实际持有期间内逐日计提。</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2.债券类资产</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w:t>
            </w:r>
            <w:bookmarkStart w:id="0" w:name="_GoBack"/>
            <w:bookmarkEnd w:id="0"/>
            <w:r>
              <w:rPr>
                <w:rFonts w:hint="eastAsia" w:ascii="方正黑体_GBK" w:hAnsi="方正黑体_GBK" w:eastAsia="方正黑体_GBK" w:cs="方正黑体_GBK"/>
                <w:color w:val="000000"/>
                <w:kern w:val="0"/>
                <w:sz w:val="18"/>
                <w:szCs w:val="18"/>
              </w:rPr>
              <w:t>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3.非标准化债权类资产</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4.证券投资基金</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5.股权类资产</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6.资管计划、信托计划等资产</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存在公允价值的，按照公允价值估值，或采用估值技术确定估值，也可采用被委托机构提供的估值或计量报告。</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7.其他资产</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存在公允价值的，按照公允价值估值，或采用估值技术确定估值，也可采用被委托机构提供的估值或计量报告。具体可参考《企业会计准则》以及相关监管政策的规定。</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9.如有新增事项或变更事项，按国家最新规定或管理人最新的约定估值。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（六）估值错误及暂停估值</w:t>
            </w:r>
          </w:p>
          <w:p>
            <w:pPr>
              <w:widowControl/>
              <w:spacing w:line="200" w:lineRule="exact"/>
              <w:ind w:firstLine="30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color w:val="000000"/>
                <w:kern w:val="0"/>
                <w:sz w:val="18"/>
                <w:szCs w:val="18"/>
              </w:rPr>
              <w:t>当资产估值或份额净值计价错误且给投资者造成损失的，管理人应立即纠正，并采取合理的措施防止损失进一步扩大。</w:t>
            </w:r>
          </w:p>
          <w:p>
            <w:pPr>
              <w:widowControl/>
              <w:spacing w:line="200" w:lineRule="exact"/>
              <w:ind w:firstLine="30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color w:val="000000"/>
                <w:kern w:val="0"/>
                <w:sz w:val="18"/>
                <w:szCs w:val="18"/>
              </w:rPr>
              <w:t>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tc>
        <w:tc>
          <w:tcPr>
            <w:tcW w:w="1033" w:type="dxa"/>
            <w:vAlign w:val="center"/>
          </w:tcPr>
          <w:p>
            <w:pPr>
              <w:widowControl/>
              <w:spacing w:line="200" w:lineRule="exact"/>
              <w:ind w:firstLine="0"/>
              <w:jc w:val="center"/>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sz w:val="18"/>
                <w:szCs w:val="18"/>
                <w:lang w:val="en-US" w:eastAsia="zh-CN"/>
              </w:rPr>
              <w:t>2024年9月12日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4" w:type="dxa"/>
            <w:vAlign w:val="center"/>
          </w:tcPr>
          <w:p>
            <w:pPr>
              <w:spacing w:line="390" w:lineRule="exact"/>
              <w:jc w:val="center"/>
              <w:rPr>
                <w:rFonts w:hint="eastAsia" w:ascii="方正黑体_GBK" w:hAnsi="方正黑体_GBK" w:eastAsia="方正黑体_GBK" w:cs="方正黑体_GBK"/>
                <w:color w:val="000000"/>
                <w:kern w:val="0"/>
                <w:sz w:val="18"/>
                <w:szCs w:val="18"/>
                <w:lang w:eastAsia="zh-CN"/>
              </w:rPr>
            </w:pPr>
            <w:r>
              <w:rPr>
                <w:rFonts w:hint="eastAsia" w:ascii="方正黑体_GBK" w:hAnsi="方正黑体_GBK" w:eastAsia="方正黑体_GBK" w:cs="方正黑体_GBK"/>
                <w:sz w:val="18"/>
                <w:szCs w:val="18"/>
                <w:lang w:val="en-US" w:eastAsia="zh-CN"/>
              </w:rPr>
              <w:t>产品费用</w:t>
            </w:r>
          </w:p>
        </w:tc>
        <w:tc>
          <w:tcPr>
            <w:tcW w:w="3817" w:type="dxa"/>
            <w:vAlign w:val="center"/>
          </w:tcPr>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认/申购费：本理财产品暂不收取认/申购费。</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赎回费：本理财产品暂不收取赎回费。</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销售费：本理财产品按</w:t>
            </w:r>
            <w:r>
              <w:rPr>
                <w:rFonts w:hint="eastAsia" w:ascii="方正黑体_GBK" w:hAnsi="方正黑体_GBK" w:eastAsia="方正黑体_GBK" w:cs="方正黑体_GBK"/>
                <w:b w:val="0"/>
                <w:sz w:val="18"/>
                <w:szCs w:val="18"/>
                <w:lang w:eastAsia="zh-CN"/>
              </w:rPr>
              <w:t>当日理财产品份额</w:t>
            </w:r>
            <w:r>
              <w:rPr>
                <w:rFonts w:hint="eastAsia" w:ascii="方正黑体_GBK" w:hAnsi="方正黑体_GBK" w:eastAsia="方正黑体_GBK" w:cs="方正黑体_GBK"/>
                <w:b w:val="0"/>
                <w:sz w:val="18"/>
                <w:szCs w:val="18"/>
              </w:rPr>
              <w:t>收取年化0.2%的销售费，按日计提。</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每日计提的销售费=</w:t>
            </w:r>
            <w:r>
              <w:rPr>
                <w:rFonts w:hint="eastAsia" w:ascii="方正黑体_GBK" w:hAnsi="方正黑体_GBK" w:eastAsia="方正黑体_GBK" w:cs="方正黑体_GBK"/>
                <w:b w:val="0"/>
                <w:sz w:val="18"/>
                <w:szCs w:val="18"/>
                <w:lang w:eastAsia="zh-CN"/>
              </w:rPr>
              <w:t>当日理财产品份额</w:t>
            </w:r>
            <w:r>
              <w:rPr>
                <w:rFonts w:hint="eastAsia" w:ascii="方正黑体_GBK" w:hAnsi="方正黑体_GBK" w:eastAsia="方正黑体_GBK" w:cs="方正黑体_GBK"/>
                <w:b w:val="0"/>
                <w:sz w:val="18"/>
                <w:szCs w:val="18"/>
              </w:rPr>
              <w:t>×年化销售费率÷365</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固定管理费：本理财产品按</w:t>
            </w:r>
            <w:r>
              <w:rPr>
                <w:rFonts w:hint="eastAsia" w:ascii="方正黑体_GBK" w:hAnsi="方正黑体_GBK" w:eastAsia="方正黑体_GBK" w:cs="方正黑体_GBK"/>
                <w:b w:val="0"/>
                <w:sz w:val="18"/>
                <w:szCs w:val="18"/>
                <w:lang w:eastAsia="zh-CN"/>
              </w:rPr>
              <w:t>当日理财产品份额</w:t>
            </w:r>
            <w:r>
              <w:rPr>
                <w:rFonts w:hint="eastAsia" w:ascii="方正黑体_GBK" w:hAnsi="方正黑体_GBK" w:eastAsia="方正黑体_GBK" w:cs="方正黑体_GBK"/>
                <w:b w:val="0"/>
                <w:sz w:val="18"/>
                <w:szCs w:val="18"/>
              </w:rPr>
              <w:t>收取年化0.4%的固定管理费，按日计提。</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每日计提的固定管理费=</w:t>
            </w:r>
            <w:r>
              <w:rPr>
                <w:rFonts w:hint="eastAsia" w:ascii="方正黑体_GBK" w:hAnsi="方正黑体_GBK" w:eastAsia="方正黑体_GBK" w:cs="方正黑体_GBK"/>
                <w:b w:val="0"/>
                <w:sz w:val="18"/>
                <w:szCs w:val="18"/>
                <w:lang w:eastAsia="zh-CN"/>
              </w:rPr>
              <w:t>当日理财产品份额</w:t>
            </w:r>
            <w:r>
              <w:rPr>
                <w:rFonts w:hint="eastAsia" w:ascii="方正黑体_GBK" w:hAnsi="方正黑体_GBK" w:eastAsia="方正黑体_GBK" w:cs="方正黑体_GBK"/>
                <w:b w:val="0"/>
                <w:sz w:val="18"/>
                <w:szCs w:val="18"/>
              </w:rPr>
              <w:t>×年化固定管理费率÷365</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托管费：本理财产品按</w:t>
            </w:r>
            <w:r>
              <w:rPr>
                <w:rFonts w:hint="eastAsia" w:ascii="方正黑体_GBK" w:hAnsi="方正黑体_GBK" w:eastAsia="方正黑体_GBK" w:cs="方正黑体_GBK"/>
                <w:b w:val="0"/>
                <w:sz w:val="18"/>
                <w:szCs w:val="18"/>
                <w:lang w:eastAsia="zh-CN"/>
              </w:rPr>
              <w:t>当日理财产品份额</w:t>
            </w:r>
            <w:r>
              <w:rPr>
                <w:rFonts w:hint="eastAsia" w:ascii="方正黑体_GBK" w:hAnsi="方正黑体_GBK" w:eastAsia="方正黑体_GBK" w:cs="方正黑体_GBK"/>
                <w:b w:val="0"/>
                <w:sz w:val="18"/>
                <w:szCs w:val="18"/>
              </w:rPr>
              <w:t>收取年化0.02%的托管费，按日计提。</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每日计提的托管费=</w:t>
            </w:r>
            <w:r>
              <w:rPr>
                <w:rFonts w:hint="eastAsia" w:ascii="方正黑体_GBK" w:hAnsi="方正黑体_GBK" w:eastAsia="方正黑体_GBK" w:cs="方正黑体_GBK"/>
                <w:b w:val="0"/>
                <w:sz w:val="18"/>
                <w:szCs w:val="18"/>
                <w:lang w:eastAsia="zh-CN"/>
              </w:rPr>
              <w:t>当日理财产品份额</w:t>
            </w:r>
            <w:r>
              <w:rPr>
                <w:rFonts w:hint="eastAsia" w:ascii="方正黑体_GBK" w:hAnsi="方正黑体_GBK" w:eastAsia="方正黑体_GBK" w:cs="方正黑体_GBK"/>
                <w:b w:val="0"/>
                <w:sz w:val="18"/>
                <w:szCs w:val="18"/>
              </w:rPr>
              <w:t>×年化托管费率÷365</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业绩报酬：本理财产品暂不收取业绩报酬。</w:t>
            </w:r>
          </w:p>
          <w:p>
            <w:pPr>
              <w:widowControl/>
              <w:spacing w:line="200" w:lineRule="exact"/>
              <w:ind w:firstLine="0" w:firstLineChars="0"/>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c>
          <w:tcPr>
            <w:tcW w:w="4690" w:type="dxa"/>
            <w:vAlign w:val="center"/>
          </w:tcPr>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认/申购费：本理财产品暂不收取认/申购费。</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赎回费：本理财产品暂不收取赎回费。</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销售费：本理财产品按前一日理财产品资产净值收取年化0.2%的销售费，按日计提。</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每日计提的销售费=前一日理财产品资产净值×年化销售费率÷365</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固定管理费：本理财产品按前一日理财产品资产净值收取年化0.4%的固定管理费，按日计提。</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每日计提的固定管理费=前一日理财产品资产净值×年化固定管理费率÷365</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托管费：本理财产品按前一日理财产品资产净值收取年化0.02%的托管费，按日计提。</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每日计提的托管费=前一日理财产品资产净值×年化托管费率÷365</w:t>
            </w:r>
          </w:p>
          <w:p>
            <w:pPr>
              <w:widowControl/>
              <w:spacing w:line="200" w:lineRule="exact"/>
              <w:jc w:val="left"/>
              <w:rPr>
                <w:rFonts w:hint="eastAsia" w:ascii="方正黑体_GBK" w:hAnsi="方正黑体_GBK" w:eastAsia="方正黑体_GBK" w:cs="方正黑体_GBK"/>
                <w:sz w:val="18"/>
                <w:szCs w:val="18"/>
              </w:rPr>
            </w:pPr>
            <w:r>
              <w:rPr>
                <w:rFonts w:hint="eastAsia" w:ascii="方正黑体_GBK" w:hAnsi="方正黑体_GBK" w:eastAsia="方正黑体_GBK" w:cs="方正黑体_GBK"/>
                <w:b w:val="0"/>
                <w:sz w:val="18"/>
                <w:szCs w:val="18"/>
              </w:rPr>
              <w:t>业绩报酬：本理财产品暂不收取业绩报酬。</w:t>
            </w:r>
          </w:p>
          <w:p>
            <w:pPr>
              <w:widowControl/>
              <w:spacing w:line="200" w:lineRule="exact"/>
              <w:ind w:firstLine="0" w:firstLineChars="0"/>
              <w:jc w:val="left"/>
              <w:rPr>
                <w:rFonts w:hint="eastAsia" w:ascii="方正黑体_GBK" w:hAnsi="方正黑体_GBK" w:eastAsia="方正黑体_GBK" w:cs="方正黑体_GBK"/>
                <w:color w:val="000000"/>
                <w:kern w:val="0"/>
                <w:sz w:val="18"/>
                <w:szCs w:val="18"/>
              </w:rPr>
            </w:pPr>
            <w:r>
              <w:rPr>
                <w:rFonts w:hint="eastAsia" w:ascii="方正黑体_GBK" w:hAnsi="方正黑体_GBK" w:eastAsia="方正黑体_GBK" w:cs="方正黑体_GBK"/>
                <w:b w:val="0"/>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c>
          <w:tcPr>
            <w:tcW w:w="1033" w:type="dxa"/>
            <w:vAlign w:val="center"/>
          </w:tcPr>
          <w:p>
            <w:pPr>
              <w:widowControl/>
              <w:spacing w:line="200" w:lineRule="exact"/>
              <w:ind w:firstLine="0" w:firstLineChars="0"/>
              <w:jc w:val="center"/>
              <w:rPr>
                <w:rFonts w:hint="eastAsia" w:ascii="方正黑体_GBK" w:hAnsi="方正黑体_GBK" w:eastAsia="方正黑体_GBK" w:cs="方正黑体_GBK"/>
                <w:sz w:val="18"/>
                <w:szCs w:val="18"/>
                <w:lang w:val="en-US" w:eastAsia="zh-CN"/>
              </w:rPr>
            </w:pPr>
            <w:r>
              <w:rPr>
                <w:rFonts w:hint="eastAsia" w:ascii="方正黑体_GBK" w:hAnsi="方正黑体_GBK" w:eastAsia="方正黑体_GBK" w:cs="方正黑体_GBK"/>
                <w:sz w:val="18"/>
                <w:szCs w:val="18"/>
                <w:lang w:val="en-US" w:eastAsia="zh-CN"/>
              </w:rPr>
              <w:t>2024年9月13日</w:t>
            </w:r>
          </w:p>
        </w:tc>
      </w:tr>
    </w:tbl>
    <w:p>
      <w:pPr>
        <w:ind w:firstLine="420"/>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sz w:val="24"/>
          <w:szCs w:val="24"/>
        </w:rPr>
        <w:t>同时，本公司对理财产品销售文件进行了更新，更新后的理财产品销售文件详见</w:t>
      </w:r>
      <w:r>
        <w:rPr>
          <w:rFonts w:hint="eastAsia" w:ascii="方正黑体_GBK" w:hAnsi="方正黑体_GBK" w:eastAsia="方正黑体_GBK" w:cs="方正黑体_GBK"/>
          <w:sz w:val="24"/>
          <w:szCs w:val="24"/>
          <w:lang w:val="en-US" w:eastAsia="zh-CN"/>
        </w:rPr>
        <w:t>信息披露</w:t>
      </w:r>
      <w:r>
        <w:rPr>
          <w:rFonts w:hint="eastAsia" w:ascii="方正黑体_GBK" w:hAnsi="方正黑体_GBK" w:eastAsia="方正黑体_GBK" w:cs="方正黑体_GBK"/>
          <w:sz w:val="24"/>
          <w:szCs w:val="24"/>
        </w:rPr>
        <w:t>。</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b/>
          <w:bCs/>
          <w:sz w:val="24"/>
        </w:rPr>
        <w:t>如您不同意上述调整，可于202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9</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5</w:t>
      </w:r>
      <w:r>
        <w:rPr>
          <w:rFonts w:hint="eastAsia" w:ascii="方正黑体_GBK" w:hAnsi="方正黑体_GBK" w:eastAsia="方正黑体_GBK" w:cs="方正黑体_GBK"/>
          <w:b/>
          <w:bCs/>
          <w:sz w:val="24"/>
        </w:rPr>
        <w:t>日至202</w:t>
      </w:r>
      <w:r>
        <w:rPr>
          <w:rFonts w:hint="eastAsia" w:ascii="方正黑体_GBK" w:hAnsi="方正黑体_GBK" w:eastAsia="方正黑体_GBK" w:cs="方正黑体_GBK"/>
          <w:b/>
          <w:bCs/>
          <w:sz w:val="24"/>
          <w:lang w:val="en-US" w:eastAsia="zh-CN"/>
        </w:rPr>
        <w:t>4</w:t>
      </w:r>
      <w:r>
        <w:rPr>
          <w:rFonts w:hint="eastAsia" w:ascii="方正黑体_GBK" w:hAnsi="方正黑体_GBK" w:eastAsia="方正黑体_GBK" w:cs="方正黑体_GBK"/>
          <w:b/>
          <w:bCs/>
          <w:sz w:val="24"/>
        </w:rPr>
        <w:t>年</w:t>
      </w:r>
      <w:r>
        <w:rPr>
          <w:rFonts w:hint="eastAsia" w:ascii="方正黑体_GBK" w:hAnsi="方正黑体_GBK" w:eastAsia="方正黑体_GBK" w:cs="方正黑体_GBK"/>
          <w:b/>
          <w:bCs/>
          <w:sz w:val="24"/>
          <w:lang w:val="en-US" w:eastAsia="zh-CN"/>
        </w:rPr>
        <w:t>9</w:t>
      </w:r>
      <w:r>
        <w:rPr>
          <w:rFonts w:hint="eastAsia" w:ascii="方正黑体_GBK" w:hAnsi="方正黑体_GBK" w:eastAsia="方正黑体_GBK" w:cs="方正黑体_GBK"/>
          <w:b/>
          <w:bCs/>
          <w:sz w:val="24"/>
        </w:rPr>
        <w:t>月</w:t>
      </w:r>
      <w:r>
        <w:rPr>
          <w:rFonts w:hint="eastAsia" w:ascii="方正黑体_GBK" w:hAnsi="方正黑体_GBK" w:eastAsia="方正黑体_GBK" w:cs="方正黑体_GBK"/>
          <w:b/>
          <w:bCs/>
          <w:sz w:val="24"/>
          <w:lang w:val="en-US" w:eastAsia="zh-CN"/>
        </w:rPr>
        <w:t>11</w:t>
      </w:r>
      <w:r>
        <w:rPr>
          <w:rFonts w:hint="eastAsia" w:ascii="方正黑体_GBK" w:hAnsi="方正黑体_GBK" w:eastAsia="方正黑体_GBK" w:cs="方正黑体_GBK"/>
          <w:b/>
          <w:bCs/>
          <w:sz w:val="24"/>
        </w:rPr>
        <w:t>日（产品申购/赎回开放期期间）通过</w:t>
      </w:r>
      <w:r>
        <w:rPr>
          <w:rFonts w:hint="eastAsia" w:ascii="方正黑体_GBK" w:hAnsi="方正黑体_GBK" w:eastAsia="方正黑体_GBK" w:cs="方正黑体_GBK"/>
          <w:b/>
          <w:bCs/>
          <w:sz w:val="24"/>
          <w:lang w:eastAsia="zh-CN"/>
        </w:rPr>
        <w:t>销售</w:t>
      </w:r>
      <w:r>
        <w:rPr>
          <w:rFonts w:hint="eastAsia" w:ascii="方正黑体_GBK" w:hAnsi="方正黑体_GBK" w:eastAsia="方正黑体_GBK" w:cs="方正黑体_GBK"/>
          <w:b/>
          <w:bCs/>
          <w:sz w:val="24"/>
        </w:rPr>
        <w:t>机构向管理人申请赎回。</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如您对本公告有任何疑问，可联系本理财产品</w:t>
      </w:r>
      <w:r>
        <w:rPr>
          <w:rFonts w:hint="eastAsia" w:ascii="方正黑体_GBK" w:hAnsi="方正黑体_GBK" w:eastAsia="方正黑体_GBK" w:cs="方正黑体_GBK"/>
          <w:sz w:val="24"/>
          <w:lang w:eastAsia="zh-CN"/>
        </w:rPr>
        <w:t>销售</w:t>
      </w:r>
      <w:r>
        <w:rPr>
          <w:rFonts w:hint="eastAsia" w:ascii="方正黑体_GBK" w:hAnsi="方正黑体_GBK" w:eastAsia="方正黑体_GBK" w:cs="方正黑体_GBK"/>
          <w:sz w:val="24"/>
        </w:rPr>
        <w:t>机构或本公司，</w:t>
      </w:r>
      <w:r>
        <w:rPr>
          <w:rFonts w:hint="eastAsia" w:ascii="方正黑体_GBK" w:hAnsi="方正黑体_GBK" w:eastAsia="方正黑体_GBK" w:cs="方正黑体_GBK"/>
          <w:sz w:val="24"/>
          <w:lang w:eastAsia="zh-CN"/>
        </w:rPr>
        <w:t>我们</w:t>
      </w:r>
      <w:r>
        <w:rPr>
          <w:rFonts w:hint="eastAsia" w:ascii="方正黑体_GBK" w:hAnsi="方正黑体_GBK" w:eastAsia="方正黑体_GBK" w:cs="方正黑体_GBK"/>
          <w:sz w:val="24"/>
        </w:rPr>
        <w:t>将竭诚为您服务。</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感谢您一直以来的支持与信赖！</w:t>
      </w:r>
    </w:p>
    <w:p>
      <w:pPr>
        <w:ind w:firstLine="420"/>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特此公告。</w:t>
      </w:r>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南银理财有限责任公司</w:t>
      </w:r>
    </w:p>
    <w:p>
      <w:pPr>
        <w:ind w:firstLine="420"/>
        <w:jc w:val="right"/>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w:t>
      </w:r>
      <w:r>
        <w:rPr>
          <w:rFonts w:hint="eastAsia" w:ascii="方正黑体_GBK" w:hAnsi="方正黑体_GBK" w:eastAsia="方正黑体_GBK" w:cs="方正黑体_GBK"/>
          <w:sz w:val="24"/>
          <w:lang w:val="en-US" w:eastAsia="zh-CN"/>
        </w:rPr>
        <w:t>4</w:t>
      </w:r>
      <w:r>
        <w:rPr>
          <w:rFonts w:hint="eastAsia" w:ascii="方正黑体_GBK" w:hAnsi="方正黑体_GBK" w:eastAsia="方正黑体_GBK" w:cs="方正黑体_GBK"/>
          <w:sz w:val="24"/>
        </w:rPr>
        <w:t>年</w:t>
      </w:r>
      <w:r>
        <w:rPr>
          <w:rFonts w:hint="eastAsia" w:ascii="方正黑体_GBK" w:hAnsi="方正黑体_GBK" w:eastAsia="方正黑体_GBK" w:cs="方正黑体_GBK"/>
          <w:sz w:val="24"/>
          <w:lang w:val="en-US" w:eastAsia="zh-CN"/>
        </w:rPr>
        <w:t>8</w:t>
      </w:r>
      <w:r>
        <w:rPr>
          <w:rFonts w:hint="eastAsia" w:ascii="方正黑体_GBK" w:hAnsi="方正黑体_GBK" w:eastAsia="方正黑体_GBK" w:cs="方正黑体_GBK"/>
          <w:sz w:val="24"/>
        </w:rPr>
        <w:t>月</w:t>
      </w:r>
      <w:r>
        <w:rPr>
          <w:rFonts w:hint="eastAsia" w:ascii="方正黑体_GBK" w:hAnsi="方正黑体_GBK" w:eastAsia="方正黑体_GBK" w:cs="方正黑体_GBK"/>
          <w:sz w:val="24"/>
          <w:lang w:val="en-US" w:eastAsia="zh-CN"/>
        </w:rPr>
        <w:t>30</w:t>
      </w:r>
      <w:r>
        <w:rPr>
          <w:rFonts w:hint="eastAsia" w:ascii="方正黑体_GBK" w:hAnsi="方正黑体_GBK" w:eastAsia="方正黑体_GBK" w:cs="方正黑体_GBK"/>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ZGZjZGI0NDAxNWRlYTU1MDQzODcxYWQzMWNkMWYifQ=="/>
  </w:docVars>
  <w:rsids>
    <w:rsidRoot w:val="00172A27"/>
    <w:rsid w:val="000B116D"/>
    <w:rsid w:val="000D47C0"/>
    <w:rsid w:val="0010350A"/>
    <w:rsid w:val="00141B77"/>
    <w:rsid w:val="00143E93"/>
    <w:rsid w:val="002E06B8"/>
    <w:rsid w:val="00345495"/>
    <w:rsid w:val="004E61C2"/>
    <w:rsid w:val="00520B4F"/>
    <w:rsid w:val="00540312"/>
    <w:rsid w:val="005B2E63"/>
    <w:rsid w:val="00614091"/>
    <w:rsid w:val="00693870"/>
    <w:rsid w:val="006956DE"/>
    <w:rsid w:val="00716EE2"/>
    <w:rsid w:val="007A3BC2"/>
    <w:rsid w:val="007C15E8"/>
    <w:rsid w:val="00815684"/>
    <w:rsid w:val="00817A74"/>
    <w:rsid w:val="008255F5"/>
    <w:rsid w:val="0084156F"/>
    <w:rsid w:val="00914515"/>
    <w:rsid w:val="009C5DC2"/>
    <w:rsid w:val="009E1FBB"/>
    <w:rsid w:val="00AE5399"/>
    <w:rsid w:val="00B25C46"/>
    <w:rsid w:val="00B45E07"/>
    <w:rsid w:val="00C032B8"/>
    <w:rsid w:val="00C63875"/>
    <w:rsid w:val="00CE22FD"/>
    <w:rsid w:val="00CE5832"/>
    <w:rsid w:val="00CF6344"/>
    <w:rsid w:val="00D46835"/>
    <w:rsid w:val="00D920FD"/>
    <w:rsid w:val="00DA7481"/>
    <w:rsid w:val="00E22FB5"/>
    <w:rsid w:val="00E25963"/>
    <w:rsid w:val="00E305D5"/>
    <w:rsid w:val="00E63108"/>
    <w:rsid w:val="00EB61C7"/>
    <w:rsid w:val="00F5371B"/>
    <w:rsid w:val="035B6E9D"/>
    <w:rsid w:val="03CC00C8"/>
    <w:rsid w:val="05482502"/>
    <w:rsid w:val="06424EFE"/>
    <w:rsid w:val="065344DE"/>
    <w:rsid w:val="08495703"/>
    <w:rsid w:val="09511669"/>
    <w:rsid w:val="0B4F505C"/>
    <w:rsid w:val="0E8D7052"/>
    <w:rsid w:val="11185866"/>
    <w:rsid w:val="11195352"/>
    <w:rsid w:val="12C644CE"/>
    <w:rsid w:val="12ED368B"/>
    <w:rsid w:val="12FA4589"/>
    <w:rsid w:val="14400082"/>
    <w:rsid w:val="14B956E3"/>
    <w:rsid w:val="14DF3057"/>
    <w:rsid w:val="151D2EB9"/>
    <w:rsid w:val="185B0B3B"/>
    <w:rsid w:val="1B2672F4"/>
    <w:rsid w:val="1C9E0F0F"/>
    <w:rsid w:val="1CE329C9"/>
    <w:rsid w:val="1FA55D69"/>
    <w:rsid w:val="2077191A"/>
    <w:rsid w:val="217660FF"/>
    <w:rsid w:val="22155872"/>
    <w:rsid w:val="237C6A67"/>
    <w:rsid w:val="244D5031"/>
    <w:rsid w:val="26404A45"/>
    <w:rsid w:val="269D79D3"/>
    <w:rsid w:val="288A56D2"/>
    <w:rsid w:val="2AF819D9"/>
    <w:rsid w:val="2B0943F8"/>
    <w:rsid w:val="2B2C5E79"/>
    <w:rsid w:val="2BC35330"/>
    <w:rsid w:val="2CE37ABA"/>
    <w:rsid w:val="2E7472D1"/>
    <w:rsid w:val="2F394997"/>
    <w:rsid w:val="307B1078"/>
    <w:rsid w:val="3213175B"/>
    <w:rsid w:val="360F7DFC"/>
    <w:rsid w:val="363E586D"/>
    <w:rsid w:val="37726E1F"/>
    <w:rsid w:val="395A49DF"/>
    <w:rsid w:val="39B1266A"/>
    <w:rsid w:val="3AFF6A34"/>
    <w:rsid w:val="3B276116"/>
    <w:rsid w:val="3C281CA8"/>
    <w:rsid w:val="3C5D1AF8"/>
    <w:rsid w:val="3D7967DF"/>
    <w:rsid w:val="3F0E0C7B"/>
    <w:rsid w:val="405A1CAC"/>
    <w:rsid w:val="4069216E"/>
    <w:rsid w:val="40B97058"/>
    <w:rsid w:val="410C0110"/>
    <w:rsid w:val="438E2EF2"/>
    <w:rsid w:val="44511A9E"/>
    <w:rsid w:val="445913F0"/>
    <w:rsid w:val="452D6470"/>
    <w:rsid w:val="4552760B"/>
    <w:rsid w:val="465855EA"/>
    <w:rsid w:val="466900D1"/>
    <w:rsid w:val="46BD5FFF"/>
    <w:rsid w:val="46F53F15"/>
    <w:rsid w:val="491164B3"/>
    <w:rsid w:val="4A1A0AFD"/>
    <w:rsid w:val="4A424182"/>
    <w:rsid w:val="4ACD4267"/>
    <w:rsid w:val="4AE6615C"/>
    <w:rsid w:val="4B226EFD"/>
    <w:rsid w:val="4B385C6F"/>
    <w:rsid w:val="4C11776F"/>
    <w:rsid w:val="4D4D5B4E"/>
    <w:rsid w:val="4E15569D"/>
    <w:rsid w:val="4F0673A2"/>
    <w:rsid w:val="514800FA"/>
    <w:rsid w:val="527033B8"/>
    <w:rsid w:val="531D1627"/>
    <w:rsid w:val="58FF407B"/>
    <w:rsid w:val="5A0B433F"/>
    <w:rsid w:val="5B063EB2"/>
    <w:rsid w:val="5B1E7D3C"/>
    <w:rsid w:val="5BB35481"/>
    <w:rsid w:val="5CA644DC"/>
    <w:rsid w:val="5D107103"/>
    <w:rsid w:val="5D2D762B"/>
    <w:rsid w:val="5D7A33E9"/>
    <w:rsid w:val="5DFB460D"/>
    <w:rsid w:val="5E575A76"/>
    <w:rsid w:val="5E791A8D"/>
    <w:rsid w:val="611F7D37"/>
    <w:rsid w:val="62213976"/>
    <w:rsid w:val="64C913FB"/>
    <w:rsid w:val="66B95B6F"/>
    <w:rsid w:val="66F86621"/>
    <w:rsid w:val="69B93A27"/>
    <w:rsid w:val="69E06836"/>
    <w:rsid w:val="6B4060BF"/>
    <w:rsid w:val="6B7658B3"/>
    <w:rsid w:val="6BCB670E"/>
    <w:rsid w:val="6C055395"/>
    <w:rsid w:val="6CB121FC"/>
    <w:rsid w:val="6DF224AA"/>
    <w:rsid w:val="6F4D4C8B"/>
    <w:rsid w:val="6FE11AF9"/>
    <w:rsid w:val="712D3F3C"/>
    <w:rsid w:val="718C1A9B"/>
    <w:rsid w:val="727E02EB"/>
    <w:rsid w:val="73D74382"/>
    <w:rsid w:val="73FD3121"/>
    <w:rsid w:val="75231B84"/>
    <w:rsid w:val="759538FB"/>
    <w:rsid w:val="771542E1"/>
    <w:rsid w:val="774150D6"/>
    <w:rsid w:val="776E7761"/>
    <w:rsid w:val="786100F9"/>
    <w:rsid w:val="79147CC5"/>
    <w:rsid w:val="7AAB2866"/>
    <w:rsid w:val="7B1B79EC"/>
    <w:rsid w:val="7B664A27"/>
    <w:rsid w:val="7C58393C"/>
    <w:rsid w:val="7D1F2D8B"/>
    <w:rsid w:val="7E7323DB"/>
    <w:rsid w:val="7ECE1F2B"/>
    <w:rsid w:val="7F8411E4"/>
    <w:rsid w:val="7F8A3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2" w:beforeLines="0" w:after="102" w:afterLines="0" w:line="1099" w:lineRule="atLeast"/>
      <w:ind w:firstLine="419"/>
      <w:jc w:val="left"/>
      <w:textAlignment w:val="baseline"/>
    </w:pPr>
    <w:rPr>
      <w:color w:val="000000"/>
      <w:kern w:val="0"/>
      <w:sz w:val="24"/>
      <w:u w:val="none" w:color="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qFormat/>
    <w:uiPriority w:val="0"/>
    <w:rPr>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4817</Words>
  <Characters>4954</Characters>
  <Lines>16</Lines>
  <Paragraphs>4</Paragraphs>
  <TotalTime>2</TotalTime>
  <ScaleCrop>false</ScaleCrop>
  <LinksUpToDate>false</LinksUpToDate>
  <CharactersWithSpaces>4954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2022-06-13T10:07:00Z</dcterms:created>
  <dc:creator>钱哲贤</dc:creator>
  <cp:lastModifiedBy>高冬星</cp:lastModifiedBy>
  <cp:lastPrinted>2022-07-06T07:45:00Z</cp:lastPrinted>
  <dcterms:modified xsi:type="dcterms:W3CDTF">2024-08-27T01:13:27Z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74706A12816C4CEC834E0B9010105107_13</vt:lpwstr>
  </property>
  <property fmtid="{D5CDD505-2E9C-101B-9397-08002B2CF9AE}" pid="4" name="_KSOProductBuildMID">
    <vt:lpwstr>SVWF06GC79TA06HGRYR8KLJN7NL0OAYRES0XWJDWXGI8TFLTZ7BRVCJ7FSTTPFIRXSM6SOL0ZI6D8HNJQSFTQFFW8RN0WHWBASOOQHB338D2F6D0CF139DE32A73D2CB35905BCE</vt:lpwstr>
  </property>
  <property fmtid="{D5CDD505-2E9C-101B-9397-08002B2CF9AE}" pid="5" name="_KSOProductBuildSID">
    <vt:lpwstr>F0735796F0CE4B40B43EE07D07DB3EBA</vt:lpwstr>
  </property>
</Properties>
</file>