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06BU7RYQ0THGRZR8QL0J7ZCMOAPREU0XBJDWXFG8TELT66BR6CJVFYYTPD6RXUMXLOLKZHKD8PXJQEFTVFFV89QMWL5B8NODRHB3858F8BB52F7AF97B8BC9034D67E46A47" Type="http://schemas.microsoft.com/office/2006/relationships/officeDocumentMain" Target="docProps/core.xml"/><Relationship Id="SVWMG6GK796A0T9GRPR8QL097ZCMOYPR9F0XLJDWXGORTE5TZDBR6C0PFSTTPCRRBEM65OZGZIA78LNJRJFTRF8C8RM0WICB8XOD0HB389808C4C670152149E289C710EE5BC5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8" w:rsidRDefault="00333746">
      <w:pPr>
        <w:jc w:val="center"/>
        <w:rPr>
          <w:rFonts w:ascii="方正黑体简体" w:eastAsia="方正黑体简体" w:hAnsi="黑体" w:cs="黑体"/>
          <w:b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/>
          <w:bCs/>
          <w:sz w:val="32"/>
          <w:szCs w:val="32"/>
        </w:rPr>
        <w:t>南银理财鼎瑞安稳91天周期型1号开放式公募人民币理财产品2024年07月24日开放公告</w:t>
      </w:r>
    </w:p>
    <w:p w:rsidR="00E766A8" w:rsidRDefault="00333746">
      <w:pPr>
        <w:widowControl w:val="0"/>
        <w:spacing w:line="360" w:lineRule="auto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尊敬的投资者：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南银理财鼎瑞安稳91天周期型1号开放式公募人民币理财产品（产品登记编码Z7003224000033，内部销售代码Z12001）成立于2024年01月31日。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后续申购赎回安排：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104"/>
        <w:gridCol w:w="1958"/>
        <w:gridCol w:w="1793"/>
        <w:gridCol w:w="2047"/>
      </w:tblGrid>
      <w:tr w:rsidR="00E766A8">
        <w:trPr>
          <w:jc w:val="center"/>
        </w:trPr>
        <w:tc>
          <w:tcPr>
            <w:tcW w:w="3104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申购起止日</w:t>
            </w:r>
          </w:p>
        </w:tc>
        <w:tc>
          <w:tcPr>
            <w:tcW w:w="195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93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2047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2024/07/24-2024/07/30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2024/07/31-2024/08/06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2024/08/07-2024/08/13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2024/08/14-2024/08/20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2024/08/21-2024/08/27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2024-11-27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2024/08/28-2024/09/03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E766A8">
      <w:pPr>
        <w:widowControl w:val="0"/>
        <w:rPr>
          <w:rFonts w:ascii="方正仿宋简体" w:eastAsia="方正仿宋简体" w:hAnsi="仿宋" w:cs="仿宋"/>
          <w:szCs w:val="21"/>
        </w:rPr>
      </w:pP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历史开放信息：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32"/>
        <w:gridCol w:w="1701"/>
        <w:gridCol w:w="1701"/>
        <w:gridCol w:w="1418"/>
        <w:gridCol w:w="1701"/>
        <w:gridCol w:w="949"/>
      </w:tblGrid>
      <w:tr w:rsidR="00E766A8" w:rsidTr="007E3550">
        <w:trPr>
          <w:trHeight w:val="2981"/>
          <w:jc w:val="center"/>
        </w:trPr>
        <w:tc>
          <w:tcPr>
            <w:tcW w:w="1432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申购确认单位净值（元）/申购价格（元/份）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每份额累计净值（元）</w:t>
            </w:r>
          </w:p>
        </w:tc>
        <w:tc>
          <w:tcPr>
            <w:tcW w:w="141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赎回确认单位净值（元）/赎回价格（元/份）</w:t>
            </w:r>
          </w:p>
        </w:tc>
        <w:tc>
          <w:tcPr>
            <w:tcW w:w="949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1.014161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1.014161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1.013257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1.013257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1.012709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1.012709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1.012153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1.012153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98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1.011602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1.011602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1.011052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1.011052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92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1.010459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1.010459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1.009947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1.009947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1.009332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1.009332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1.008782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1.008782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1.008235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1.008235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1.007682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1.007682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1.006900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1.006900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1.006465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1.006465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1.012989</w:t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333746">
      <w:pPr>
        <w:widowControl w:val="0"/>
        <w:spacing w:line="360" w:lineRule="auto"/>
        <w:ind w:firstLineChars="50" w:firstLine="105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注：1.申购确认单位净值指运作起始日前一工作日的产品单位净值。累计每份额净值指从</w:t>
      </w:r>
      <w:r>
        <w:rPr>
          <w:rFonts w:ascii="方正仿宋简体" w:eastAsia="方正仿宋简体" w:hAnsi="仿宋" w:cs="仿宋" w:hint="eastAsia"/>
          <w:szCs w:val="21"/>
        </w:rPr>
        <w:lastRenderedPageBreak/>
        <w:t>产品成立至运作起始日前一工作日的产品累计净值。实际收益以客户收到金额为准。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2.客户份额实际持有天数为该份额运作起始日（含）至自动</w:t>
      </w:r>
      <w:bookmarkStart w:id="0" w:name="_GoBack"/>
      <w:bookmarkEnd w:id="0"/>
      <w:r>
        <w:rPr>
          <w:rFonts w:ascii="方正仿宋简体" w:eastAsia="方正仿宋简体" w:hAnsi="仿宋" w:cs="仿宋" w:hint="eastAsia"/>
          <w:szCs w:val="21"/>
        </w:rPr>
        <w:t>赎回日（不含）之间的天数。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3.赎回金额将于自动赎回日后5个工作日内到账，自动赎回日至资金到账日之间不计息。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4.运作起始日如遇节假日将重新调整并公告；自动赎回日如遇节假日将顺延至下一工作日，客户份额实际持有天数将延长，具体以公告为准。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5.业绩报酬（如有）按产品说明书约定收取，赎回确认单位净值/赎回价格已扣除业绩报酬。</w:t>
      </w:r>
    </w:p>
    <w:p w:rsidR="00E766A8" w:rsidRDefault="00333746">
      <w:pPr>
        <w:widowControl w:val="0"/>
        <w:spacing w:line="360" w:lineRule="auto"/>
        <w:ind w:firstLineChars="200" w:firstLine="420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特此公告。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南银理财有限责任公司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          2024年07月24日</w:t>
      </w:r>
    </w:p>
    <w:sectPr w:rsidR="00E766A8" w:rsidSect="00E766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9" w:rsidRDefault="008F56C9" w:rsidP="00194FB8">
      <w:r>
        <w:separator/>
      </w:r>
    </w:p>
  </w:endnote>
  <w:endnote w:type="continuationSeparator" w:id="1">
    <w:p w:rsidR="008F56C9" w:rsidRDefault="008F56C9" w:rsidP="0019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9" w:rsidRDefault="008F56C9" w:rsidP="00194FB8">
      <w:r>
        <w:separator/>
      </w:r>
    </w:p>
  </w:footnote>
  <w:footnote w:type="continuationSeparator" w:id="1">
    <w:p w:rsidR="008F56C9" w:rsidRDefault="008F56C9" w:rsidP="0019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Y2RlNzU3MDRjYmMwNjllZTFlNzU3ODhjOWI2NjUifQ=="/>
  </w:docVars>
  <w:rsids>
    <w:rsidRoot w:val="00C87E3A"/>
    <w:rsid w:val="00194FB8"/>
    <w:rsid w:val="001C3F30"/>
    <w:rsid w:val="003330B1"/>
    <w:rsid w:val="00333746"/>
    <w:rsid w:val="003544E3"/>
    <w:rsid w:val="00380A38"/>
    <w:rsid w:val="003B389A"/>
    <w:rsid w:val="00413305"/>
    <w:rsid w:val="00723B6B"/>
    <w:rsid w:val="007E268B"/>
    <w:rsid w:val="007E3550"/>
    <w:rsid w:val="008F56C9"/>
    <w:rsid w:val="00964F35"/>
    <w:rsid w:val="0097263D"/>
    <w:rsid w:val="00BD3811"/>
    <w:rsid w:val="00C87E3A"/>
    <w:rsid w:val="00CD2ED5"/>
    <w:rsid w:val="00CE7DDE"/>
    <w:rsid w:val="00D37F92"/>
    <w:rsid w:val="00D82DA2"/>
    <w:rsid w:val="00E766A8"/>
    <w:rsid w:val="00F93476"/>
    <w:rsid w:val="0C54178D"/>
    <w:rsid w:val="18D93306"/>
    <w:rsid w:val="1E3B30FD"/>
    <w:rsid w:val="1F4E2A98"/>
    <w:rsid w:val="334F6696"/>
    <w:rsid w:val="40E94765"/>
    <w:rsid w:val="4B0B609E"/>
    <w:rsid w:val="50867528"/>
    <w:rsid w:val="54897862"/>
    <w:rsid w:val="5D6023BC"/>
    <w:rsid w:val="64EC143C"/>
    <w:rsid w:val="73FD5349"/>
    <w:rsid w:val="74A5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6A8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6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bonj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2024-05-10T02:14:00Z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4F594D92E53B4DE2AB03E80230764CBF</vt:lpwstr>
  </property>
  <property fmtid="{D5CDD505-2E9C-101B-9397-08002B2CF9AE}" pid="4" name="_KSOProductBuildMID">
    <vt:lpwstr>SAWM06BU7RYQ0THGRZR8QL0J7ZCMOAPREU0XBJDWXFG8TELT66BR6CJVFYYTPD6RXUMXLOLKZHKD8PXJQEFTVFFV89QMWL5B8NODRHB3858F8BB52F7AF97B8BC9034D67E46A47</vt:lpwstr>
  </property>
  <property fmtid="{D5CDD505-2E9C-101B-9397-08002B2CF9AE}" pid="5" name="_KSOProductBuildSID">
    <vt:lpwstr>E9904654BCF74F739AAAEAC5DE4B666A</vt:lpwstr>
  </property>
</Properties>
</file>