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VWMQ6GQ79VA05HGRKR8KL0Y7NL0OAVR9X06TJDWXGORTGLT60BR6CJ6FS6TPDIRAUMXCOLRZHJD8PNJRNFAQFFT8RMMWI5B8JOOYHB3464DAD409DCECE57A866932B834026EB" Type="http://schemas.microsoft.com/office/2006/relationships/officeDocumentMain" Target="docProps/core.xml"/><Relationship Id="SPWMI6GC79UQ0VHGRPRNKLJ87NNMOSYRQE0XHJDWXFFRTQ5T68BRVCJ6FSUTPBRRBOMXJOLKZIWD8MEJRJFARFFT8RZMWHWB8FODQHB347AE9A000FB9E2B9EC3345AC42D5356E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南银理财珠联璧合理财管理计划2号公募人民币理财产品（Z10002）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2024年07月10日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南银理财理财管理计划2号（产品登记编码Z7003220000004，内部销售代码Z10002）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2015年04月30日，于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2024年07月04日至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2024年07月10日开放申购/赎回。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2024-07-11至2024-07-17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2024-07-17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2024-07-18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1.3505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1.0844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2024-07-04至2024-07-10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2024-07-03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1.3500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1.0839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1.0839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2024-06-27至2024-07-03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1.3495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2024-06-20至2024-06-26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2024年07月11日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SVWMQ6GQ79VA05HGRKR8KL0Y7NL0OAVR9X06TJDWXGORTGLT60BR6CJ6FS6TPDIRAUMXCOLRZHJD8PNJRNFAQFFT8RMMWI5B8JOOYHB3464DAD409DCECE57A866932B834026EB</vt:lpwstr>
  </property>
  <property fmtid="{D5CDD505-2E9C-101B-9397-08002B2CF9AE}" pid="5" name="_KSOProductBuildSID">
    <vt:lpwstr>SPWMI6GC79UQ0VHGRPRNKLJ87NNMOSYRQE0XHJDWXFFRTQ5T68BRVCJ6FSUTPBRRBOMXJOLKZIWD8MEJRJFARFFT8RZMWHWB8FODQHB347AE9A000FB9E2B9EC3345AC42D5356E</vt:lpwstr>
  </property>
</Properties>
</file>