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06B77RRQ0V9GRARNRL0S7ZEMOAGREO0XOJDWXGORTFCT68BRVC0QFYYTPBRRBXMXOOZMZIA78HJJQJFTDF8C89EMWILBANOOZHB3A237CFE5A7B95A2F7F272D49D1DAC0E7" Type="http://schemas.microsoft.com/office/2006/relationships/officeDocumentMain" Target="docProps/core.xml"/><Relationship Id="CAWFI6B77RRQ059GRAR8DLJN7NNMOAVR9E0XUJDWXFFRTG5T60BJQCJTFYRHPBIRAUMXNOLKZIWD8INJQXFTQFFX8RLMWL5B8XOOYHB3772458505B9E586DE6393BA0D3237F2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南银理财珠联璧合鑫逸稳三个月38期封闭式公募人民币理财产品发行公告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南银理财珠联璧合鑫逸稳三个月38期封闭式公募人民币理财产品（产品登记编码：Z7003224000119）已于2024年06月25日结束募集，符合产品成立条件，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于2024年06月26日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成立。该产品募集金额177,036,473.00元，理财资金将按产品说明书约定进行投资。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2024年06月27日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SKWM06B77RRQ0V9GRARNRL0S7ZEMOAGREO0XOJDWXGORTFCT68BRVC0QFYYTPBRRBXMXOOZMZIA78HJJQJFTDF8C89EMWILBANOOZHB3A237CFE5A7B95A2F7F272D49D1DAC0E7</vt:lpwstr>
  </property>
  <property fmtid="{D5CDD505-2E9C-101B-9397-08002B2CF9AE}" pid="5" name="_KSOProductBuildSID">
    <vt:lpwstr>CAWFI6B77RRQ059GRAR8DLJN7NNMOAVR9E0XUJDWXFFRTG5T60BJQCJTFYRHPBIRAUMXNOLKZIWD8INJQXFTQFFX8RLMWL5B8XOOYHB3772458505B9E586DE6393BA0D3237F2D</vt:lpwstr>
  </property>
</Properties>
</file>