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VWFY6GD79VA00HGRGRNDL0C7N80OXVREX0XFJDWXF8RTE5T66BRVCJVFY9HP88RBNMXNOLIZHK78MJJRUFTKFFN89C0WI5BAOOOQHB38C4F42148344092A883B89136A746D40" Type="http://schemas.microsoft.com/office/2006/relationships/officeDocumentMain" Target="docProps/core.xml"/><Relationship Id="DPWMY6BU79TQ069G9GRNQL057ZEMOAVREE06BJDWXGORTQLTZMBRVCJXFY5TP88RXOMXEOZGZHJD8HNJRXFTRFFU8RNMWICBANOD0HB3A22C0F2BD670344F1791676AB5953EA4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南银理财珠联璧合鑫逸稳三个月19期封闭式公募人民币理财产品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南银理财珠联璧合鑫逸稳三个月19期封闭式公募人民币理财产品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ZZ700322400016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Z7003224000040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2024年02月28日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2024年06月06日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Y80019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2.66%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1,952,401.35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Y81019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485,544.95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Y82019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472,395.27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21,333.57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249,746.95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48,714.11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180,060.87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2024年06月06日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SVWFY6GD79VA00HGRGRNDL0C7N80OXVREX0XFJDWXF8RTE5T66BRVCJVFY9HP88RBNMXNOLIZHK78MJJRUFTKFFN89C0WI5BAOOOQHB38C4F42148344092A883B89136A746D40</vt:lpwstr>
  </property>
  <property fmtid="{D5CDD505-2E9C-101B-9397-08002B2CF9AE}" pid="5" name="_KSOProductBuildSID">
    <vt:lpwstr>DPWMY6BU79TQ069G9GRNQL057ZEMOAVREE06BJDWXGORTQLTZMBRVCJXFY5TP88RXOMXEOZGZHJD8HNJRXFTRFFU8RNMWICBANOD0HB3A22C0F2BD670344F1791676AB5953EA4</vt:lpwstr>
  </property>
</Properties>
</file>