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ascii="方正黑体_GBK" w:eastAsia="方正黑体_GBK"/>
          <w:b/>
          <w:bCs/>
          <w:vanish w:val="0"/>
          <w:kern w:val="0"/>
          <w:sz w:val="24"/>
          <w:szCs w:val="24"/>
        </w:rPr>
      </w:pPr>
      <w:r>
        <w:rPr>
          <w:rFonts w:hint="eastAsia" w:asci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eastAsia="方正黑体_GBK"/>
          <w:vanish w:val="0"/>
          <w:color w:val="3D3D3D"/>
          <w:kern w:val="0"/>
          <w:sz w:val="18"/>
          <w:szCs w:val="18"/>
        </w:rPr>
      </w:pPr>
      <w:r>
        <w:rPr>
          <w:rFonts w:ascii="方正黑体_GBK" w:eastAsia="方正黑体_GBK"/>
          <w:b/>
          <w:bCs/>
          <w:i/>
          <w:iCs/>
          <w:vanish w:val="0"/>
          <w:kern w:val="0"/>
          <w:sz w:val="24"/>
          <w:szCs w:val="24"/>
          <w:u w:val="single"/>
        </w:rPr>
        <w:t>“</w:t>
      </w:r>
      <w:r>
        <w:rPr>
          <w:rFonts w:hint="eastAsia" w:ascii="方正黑体_GBK" w:eastAsia="方正黑体_GBK" w:cs="Times New Roman"/>
          <w:b/>
          <w:bCs/>
          <w:i/>
          <w:iCs/>
          <w:vanish w:val="0"/>
          <w:kern w:val="0"/>
          <w:sz w:val="24"/>
          <w:szCs w:val="24"/>
          <w:u w:val="single"/>
        </w:rPr>
        <w:t>理财非存款、产品有风险、投资须谨慎</w:t>
      </w:r>
      <w:r>
        <w:rPr>
          <w:rFonts w:ascii="方正黑体_GBK" w:eastAsia="方正黑体_GBK"/>
          <w:b/>
          <w:bCs/>
          <w:i/>
          <w:iCs/>
          <w:vanish w:val="0"/>
          <w:kern w:val="0"/>
          <w:sz w:val="24"/>
          <w:szCs w:val="24"/>
          <w:u w:val="single"/>
        </w:rPr>
        <w:t>”</w:t>
      </w:r>
      <w:r>
        <w:rPr>
          <w:rFonts w:hint="eastAsia" w:asci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eastAsia="方正黑体_GBK" w:cs="Times New Roman"/>
          <w:b/>
          <w:bCs w:val="0"/>
          <w:vanish w:val="0"/>
          <w:color w:val="3D3D3D"/>
          <w:kern w:val="0"/>
          <w:sz w:val="13"/>
          <w:szCs w:val="13"/>
        </w:rPr>
      </w:pPr>
      <w:r>
        <w:rPr>
          <w:rFonts w:hint="eastAsia" w:ascii="方正黑体_GBK" w:eastAsia="方正黑体_GBK"/>
          <w:b/>
          <w:bCs w:val="0"/>
          <w:vanish w:val="0"/>
          <w:color w:val="3D3D3D"/>
          <w:kern w:val="0"/>
          <w:sz w:val="13"/>
          <w:szCs w:val="13"/>
        </w:rPr>
        <w:t>本理财产品是</w:t>
      </w:r>
      <w:r>
        <w:rPr>
          <w:rFonts w:hint="eastAsia" w:ascii="方正黑体_GBK" w:eastAsia="方正黑体_GBK"/>
          <w:b/>
          <w:bCs w:val="0"/>
          <w:i/>
          <w:iCs/>
          <w:vanish w:val="0"/>
          <w:color w:val="3D3D3D"/>
          <w:kern w:val="0"/>
          <w:sz w:val="20"/>
          <w:szCs w:val="20"/>
          <w:u w:val="single"/>
        </w:rPr>
        <w:t>开放式、固定收益类、公募、净值型</w:t>
      </w:r>
      <w:r>
        <w:rPr>
          <w:rFonts w:hint="eastAsia" w:ascii="方正黑体_GBK" w:eastAsia="方正黑体_GBK"/>
          <w:b/>
          <w:bCs w:val="0"/>
          <w:vanish w:val="0"/>
          <w:color w:val="3D3D3D"/>
          <w:kern w:val="0"/>
          <w:sz w:val="13"/>
          <w:szCs w:val="13"/>
        </w:rPr>
        <w:t>理财产品，</w:t>
      </w:r>
      <w:r>
        <w:rPr>
          <w:rFonts w:hint="eastAsia" w:ascii="方正黑体_GBK" w:eastAsia="方正黑体_GBK" w:cs="Times New Roman"/>
          <w:b/>
          <w:bCs w:val="0"/>
          <w:i/>
          <w:iCs/>
          <w:vanish w:val="0"/>
          <w:color w:val="3D3D3D"/>
          <w:kern w:val="0"/>
          <w:sz w:val="20"/>
          <w:szCs w:val="20"/>
          <w:u w:val="single"/>
        </w:rPr>
        <w:t>不保证本金和收益</w:t>
      </w:r>
      <w:r>
        <w:rPr>
          <w:rFonts w:hint="eastAsia" w:ascii="方正黑体_GBK" w:eastAsia="方正黑体_GBK"/>
          <w:b/>
          <w:bCs w:val="0"/>
          <w:vanish w:val="0"/>
          <w:color w:val="3D3D3D"/>
          <w:kern w:val="0"/>
          <w:sz w:val="13"/>
          <w:szCs w:val="13"/>
        </w:rPr>
        <w:t>，您（以下或称为</w:t>
      </w:r>
      <w:r>
        <w:rPr>
          <w:rFonts w:ascii="方正黑体_GBK" w:eastAsia="方正黑体_GBK"/>
          <w:b/>
          <w:bCs w:val="0"/>
          <w:vanish w:val="0"/>
          <w:color w:val="3D3D3D"/>
          <w:kern w:val="0"/>
          <w:sz w:val="13"/>
          <w:szCs w:val="13"/>
        </w:rPr>
        <w:t>“</w:t>
      </w:r>
      <w:r>
        <w:rPr>
          <w:rFonts w:hint="eastAsia" w:ascii="方正黑体_GBK" w:eastAsia="方正黑体_GBK"/>
          <w:b/>
          <w:bCs w:val="0"/>
          <w:vanish w:val="0"/>
          <w:color w:val="3D3D3D"/>
          <w:kern w:val="0"/>
          <w:sz w:val="13"/>
          <w:szCs w:val="13"/>
        </w:rPr>
        <w:t>投资者</w:t>
      </w:r>
      <w:r>
        <w:rPr>
          <w:rFonts w:ascii="方正黑体_GBK" w:eastAsia="方正黑体_GBK"/>
          <w:b/>
          <w:bCs w:val="0"/>
          <w:vanish w:val="0"/>
          <w:color w:val="3D3D3D"/>
          <w:kern w:val="0"/>
          <w:sz w:val="13"/>
          <w:szCs w:val="13"/>
        </w:rPr>
        <w:t>”</w:t>
      </w:r>
      <w:r>
        <w:rPr>
          <w:rFonts w:hint="eastAsia" w:ascii="方正黑体_GBK" w:eastAsia="方正黑体_GBK"/>
          <w:b/>
          <w:bCs w:val="0"/>
          <w:vanish w:val="0"/>
          <w:color w:val="3D3D3D"/>
          <w:kern w:val="0"/>
          <w:sz w:val="13"/>
          <w:szCs w:val="13"/>
        </w:rPr>
        <w:t>）的本金与收益可能会蒙受</w:t>
      </w:r>
      <w:r>
        <w:rPr>
          <w:rFonts w:hint="eastAsia" w:ascii="方正黑体_GBK" w:eastAsia="方正黑体_GBK" w:cs="Times New Roman"/>
          <w:b/>
          <w:bCs w:val="0"/>
          <w:vanish w:val="0"/>
          <w:color w:val="3D3D3D"/>
          <w:kern w:val="0"/>
          <w:sz w:val="13"/>
          <w:szCs w:val="13"/>
        </w:rPr>
        <w:t>全部或部分</w:t>
      </w:r>
      <w:r>
        <w:rPr>
          <w:rFonts w:hint="eastAsia" w:ascii="方正黑体_GBK" w:eastAsia="方正黑体_GBK"/>
          <w:b/>
          <w:bCs w:val="0"/>
          <w:vanish w:val="0"/>
          <w:color w:val="3D3D3D"/>
          <w:kern w:val="0"/>
          <w:sz w:val="13"/>
          <w:szCs w:val="13"/>
        </w:rPr>
        <w:t>损失，</w:t>
      </w:r>
      <w:r>
        <w:rPr>
          <w:rFonts w:hint="eastAsia" w:ascii="方正黑体_GBK" w:eastAsia="方正黑体_GBK" w:cs="Times New Roman"/>
          <w:b/>
          <w:bCs w:val="0"/>
          <w:vanish w:val="0"/>
          <w:color w:val="3D3D3D"/>
          <w:kern w:val="0"/>
          <w:sz w:val="13"/>
          <w:szCs w:val="13"/>
        </w:rPr>
        <w:t>在您选择购买本理财产品前，您应仔细阅读</w:t>
      </w:r>
      <w:r>
        <w:rPr>
          <w:rFonts w:hint="eastAsia" w:asci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eastAsia="方正黑体_GBK" w:cs="Times New Roman"/>
          <w:b/>
          <w:bCs w:val="0"/>
          <w:vanish w:val="0"/>
          <w:color w:val="3D3D3D"/>
          <w:kern w:val="0"/>
          <w:sz w:val="13"/>
          <w:szCs w:val="13"/>
        </w:rPr>
        <w:t>和《理财产品投资协议书》</w:t>
      </w:r>
      <w:r>
        <w:rPr>
          <w:rFonts w:hint="eastAsia" w:ascii="方正黑体_GBK" w:eastAsia="方正黑体_GBK"/>
          <w:b/>
          <w:bCs w:val="0"/>
          <w:vanish w:val="0"/>
          <w:color w:val="3D3D3D"/>
          <w:kern w:val="0"/>
          <w:sz w:val="13"/>
          <w:szCs w:val="13"/>
        </w:rPr>
        <w:t>（以下合称</w:t>
      </w:r>
      <w:r>
        <w:rPr>
          <w:rFonts w:ascii="方正黑体_GBK" w:eastAsia="方正黑体_GBK"/>
          <w:b/>
          <w:bCs w:val="0"/>
          <w:vanish w:val="0"/>
          <w:color w:val="3D3D3D"/>
          <w:kern w:val="0"/>
          <w:sz w:val="13"/>
          <w:szCs w:val="13"/>
        </w:rPr>
        <w:t>“</w:t>
      </w:r>
      <w:r>
        <w:rPr>
          <w:rFonts w:hint="eastAsia" w:ascii="方正黑体_GBK" w:eastAsia="方正黑体_GBK"/>
          <w:b/>
          <w:bCs w:val="0"/>
          <w:vanish w:val="0"/>
          <w:color w:val="3D3D3D"/>
          <w:kern w:val="0"/>
          <w:sz w:val="13"/>
          <w:szCs w:val="13"/>
        </w:rPr>
        <w:t>理财产品销售文件</w:t>
      </w:r>
      <w:r>
        <w:rPr>
          <w:rFonts w:ascii="方正黑体_GBK" w:eastAsia="方正黑体_GBK"/>
          <w:b/>
          <w:bCs w:val="0"/>
          <w:vanish w:val="0"/>
          <w:color w:val="3D3D3D"/>
          <w:kern w:val="0"/>
          <w:sz w:val="13"/>
          <w:szCs w:val="13"/>
        </w:rPr>
        <w:t>”</w:t>
      </w:r>
      <w:r>
        <w:rPr>
          <w:rFonts w:hint="eastAsia" w:ascii="方正黑体_GBK" w:eastAsia="方正黑体_GBK"/>
          <w:b/>
          <w:bCs w:val="0"/>
          <w:vanish w:val="0"/>
          <w:color w:val="3D3D3D"/>
          <w:kern w:val="0"/>
          <w:sz w:val="13"/>
          <w:szCs w:val="13"/>
        </w:rPr>
        <w:t>）</w:t>
      </w:r>
      <w:r>
        <w:rPr>
          <w:rFonts w:hint="eastAsia" w:ascii="方正黑体_GBK" w:eastAsia="方正黑体_GBK" w:cs="Times New Roman"/>
          <w:b/>
          <w:bCs w:val="0"/>
          <w:vanish w:val="0"/>
          <w:color w:val="3D3D3D"/>
          <w:kern w:val="0"/>
          <w:sz w:val="13"/>
          <w:szCs w:val="13"/>
        </w:rPr>
        <w:t>，了解本理财产品信息及详细</w:t>
      </w:r>
      <w:r>
        <w:rPr>
          <w:rFonts w:hint="eastAsia" w:ascii="方正黑体_GBK" w:eastAsia="方正黑体_GBK"/>
          <w:b/>
          <w:bCs w:val="0"/>
          <w:vanish w:val="0"/>
          <w:color w:val="3D3D3D"/>
          <w:kern w:val="0"/>
          <w:sz w:val="13"/>
          <w:szCs w:val="13"/>
        </w:rPr>
        <w:t>条款</w:t>
      </w:r>
      <w:r>
        <w:rPr>
          <w:rFonts w:hint="eastAsia" w:asci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ascii="方正黑体_GBK" w:eastAsia="方正黑体_GBK"/>
          <w:b/>
          <w:bCs w:val="0"/>
          <w:vanish w:val="0"/>
          <w:color w:val="3D3D3D"/>
          <w:kern w:val="0"/>
          <w:sz w:val="13"/>
          <w:szCs w:val="13"/>
        </w:rPr>
      </w:pPr>
      <w:r>
        <w:rPr>
          <w:rFonts w:hint="eastAsia" w:ascii="方正黑体_GBK" w:eastAsia="方正黑体_GBK" w:cs="Times New Roman"/>
          <w:b/>
          <w:bCs w:val="0"/>
          <w:vanish w:val="0"/>
          <w:color w:val="3D3D3D"/>
          <w:kern w:val="0"/>
          <w:sz w:val="13"/>
          <w:szCs w:val="13"/>
        </w:rPr>
        <w:t>重要提示：</w:t>
      </w:r>
      <w:r>
        <w:rPr>
          <w:rFonts w:hint="eastAsia" w:ascii="方正黑体_GBK" w:eastAsia="方正黑体_GBK"/>
          <w:b/>
          <w:bCs w:val="0"/>
          <w:vanish w:val="0"/>
          <w:color w:val="3D3D3D"/>
          <w:kern w:val="0"/>
          <w:sz w:val="13"/>
          <w:szCs w:val="13"/>
        </w:rPr>
        <w:t>南银理财有限责任公司（以下简称为</w:t>
      </w:r>
      <w:r>
        <w:rPr>
          <w:rFonts w:ascii="方正黑体_GBK" w:eastAsia="方正黑体_GBK"/>
          <w:b/>
          <w:bCs w:val="0"/>
          <w:vanish w:val="0"/>
          <w:color w:val="3D3D3D"/>
          <w:kern w:val="0"/>
          <w:sz w:val="13"/>
          <w:szCs w:val="13"/>
        </w:rPr>
        <w:t>“</w:t>
      </w:r>
      <w:r>
        <w:rPr>
          <w:rFonts w:hint="eastAsia" w:ascii="方正黑体_GBK" w:eastAsia="方正黑体_GBK"/>
          <w:b/>
          <w:bCs w:val="0"/>
          <w:vanish w:val="0"/>
          <w:color w:val="3D3D3D"/>
          <w:kern w:val="0"/>
          <w:sz w:val="13"/>
          <w:szCs w:val="13"/>
        </w:rPr>
        <w:t>南银理财</w:t>
      </w:r>
      <w:r>
        <w:rPr>
          <w:rFonts w:ascii="方正黑体_GBK" w:eastAsia="方正黑体_GBK"/>
          <w:b/>
          <w:bCs w:val="0"/>
          <w:vanish w:val="0"/>
          <w:color w:val="3D3D3D"/>
          <w:kern w:val="0"/>
          <w:sz w:val="13"/>
          <w:szCs w:val="13"/>
        </w:rPr>
        <w:t>”</w:t>
      </w:r>
      <w:r>
        <w:rPr>
          <w:rFonts w:hint="eastAsia" w:ascii="方正黑体_GBK" w:eastAsia="方正黑体_GBK" w:cs="Times New Roman"/>
          <w:b/>
          <w:bCs w:val="0"/>
          <w:vanish w:val="0"/>
          <w:color w:val="3D3D3D"/>
          <w:kern w:val="0"/>
          <w:sz w:val="13"/>
          <w:szCs w:val="13"/>
        </w:rPr>
        <w:t>、“理财产品管理人”、“产品管理人”或“管理人”</w:t>
      </w:r>
      <w:r>
        <w:rPr>
          <w:rFonts w:hint="eastAsia" w:ascii="方正黑体_GBK" w:eastAsia="方正黑体_GBK"/>
          <w:b/>
          <w:bCs w:val="0"/>
          <w:vanish w:val="0"/>
          <w:color w:val="3D3D3D"/>
          <w:kern w:val="0"/>
          <w:sz w:val="13"/>
          <w:szCs w:val="13"/>
        </w:rPr>
        <w:t>）</w:t>
      </w:r>
      <w:r>
        <w:rPr>
          <w:rFonts w:hint="eastAsia" w:asci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eastAsia="方正黑体_GBK" w:cs="Times New Roman"/>
          <w:b/>
          <w:bCs w:val="0"/>
          <w:vanish w:val="0"/>
          <w:color w:val="3D3D3D"/>
          <w:kern w:val="0"/>
          <w:sz w:val="13"/>
          <w:szCs w:val="13"/>
        </w:rPr>
        <w:t>您应该充分认识本理财产品的投资风险，本着</w:t>
      </w:r>
      <w:r>
        <w:rPr>
          <w:rFonts w:ascii="方正黑体_GBK" w:eastAsia="方正黑体_GBK"/>
          <w:b/>
          <w:bCs w:val="0"/>
          <w:vanish w:val="0"/>
          <w:color w:val="3D3D3D"/>
          <w:kern w:val="0"/>
          <w:sz w:val="13"/>
          <w:szCs w:val="13"/>
        </w:rPr>
        <w:t>“</w:t>
      </w:r>
      <w:r>
        <w:rPr>
          <w:rFonts w:hint="eastAsia" w:ascii="方正黑体_GBK" w:eastAsia="方正黑体_GBK" w:cs="Times New Roman"/>
          <w:b/>
          <w:bCs w:val="0"/>
          <w:vanish w:val="0"/>
          <w:color w:val="3D3D3D"/>
          <w:kern w:val="0"/>
          <w:sz w:val="13"/>
          <w:szCs w:val="13"/>
        </w:rPr>
        <w:t>充分了解风险，自主选择购买</w:t>
      </w:r>
      <w:r>
        <w:rPr>
          <w:rFonts w:ascii="方正黑体_GBK" w:eastAsia="方正黑体_GBK"/>
          <w:b/>
          <w:bCs w:val="0"/>
          <w:vanish w:val="0"/>
          <w:color w:val="3D3D3D"/>
          <w:kern w:val="0"/>
          <w:sz w:val="13"/>
          <w:szCs w:val="13"/>
        </w:rPr>
        <w:t>”</w:t>
      </w:r>
      <w:r>
        <w:rPr>
          <w:rFonts w:hint="eastAsia" w:ascii="方正黑体_GBK" w:eastAsia="方正黑体_GBK" w:cs="Times New Roman"/>
          <w:b/>
          <w:bCs w:val="0"/>
          <w:vanish w:val="0"/>
          <w:color w:val="3D3D3D"/>
          <w:kern w:val="0"/>
          <w:sz w:val="13"/>
          <w:szCs w:val="13"/>
        </w:rPr>
        <w:t>的原则，谨慎决策</w:t>
      </w:r>
      <w:r>
        <w:rPr>
          <w:rFonts w:hint="eastAsia" w:asci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eastAsia="方正黑体_GBK" w:cs="Times New Roman"/>
          <w:b/>
          <w:bCs w:val="0"/>
          <w:vanish w:val="0"/>
          <w:color w:val="3D3D3D"/>
          <w:kern w:val="0"/>
          <w:sz w:val="13"/>
          <w:szCs w:val="13"/>
        </w:rPr>
        <w:t>不构成管理人对理财产品业绩表现的保证，</w:t>
      </w:r>
      <w:r>
        <w:rPr>
          <w:rFonts w:hint="eastAsia" w:ascii="方正黑体_GBK" w:eastAsia="方正黑体_GBK"/>
          <w:b/>
          <w:bCs w:val="0"/>
          <w:vanish w:val="0"/>
          <w:color w:val="3D3D3D"/>
          <w:kern w:val="0"/>
          <w:sz w:val="13"/>
          <w:szCs w:val="13"/>
        </w:rPr>
        <w:t>投资须谨慎</w:t>
      </w:r>
      <w:r>
        <w:rPr>
          <w:rFonts w:hint="eastAsia" w:ascii="方正黑体_GBK" w:eastAsia="方正黑体_GBK" w:cs="Times New Roman"/>
          <w:b/>
          <w:bCs w:val="0"/>
          <w:vanish w:val="0"/>
          <w:color w:val="3D3D3D"/>
          <w:kern w:val="0"/>
          <w:sz w:val="13"/>
          <w:szCs w:val="13"/>
        </w:rPr>
        <w:t>！</w:t>
      </w:r>
      <w:r>
        <w:rPr>
          <w:rFonts w:hint="eastAsia" w:asci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ascii="方正黑体_GBK" w:eastAsia="方正黑体_GBK"/>
          <w:vanish w:val="0"/>
          <w:color w:val="3D3D3D"/>
          <w:kern w:val="0"/>
          <w:sz w:val="13"/>
          <w:szCs w:val="13"/>
        </w:rPr>
      </w:pPr>
      <w:r>
        <w:rPr>
          <w:rFonts w:hint="eastAsia" w:asci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第一条</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（一）政策风险：</w:t>
      </w:r>
      <w:r>
        <w:rPr>
          <w:rFonts w:hint="eastAsia" w:ascii="方正黑体_GBK" w:eastAsia="方正黑体_GBK" w:cs="Times New Roman"/>
          <w:vanish w:val="0"/>
          <w:color w:val="3D3D3D"/>
          <w:kern w:val="0"/>
          <w:sz w:val="13"/>
          <w:szCs w:val="13"/>
        </w:rPr>
        <w:t>本</w:t>
      </w:r>
      <w:r>
        <w:rPr>
          <w:rFonts w:hint="eastAsia" w:asci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eastAsia="方正黑体_GBK" w:cs="Times New Roman"/>
          <w:vanish w:val="0"/>
          <w:color w:val="3D3D3D"/>
          <w:kern w:val="0"/>
          <w:sz w:val="13"/>
          <w:szCs w:val="13"/>
        </w:rPr>
        <w:t>导致</w:t>
      </w:r>
      <w:r>
        <w:rPr>
          <w:rFonts w:hint="eastAsia" w:ascii="方正黑体_GBK" w:eastAsia="方正黑体_GBK"/>
          <w:vanish w:val="0"/>
          <w:color w:val="3D3D3D"/>
          <w:kern w:val="0"/>
          <w:sz w:val="13"/>
          <w:szCs w:val="13"/>
        </w:rPr>
        <w:t>理财产品的收益降低</w:t>
      </w:r>
      <w:r>
        <w:rPr>
          <w:rFonts w:hint="eastAsia" w:ascii="方正黑体_GBK" w:eastAsia="方正黑体_GBK" w:cs="Times New Roman"/>
          <w:vanish w:val="0"/>
          <w:color w:val="3D3D3D"/>
          <w:kern w:val="0"/>
          <w:sz w:val="13"/>
          <w:szCs w:val="13"/>
        </w:rPr>
        <w:t>或无法取得任何收益</w:t>
      </w:r>
      <w:r>
        <w:rPr>
          <w:rFonts w:hint="eastAsia" w:ascii="方正黑体_GBK" w:eastAsia="方正黑体_GBK"/>
          <w:vanish w:val="0"/>
          <w:color w:val="3D3D3D"/>
          <w:kern w:val="0"/>
          <w:sz w:val="13"/>
          <w:szCs w:val="13"/>
        </w:rPr>
        <w:t>甚至本理财产品的本金遭受</w:t>
      </w:r>
      <w:r>
        <w:rPr>
          <w:rFonts w:hint="eastAsia" w:ascii="方正黑体_GBK" w:eastAsia="方正黑体_GBK" w:cs="Times New Roman"/>
          <w:vanish w:val="0"/>
          <w:color w:val="3D3D3D"/>
          <w:kern w:val="0"/>
          <w:sz w:val="13"/>
          <w:szCs w:val="13"/>
        </w:rPr>
        <w:t>部分或全部</w:t>
      </w:r>
      <w:r>
        <w:rPr>
          <w:rFonts w:hint="eastAsia" w:asci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（二）信用风险：</w:t>
      </w:r>
      <w:r>
        <w:rPr>
          <w:rFonts w:hint="eastAsia" w:ascii="方正黑体_GBK" w:eastAsia="方正黑体_GBK" w:cs="Times New Roman"/>
          <w:vanish w:val="0"/>
          <w:color w:val="3D3D3D"/>
          <w:kern w:val="0"/>
          <w:sz w:val="13"/>
          <w:szCs w:val="13"/>
        </w:rPr>
        <w:t>本理财产品收益来源于理财产品项下投资对象的回报。</w:t>
      </w:r>
      <w:r>
        <w:rPr>
          <w:rFonts w:hint="eastAsia" w:asci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理财产品投资不同类型的资产可能面临的市场风险包括但不限于：</w:t>
      </w:r>
      <w:r>
        <w:rPr>
          <w:rFonts w:ascii="方正黑体_GBK" w:eastAsia="方正黑体_GBK"/>
          <w:vanish w:val="0"/>
          <w:color w:val="3D3D3D"/>
          <w:kern w:val="0"/>
          <w:sz w:val="13"/>
          <w:szCs w:val="13"/>
        </w:rPr>
        <w:t>1.</w:t>
      </w:r>
      <w:r>
        <w:rPr>
          <w:rFonts w:hint="eastAsia" w:asci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eastAsia="方正黑体_GBK"/>
          <w:vanish w:val="0"/>
          <w:color w:val="3D3D3D"/>
          <w:kern w:val="0"/>
          <w:sz w:val="13"/>
          <w:szCs w:val="13"/>
        </w:rPr>
        <w:t>2.</w:t>
      </w:r>
      <w:r>
        <w:rPr>
          <w:rFonts w:hint="eastAsia" w:asci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eastAsia="方正黑体_GBK"/>
          <w:vanish w:val="0"/>
          <w:color w:val="3D3D3D"/>
          <w:kern w:val="0"/>
          <w:sz w:val="13"/>
          <w:szCs w:val="13"/>
        </w:rPr>
        <w:t>3.</w:t>
      </w:r>
      <w:r>
        <w:rPr>
          <w:rFonts w:hint="eastAsia" w:ascii="方正黑体_GBK" w:eastAsia="方正黑体_GBK"/>
          <w:vanish w:val="0"/>
          <w:color w:val="3D3D3D"/>
          <w:kern w:val="0"/>
          <w:sz w:val="13"/>
          <w:szCs w:val="13"/>
        </w:rPr>
        <w:t>理财产品投资商品及金融衍生品类产品可能面临衍生品公允价值变化风险</w:t>
      </w:r>
      <w:r>
        <w:rPr>
          <w:rFonts w:hint="eastAsia" w:asci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eastAsia="方正黑体_GBK"/>
          <w:vanish w:val="0"/>
          <w:color w:val="3D3D3D"/>
          <w:kern w:val="0"/>
          <w:sz w:val="13"/>
          <w:szCs w:val="13"/>
        </w:rPr>
        <w:t>当市场上出现更高收益的产品时，将有可能</w:t>
      </w:r>
      <w:r>
        <w:rPr>
          <w:rFonts w:hint="eastAsia" w:ascii="方正黑体_GBK" w:eastAsia="方正黑体_GBK" w:cs="Times New Roman"/>
          <w:vanish w:val="0"/>
          <w:color w:val="3D3D3D"/>
          <w:kern w:val="0"/>
          <w:sz w:val="13"/>
          <w:szCs w:val="13"/>
        </w:rPr>
        <w:t>导致投资者</w:t>
      </w:r>
      <w:r>
        <w:rPr>
          <w:rFonts w:hint="eastAsia" w:asci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（八）</w:t>
      </w:r>
      <w:r>
        <w:rPr>
          <w:rFonts w:hint="eastAsia" w:ascii="方正黑体_GBK" w:eastAsia="方正黑体_GBK" w:cs="Times New Roman"/>
          <w:vanish w:val="0"/>
          <w:color w:val="3D3D3D"/>
          <w:kern w:val="0"/>
          <w:sz w:val="13"/>
          <w:szCs w:val="13"/>
        </w:rPr>
        <w:t>理财</w:t>
      </w:r>
      <w:r>
        <w:rPr>
          <w:rFonts w:hint="eastAsia" w:asci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eastAsia="方正黑体_GBK" w:cs="Times New Roman"/>
          <w:vanish w:val="0"/>
          <w:color w:val="3D3D3D"/>
          <w:kern w:val="0"/>
          <w:sz w:val="13"/>
          <w:szCs w:val="13"/>
        </w:rPr>
        <w:t>（或通过销售机构通知）</w:t>
      </w:r>
      <w:r>
        <w:rPr>
          <w:rFonts w:hint="eastAsia" w:asci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（九）延期分配风险：如因理财产品投资的资产</w:t>
      </w:r>
      <w:r>
        <w:rPr>
          <w:rFonts w:hint="eastAsia" w:asci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b/>
          <w:bCs/>
          <w:vanish w:val="0"/>
          <w:color w:val="3D3D3D"/>
          <w:kern w:val="0"/>
          <w:sz w:val="13"/>
          <w:szCs w:val="13"/>
        </w:rPr>
      </w:pPr>
      <w:r>
        <w:rPr>
          <w:rFonts w:hint="eastAsia" w:asci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eastAsia="方正黑体_GBK" w:cs="Times New Roman"/>
          <w:b/>
          <w:bCs/>
          <w:vanish w:val="0"/>
          <w:color w:val="3D3D3D"/>
          <w:kern w:val="0"/>
          <w:sz w:val="13"/>
          <w:szCs w:val="13"/>
        </w:rPr>
        <w:t>者</w:t>
      </w:r>
      <w:r>
        <w:rPr>
          <w:rFonts w:hint="eastAsia" w:asci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b/>
          <w:bCs/>
          <w:vanish w:val="0"/>
          <w:color w:val="3D3D3D"/>
          <w:kern w:val="0"/>
          <w:sz w:val="13"/>
          <w:szCs w:val="13"/>
        </w:rPr>
      </w:pPr>
      <w:r>
        <w:rPr>
          <w:rFonts w:hint="eastAsia" w:asci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eastAsia="方正黑体_GBK" w:cs="Times New Roman"/>
          <w:b/>
          <w:bCs/>
          <w:vanish w:val="0"/>
          <w:color w:val="3D3D3D"/>
          <w:kern w:val="0"/>
          <w:sz w:val="13"/>
          <w:szCs w:val="13"/>
        </w:rPr>
        <w:t>或报告</w:t>
      </w:r>
      <w:r>
        <w:rPr>
          <w:rFonts w:hint="eastAsia" w:ascii="方正黑体_GBK" w:eastAsia="方正黑体_GBK"/>
          <w:b/>
          <w:bCs/>
          <w:vanish w:val="0"/>
          <w:color w:val="3D3D3D"/>
          <w:kern w:val="0"/>
          <w:sz w:val="13"/>
          <w:szCs w:val="13"/>
        </w:rPr>
        <w:t>。投资者应根据《理财产品说明书》中约定的</w:t>
      </w:r>
      <w:r>
        <w:rPr>
          <w:rFonts w:hint="eastAsia" w:ascii="方正黑体_GBK" w:eastAsia="方正黑体_GBK" w:cs="Times New Roman"/>
          <w:b/>
          <w:bCs/>
          <w:vanish w:val="0"/>
          <w:color w:val="3D3D3D"/>
          <w:kern w:val="0"/>
          <w:sz w:val="13"/>
          <w:szCs w:val="13"/>
        </w:rPr>
        <w:t>信息披露</w:t>
      </w:r>
      <w:r>
        <w:rPr>
          <w:rFonts w:hint="eastAsia" w:ascii="方正黑体_GBK" w:eastAsia="方正黑体_GBK"/>
          <w:b/>
          <w:bCs/>
          <w:vanish w:val="0"/>
          <w:color w:val="3D3D3D"/>
          <w:kern w:val="0"/>
          <w:sz w:val="13"/>
          <w:szCs w:val="13"/>
        </w:rPr>
        <w:t>渠道及时查询相关信息</w:t>
      </w:r>
      <w:r>
        <w:rPr>
          <w:rFonts w:hint="eastAsia" w:ascii="方正黑体_GBK" w:eastAsia="方正黑体_GBK" w:cs="Times New Roman"/>
          <w:b/>
          <w:bCs/>
          <w:vanish w:val="0"/>
          <w:color w:val="3D3D3D"/>
          <w:kern w:val="0"/>
          <w:sz w:val="13"/>
          <w:szCs w:val="13"/>
        </w:rPr>
        <w:t>，</w:t>
      </w:r>
      <w:r>
        <w:rPr>
          <w:rFonts w:hint="eastAsia" w:asci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eastAsia="方正黑体_GBK" w:cs="Times New Roman"/>
          <w:b/>
          <w:bCs/>
          <w:vanish w:val="0"/>
          <w:color w:val="3D3D3D"/>
          <w:kern w:val="0"/>
          <w:sz w:val="13"/>
          <w:szCs w:val="13"/>
        </w:rPr>
        <w:t>投资者承担</w:t>
      </w:r>
      <w:r>
        <w:rPr>
          <w:rFonts w:hint="eastAsia" w:asci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b/>
          <w:bCs/>
          <w:vanish w:val="0"/>
          <w:color w:val="3D3D3D"/>
          <w:kern w:val="0"/>
          <w:sz w:val="13"/>
          <w:szCs w:val="13"/>
        </w:rPr>
      </w:pPr>
      <w:r>
        <w:rPr>
          <w:rFonts w:hint="eastAsia" w:asci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（十二）不可抗力及意外事件风险：理财产品面临的不可抗力及意外事件风险是指</w:t>
      </w:r>
      <w:r>
        <w:rPr>
          <w:rFonts w:hint="eastAsia" w:ascii="方正黑体_GBK" w:eastAsia="方正黑体_GBK" w:cs="Times New Roman"/>
          <w:vanish w:val="0"/>
          <w:color w:val="3D3D3D"/>
          <w:kern w:val="0"/>
          <w:sz w:val="13"/>
          <w:szCs w:val="13"/>
        </w:rPr>
        <w:t>《理财产品说明书》规定的不可抗力或</w:t>
      </w:r>
      <w:r>
        <w:rPr>
          <w:rFonts w:hint="eastAsia" w:ascii="方正黑体_GBK" w:eastAsia="方正黑体_GBK"/>
          <w:vanish w:val="0"/>
          <w:color w:val="3D3D3D"/>
          <w:kern w:val="0"/>
          <w:sz w:val="13"/>
          <w:szCs w:val="13"/>
        </w:rPr>
        <w:t>南银理财、</w:t>
      </w:r>
      <w:r>
        <w:rPr>
          <w:rFonts w:hint="eastAsia" w:ascii="方正黑体_GBK" w:eastAsia="方正黑体_GBK" w:cs="Times New Roman"/>
          <w:vanish w:val="0"/>
          <w:color w:val="3D3D3D"/>
          <w:kern w:val="0"/>
          <w:sz w:val="13"/>
          <w:szCs w:val="13"/>
        </w:rPr>
        <w:t>销售机构</w:t>
      </w:r>
      <w:r>
        <w:rPr>
          <w:rFonts w:hint="eastAsia" w:asci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eastAsia="方正黑体_GBK" w:cs="Times New Roman"/>
          <w:vanish w:val="0"/>
          <w:color w:val="3D3D3D"/>
          <w:kern w:val="0"/>
          <w:sz w:val="13"/>
          <w:szCs w:val="13"/>
        </w:rPr>
        <w:t>对</w:t>
      </w:r>
      <w:r>
        <w:rPr>
          <w:rFonts w:hint="eastAsia" w:asci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eastAsia="方正黑体_GBK" w:cs="Times New Roman"/>
          <w:vanish w:val="0"/>
          <w:color w:val="3D3D3D"/>
          <w:kern w:val="0"/>
          <w:sz w:val="13"/>
          <w:szCs w:val="13"/>
        </w:rPr>
        <w:t>本金和收益遭受</w:t>
      </w:r>
      <w:r>
        <w:rPr>
          <w:rFonts w:hint="eastAsia" w:ascii="方正黑体_GBK" w:eastAsia="方正黑体_GBK"/>
          <w:vanish w:val="0"/>
          <w:color w:val="3D3D3D"/>
          <w:kern w:val="0"/>
          <w:sz w:val="13"/>
          <w:szCs w:val="13"/>
        </w:rPr>
        <w:t>损失的风险。</w:t>
      </w:r>
      <w:r>
        <w:rPr>
          <w:rFonts w:hint="eastAsia" w:ascii="方正黑体_GBK" w:eastAsia="方正黑体_GBK" w:cs="Times New Roman"/>
          <w:vanish w:val="0"/>
          <w:color w:val="3D3D3D"/>
          <w:kern w:val="0"/>
          <w:sz w:val="13"/>
          <w:szCs w:val="13"/>
        </w:rPr>
        <w:t>因不可抗力及意外事件风险导致的任何损失，</w:t>
      </w:r>
      <w:r>
        <w:rPr>
          <w:rFonts w:hint="eastAsia" w:ascii="方正黑体_GBK" w:eastAsia="方正黑体_GBK"/>
          <w:vanish w:val="0"/>
          <w:color w:val="3D3D3D"/>
          <w:kern w:val="0"/>
          <w:sz w:val="13"/>
          <w:szCs w:val="13"/>
        </w:rPr>
        <w:t>由投资者</w:t>
      </w:r>
      <w:r>
        <w:rPr>
          <w:rFonts w:hint="eastAsia" w:ascii="方正黑体_GBK" w:eastAsia="方正黑体_GBK" w:cs="Times New Roman"/>
          <w:vanish w:val="0"/>
          <w:color w:val="3D3D3D"/>
          <w:kern w:val="0"/>
          <w:sz w:val="13"/>
          <w:szCs w:val="13"/>
        </w:rPr>
        <w:t>自行</w:t>
      </w:r>
      <w:r>
        <w:rPr>
          <w:rFonts w:hint="eastAsia" w:asci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eastAsia="方正黑体_GBK" w:cs="Times New Roman"/>
          <w:vanish w:val="0"/>
          <w:color w:val="3D3D3D"/>
          <w:kern w:val="0"/>
          <w:sz w:val="13"/>
          <w:szCs w:val="13"/>
        </w:rPr>
        <w:t>收</w:t>
      </w:r>
      <w:r>
        <w:rPr>
          <w:rFonts w:hint="eastAsia" w:asci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（十五）操作风险：若管理人、</w:t>
      </w:r>
      <w:r>
        <w:rPr>
          <w:rFonts w:hint="eastAsia" w:ascii="方正黑体_GBK" w:eastAsia="方正黑体_GBK" w:cs="Times New Roman"/>
          <w:vanish w:val="0"/>
          <w:color w:val="3D3D3D"/>
          <w:kern w:val="0"/>
          <w:sz w:val="13"/>
          <w:szCs w:val="13"/>
        </w:rPr>
        <w:t>销售机构</w:t>
      </w:r>
      <w:r>
        <w:rPr>
          <w:rFonts w:hint="eastAsia" w:asci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（十六）代销风险：本理财产品通过代销机构销售</w:t>
      </w:r>
      <w:r>
        <w:rPr>
          <w:rFonts w:hint="eastAsia" w:ascii="方正黑体_GBK" w:eastAsia="方正黑体_GBK" w:cs="Times New Roman"/>
          <w:vanish w:val="0"/>
          <w:color w:val="3D3D3D"/>
          <w:kern w:val="0"/>
          <w:sz w:val="13"/>
          <w:szCs w:val="13"/>
        </w:rPr>
        <w:t>时</w:t>
      </w:r>
      <w:r>
        <w:rPr>
          <w:rFonts w:hint="eastAsia" w:ascii="方正黑体_GBK" w:eastAsia="方正黑体_GBK"/>
          <w:vanish w:val="0"/>
          <w:color w:val="3D3D3D"/>
          <w:kern w:val="0"/>
          <w:sz w:val="13"/>
          <w:szCs w:val="13"/>
        </w:rPr>
        <w:t>，认购</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eastAsia="方正黑体_GBK" w:cs="Times New Roman"/>
          <w:vanish w:val="0"/>
          <w:color w:val="3D3D3D"/>
          <w:kern w:val="0"/>
          <w:sz w:val="13"/>
          <w:szCs w:val="13"/>
        </w:rPr>
        <w:t>产品销售文件</w:t>
      </w:r>
      <w:r>
        <w:rPr>
          <w:rFonts w:hint="eastAsia" w:ascii="方正黑体_GBK" w:eastAsia="方正黑体_GBK"/>
          <w:vanish w:val="0"/>
          <w:color w:val="3D3D3D"/>
          <w:kern w:val="0"/>
          <w:sz w:val="13"/>
          <w:szCs w:val="13"/>
        </w:rPr>
        <w:t>约定划付至代销机构，并由代销机构向投资者支付。</w:t>
      </w:r>
      <w:r>
        <w:rPr>
          <w:rFonts w:hint="eastAsia" w:asci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eastAsia="方正黑体_GBK" w:cs="Times New Roman"/>
          <w:vanish w:val="0"/>
          <w:color w:val="3D3D3D"/>
          <w:kern w:val="0"/>
          <w:sz w:val="13"/>
          <w:szCs w:val="13"/>
        </w:rPr>
        <w:t>/</w:t>
      </w:r>
      <w:r>
        <w:rPr>
          <w:rFonts w:hint="eastAsia" w:ascii="方正黑体_GBK" w:eastAsia="方正黑体_GBK" w:cs="Times New Roman"/>
          <w:vanish w:val="0"/>
          <w:color w:val="3D3D3D"/>
          <w:kern w:val="0"/>
          <w:sz w:val="13"/>
          <w:szCs w:val="13"/>
        </w:rPr>
        <w:t>申购资金划转至南银理财，将导致投资者无法完成认购</w:t>
      </w:r>
      <w:r>
        <w:rPr>
          <w:rFonts w:ascii="方正黑体_GBK" w:eastAsia="方正黑体_GBK" w:cs="Times New Roman"/>
          <w:vanish w:val="0"/>
          <w:color w:val="3D3D3D"/>
          <w:kern w:val="0"/>
          <w:sz w:val="13"/>
          <w:szCs w:val="13"/>
        </w:rPr>
        <w:t>/</w:t>
      </w:r>
      <w:r>
        <w:rPr>
          <w:rFonts w:hint="eastAsia" w:asci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kern w:val="0"/>
          <w:sz w:val="13"/>
          <w:szCs w:val="13"/>
        </w:rPr>
        <w:t>（十七）未知价风险：净值型产品采用</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金额申购、份额赎回</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原则，即产品认</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申购以金额申请，赎回以份额申请，认</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申购与赎回价格以</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未知价原则</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受理申请。</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未知价原则</w:t>
      </w:r>
      <w:r>
        <w:rPr>
          <w:rFonts w:ascii="方正黑体_GBK" w:eastAsia="方正黑体_GBK"/>
          <w:vanish w:val="0"/>
          <w:color w:val="3D3D3D"/>
          <w:kern w:val="0"/>
          <w:sz w:val="13"/>
          <w:szCs w:val="13"/>
        </w:rPr>
        <w:t>”</w:t>
      </w:r>
      <w:r>
        <w:rPr>
          <w:rFonts w:hint="eastAsia" w:asci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eastAsia="方正黑体_GBK"/>
          <w:sz w:val="20"/>
          <w:szCs w:val="20"/>
        </w:rPr>
      </w:pPr>
      <w:r>
        <w:rPr>
          <w:rFonts w:hint="eastAsia" w:ascii="方正黑体_GBK" w:eastAsia="方正黑体_GBK"/>
          <w:vanish w:val="0"/>
          <w:color w:val="3D3D3D"/>
          <w:kern w:val="0"/>
          <w:sz w:val="13"/>
          <w:szCs w:val="13"/>
        </w:rPr>
        <w:t>（十八）关联交易风险：在合法合规且履行应履行的内</w:t>
      </w:r>
      <w:r>
        <w:rPr>
          <w:rFonts w:hint="eastAsia" w:ascii="方正黑体_GBK" w:eastAsia="方正黑体_GBK" w:cs="Times New Roman"/>
          <w:vanish w:val="0"/>
          <w:color w:val="3D3D3D"/>
          <w:kern w:val="0"/>
          <w:sz w:val="13"/>
          <w:szCs w:val="13"/>
        </w:rPr>
        <w:t>、</w:t>
      </w:r>
      <w:r>
        <w:rPr>
          <w:rFonts w:hint="eastAsia" w:ascii="方正黑体_GBK" w:eastAsia="方正黑体_GBK"/>
          <w:vanish w:val="0"/>
          <w:color w:val="3D3D3D"/>
          <w:kern w:val="0"/>
          <w:sz w:val="13"/>
          <w:szCs w:val="13"/>
        </w:rPr>
        <w:t>外部程序后，理财产品可能</w:t>
      </w:r>
      <w:r>
        <w:rPr>
          <w:rFonts w:hint="eastAsia" w:ascii="方正黑体_GBK" w:eastAsia="方正黑体_GBK" w:cs="Times New Roman"/>
          <w:vanish w:val="0"/>
          <w:color w:val="3D3D3D"/>
          <w:kern w:val="0"/>
          <w:sz w:val="13"/>
          <w:szCs w:val="13"/>
        </w:rPr>
        <w:t>投资于</w:t>
      </w:r>
      <w:r>
        <w:rPr>
          <w:rFonts w:hint="eastAsia" w:asci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eastAsia="方正黑体_GBK" w:cs="Times New Roman"/>
          <w:vanish w:val="0"/>
          <w:color w:val="3D3D3D"/>
          <w:kern w:val="0"/>
          <w:sz w:val="13"/>
          <w:szCs w:val="13"/>
        </w:rPr>
        <w:t>，</w:t>
      </w:r>
      <w:r>
        <w:rPr>
          <w:rFonts w:hint="eastAsia" w:ascii="方正黑体_GBK" w:eastAsia="方正黑体_GBK"/>
          <w:vanish w:val="0"/>
          <w:color w:val="3D3D3D"/>
          <w:kern w:val="0"/>
          <w:sz w:val="13"/>
          <w:szCs w:val="13"/>
        </w:rPr>
        <w:t>本理财产品</w:t>
      </w:r>
      <w:r>
        <w:rPr>
          <w:rFonts w:hint="eastAsia" w:ascii="方正黑体_GBK" w:eastAsia="方正黑体_GBK" w:cs="Times New Roman"/>
          <w:vanish w:val="0"/>
          <w:color w:val="3D3D3D"/>
          <w:kern w:val="0"/>
          <w:sz w:val="13"/>
          <w:szCs w:val="13"/>
        </w:rPr>
        <w:t>也</w:t>
      </w:r>
      <w:r>
        <w:rPr>
          <w:rFonts w:hint="eastAsia" w:asci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eastAsia="方正黑体_GBK"/>
          <w:vanish w:val="0"/>
          <w:color w:val="3D3D3D"/>
          <w:kern w:val="0"/>
          <w:sz w:val="13"/>
          <w:szCs w:val="13"/>
        </w:rPr>
      </w:pPr>
      <w:r>
        <w:rPr>
          <w:rFonts w:hint="eastAsia" w:ascii="方正黑体_GBK" w:eastAsia="方正黑体_GBK"/>
          <w:vanish w:val="0"/>
          <w:color w:val="3D3D3D"/>
          <w:sz w:val="13"/>
          <w:szCs w:val="13"/>
        </w:rPr>
        <w:t xml:space="preserve"> </w:t>
      </w:r>
      <w:r>
        <w:rPr>
          <w:rFonts w:hint="eastAsia" w:ascii="方正黑体_GBK" w:eastAsia="方正黑体_GBK"/>
          <w:vanish w:val="0"/>
          <w:color w:val="3D3D3D"/>
          <w:kern w:val="0"/>
          <w:sz w:val="13"/>
          <w:szCs w:val="13"/>
        </w:rPr>
        <w:t>第二条</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本理财产品特定风险揭示</w:t>
      </w:r>
    </w:p>
    <w:p>
      <w:pPr>
        <w:spacing w:line="200" w:lineRule="exact"/>
      </w:pPr>
      <w:r>
        <w:rPr>
          <w:rFonts w:ascii="方正黑体_GBK" w:eastAsia="方正黑体_GBK" w:cs="宋体"/>
          <w:b/>
          <w:sz w:val="13"/>
          <w:szCs w:val="20"/>
        </w:rPr>
        <w:t xml:space="preserve">    1.债券类资产投资风险</w:t>
      </w:r>
    </w:p>
    <w:p>
      <w:pPr>
        <w:spacing w:line="200" w:lineRule="exact"/>
      </w:pPr>
      <w:r>
        <w:rPr>
          <w:rFonts w:asci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eastAsia="方正黑体_GBK" w:cs="宋体"/>
          <w:b/>
          <w:sz w:val="13"/>
          <w:szCs w:val="20"/>
        </w:rPr>
        <w:t xml:space="preserve">    2.资产管理产品投资风险</w:t>
      </w:r>
    </w:p>
    <w:p>
      <w:pPr>
        <w:spacing w:line="200" w:lineRule="exact"/>
      </w:pPr>
      <w:r>
        <w:rPr>
          <w:rFonts w:asci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eastAsia="方正黑体_GBK"/>
          <w:b/>
          <w:bCs/>
          <w:vanish w:val="0"/>
          <w:color w:val="3D3D3D"/>
          <w:kern w:val="0"/>
          <w:sz w:val="13"/>
          <w:szCs w:val="13"/>
        </w:rPr>
      </w:pPr>
      <w:r>
        <w:rPr>
          <w:rFonts w:hint="eastAsia" w:ascii="方正黑体_GBK" w:eastAsia="方正黑体_GBK" w:cs="Times New Roman"/>
          <w:b/>
          <w:bCs/>
          <w:vanish w:val="0"/>
          <w:color w:val="3D3D3D"/>
          <w:kern w:val="0"/>
          <w:sz w:val="13"/>
          <w:szCs w:val="13"/>
        </w:rPr>
        <w:t>本理财产品</w:t>
      </w:r>
      <w:r>
        <w:rPr>
          <w:rFonts w:hint="eastAsia" w:ascii="方正黑体_GBK" w:eastAsia="方正黑体_GBK"/>
          <w:b/>
          <w:bCs/>
          <w:color w:val="3D3D3D"/>
          <w:kern w:val="0"/>
          <w:sz w:val="13"/>
          <w:szCs w:val="13"/>
        </w:rPr>
        <w:t>类型：开放式、固定收益类、公募、净值型。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eastAsia="方正黑体_GBK"/>
          <w:b/>
          <w:bCs/>
          <w:vanish w:val="0"/>
          <w:color w:val="3D3D3D"/>
          <w:kern w:val="0"/>
          <w:sz w:val="13"/>
          <w:szCs w:val="13"/>
        </w:rPr>
      </w:pPr>
      <w:r>
        <w:rPr>
          <w:rFonts w:hint="eastAsia" w:ascii="方正黑体_GBK" w:eastAsia="方正黑体_GBK" w:cs="Times New Roman"/>
          <w:b/>
          <w:bCs w:val="0"/>
          <w:vanish w:val="0"/>
          <w:color w:val="3D3D3D"/>
          <w:kern w:val="0"/>
          <w:sz w:val="13"/>
          <w:szCs w:val="13"/>
        </w:rPr>
        <w:t>本理财产品期限</w:t>
      </w:r>
      <w:r>
        <w:rPr>
          <w:rFonts w:hint="eastAsia" w:ascii="方正黑体_GBK" w:eastAsia="方正黑体_GBK"/>
          <w:b/>
          <w:bCs w:val="0"/>
          <w:vanish w:val="0"/>
          <w:color w:val="3D3D3D"/>
          <w:kern w:val="0"/>
          <w:sz w:val="13"/>
          <w:szCs w:val="13"/>
        </w:rPr>
        <w:t>为</w:t>
      </w:r>
      <w:r>
        <w:rPr>
          <w:rFonts w:hint="eastAsia" w:ascii="方正黑体_GBK" w:eastAsia="方正黑体_GBK"/>
          <w:b/>
          <w:bCs/>
          <w:color w:val="3D3D3D"/>
          <w:kern w:val="0"/>
          <w:sz w:val="13"/>
          <w:szCs w:val="13"/>
        </w:rPr>
        <w:t>10年</w:t>
      </w:r>
      <w:r>
        <w:rPr>
          <w:rFonts w:hint="eastAsia" w:ascii="方正黑体_GBK" w:eastAsia="方正黑体_GBK" w:cs="Times New Roman"/>
          <w:b/>
          <w:bCs w:val="0"/>
          <w:vanish w:val="0"/>
          <w:color w:val="3D3D3D"/>
          <w:kern w:val="0"/>
          <w:sz w:val="13"/>
          <w:szCs w:val="13"/>
        </w:rPr>
        <w:t>（若本理财产品被提前终止或延期终止，以实际到期日计算持有天数）</w:t>
      </w:r>
      <w:r>
        <w:rPr>
          <w:rFonts w:hint="eastAsia" w:ascii="方正黑体_GBK" w:eastAsia="方正黑体_GBK"/>
          <w:b/>
          <w:bCs w:val="0"/>
          <w:vanish w:val="0"/>
          <w:color w:val="3D3D3D"/>
          <w:kern w:val="0"/>
          <w:sz w:val="13"/>
          <w:szCs w:val="13"/>
        </w:rPr>
        <w:t>。</w:t>
      </w:r>
    </w:p>
    <w:p>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eastAsia="方正黑体_GBK"/>
          <w:vanish w:val="0"/>
          <w:color w:val="3D3D3D"/>
          <w:kern w:val="0"/>
          <w:sz w:val="13"/>
          <w:szCs w:val="13"/>
        </w:rPr>
      </w:pPr>
      <w:r>
        <w:rPr>
          <w:rFonts w:hint="eastAsia" w:ascii="方正黑体_GBK" w:eastAsia="方正黑体_GBK"/>
          <w:b/>
          <w:bCs/>
          <w:vanish w:val="0"/>
          <w:color w:val="3D3D3D"/>
          <w:kern w:val="0"/>
          <w:sz w:val="13"/>
          <w:szCs w:val="13"/>
        </w:rPr>
        <w:t>本理财产品风险</w:t>
      </w:r>
      <w:r>
        <w:rPr>
          <w:rFonts w:hint="eastAsia" w:ascii="方正黑体_GBK" w:eastAsia="方正黑体_GBK" w:cs="Times New Roman"/>
          <w:b/>
          <w:bCs/>
          <w:vanish w:val="0"/>
          <w:color w:val="3D3D3D"/>
          <w:kern w:val="0"/>
          <w:sz w:val="13"/>
          <w:szCs w:val="13"/>
        </w:rPr>
        <w:t>评级结果</w:t>
      </w:r>
      <w:r>
        <w:rPr>
          <w:rFonts w:hint="eastAsia" w:ascii="方正黑体_GBK" w:eastAsia="方正黑体_GBK"/>
          <w:b/>
          <w:bCs/>
          <w:vanish w:val="0"/>
          <w:color w:val="3D3D3D"/>
          <w:kern w:val="0"/>
          <w:sz w:val="13"/>
          <w:szCs w:val="13"/>
        </w:rPr>
        <w:t>：</w:t>
      </w:r>
      <w:r>
        <w:rPr>
          <w:rFonts w:hint="eastAsia" w:ascii="方正黑体_GBK" w:eastAsia="方正黑体_GBK"/>
          <w:vanish w:val="0"/>
          <w:color w:val="3D3D3D"/>
          <w:kern w:val="0"/>
          <w:sz w:val="13"/>
          <w:szCs w:val="13"/>
        </w:rPr>
        <w:t>根据管理人内部风险评级，该产品风险等级为</w:t>
      </w:r>
      <w:r>
        <w:rPr>
          <w:rFonts w:hint="eastAsia" w:ascii="方正黑体_GBK" w:eastAsia="方正黑体_GBK" w:cs="Times New Roman"/>
          <w:b/>
          <w:bCs w:val="0"/>
          <w:vanish w:val="0"/>
          <w:color w:val="3D3D3D"/>
          <w:kern w:val="0"/>
          <w:sz w:val="13"/>
          <w:szCs w:val="13"/>
        </w:rPr>
        <w:t>中低风险</w:t>
      </w:r>
      <w:r>
        <w:rPr>
          <w:rFonts w:hint="eastAsia" w:ascii="方正黑体_GBK" w:eastAsia="方正黑体_GBK"/>
          <w:vanish w:val="0"/>
          <w:color w:val="3D3D3D"/>
          <w:kern w:val="0"/>
          <w:sz w:val="13"/>
          <w:szCs w:val="13"/>
        </w:rPr>
        <w:t>。</w:t>
      </w:r>
      <w:r>
        <w:rPr>
          <w:rFonts w:hint="eastAsia" w:ascii="方正黑体_GBK" w:eastAsia="方正黑体_GBK" w:cs="Times New Roman"/>
          <w:b/>
          <w:bCs w:val="0"/>
          <w:vanish w:val="0"/>
          <w:color w:val="3D3D3D"/>
          <w:kern w:val="0"/>
          <w:sz w:val="13"/>
          <w:szCs w:val="13"/>
        </w:rPr>
        <w:t xml:space="preserve"> </w:t>
      </w:r>
      <w:r>
        <w:rPr>
          <w:rFonts w:hint="eastAsia" w:ascii="方正黑体_GBK" w:eastAsia="方正黑体_GBK"/>
          <w:color w:val="3D3D3D"/>
          <w:kern w:val="0"/>
          <w:sz w:val="13"/>
          <w:szCs w:val="13"/>
        </w:rPr>
        <w:t>管理人不承诺本金保障，产品收益随投资表现变动，产品存在较低的本金损失风险</w:t>
      </w:r>
      <w:r>
        <w:rPr>
          <w:rFonts w:hint="eastAsia" w:ascii="方正黑体_GBK" w:eastAsia="方正黑体_GBK"/>
          <w:vanish w:val="0"/>
          <w:color w:val="3D3D3D"/>
          <w:kern w:val="0"/>
          <w:sz w:val="13"/>
          <w:szCs w:val="13"/>
        </w:rPr>
        <w:t>。</w:t>
      </w:r>
    </w:p>
    <w:p>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1" w:firstLineChars="200"/>
        <w:rPr>
          <w:rFonts w:ascii="方正黑体_GBK" w:eastAsia="方正黑体_GBK"/>
          <w:vanish w:val="0"/>
          <w:color w:val="3D3D3D"/>
          <w:kern w:val="0"/>
          <w:sz w:val="13"/>
          <w:szCs w:val="13"/>
        </w:rPr>
      </w:pPr>
      <w:r>
        <w:rPr>
          <w:rFonts w:hint="eastAsia" w:ascii="方正黑体_GBK" w:eastAsia="方正黑体_GBK"/>
          <w:b/>
          <w:bCs/>
          <w:vanish w:val="0"/>
          <w:color w:val="3D3D3D"/>
          <w:kern w:val="0"/>
          <w:sz w:val="13"/>
          <w:szCs w:val="13"/>
        </w:rPr>
        <w:t>本风险等级为南银理财风险评级结果，</w:t>
      </w:r>
      <w:r>
        <w:rPr>
          <w:rFonts w:hint="eastAsia" w:asci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eastAsia="方正黑体_GBK" w:cs="Times New Roman"/>
          <w:vanish w:val="0"/>
          <w:color w:val="3D3D3D"/>
          <w:kern w:val="0"/>
          <w:sz w:val="13"/>
          <w:szCs w:val="13"/>
        </w:rPr>
        <w:t>您需充分认识投资风险，谨慎投资。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1" w:firstLineChars="200"/>
        <w:rPr>
          <w:rFonts w:hint="eastAsia" w:ascii="方正黑体_GBK" w:eastAsia="方正黑体_GBK"/>
          <w:bCs/>
          <w:color w:val="3D3D3D"/>
          <w:kern w:val="0"/>
          <w:sz w:val="13"/>
          <w:szCs w:val="13"/>
        </w:rPr>
      </w:pPr>
      <w:r>
        <w:rPr>
          <w:rFonts w:hint="eastAsia" w:ascii="方正黑体_GBK" w:eastAsia="方正黑体_GBK" w:cs="Times New Roman"/>
          <w:b/>
          <w:bCs/>
          <w:vanish w:val="0"/>
          <w:color w:val="3D3D3D"/>
          <w:kern w:val="0"/>
          <w:sz w:val="13"/>
          <w:szCs w:val="13"/>
        </w:rPr>
        <w:t>适合购买本理财产品的投资者</w:t>
      </w:r>
      <w:r>
        <w:rPr>
          <w:rFonts w:hint="eastAsia" w:ascii="方正黑体_GBK" w:eastAsia="方正黑体_GBK"/>
          <w:b/>
          <w:bCs/>
          <w:vanish w:val="0"/>
          <w:color w:val="3D3D3D"/>
          <w:kern w:val="0"/>
          <w:sz w:val="13"/>
          <w:szCs w:val="13"/>
        </w:rPr>
        <w:t>：</w:t>
      </w:r>
      <w:r>
        <w:rPr>
          <w:rFonts w:hint="eastAsia" w:ascii="方正黑体_GBK" w:eastAsia="方正黑体_GBK"/>
          <w:color w:val="3D3D3D"/>
          <w:kern w:val="0"/>
          <w:sz w:val="13"/>
          <w:szCs w:val="13"/>
        </w:rPr>
        <w:t>符合相关法律法规、监管规定要求的，经销售机构的风险承受能力评估体系评定为适合的个人和机构投资者。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eastAsia="方正黑体_GBK"/>
          <w:b/>
          <w:bCs/>
          <w:vanish w:val="0"/>
          <w:color w:val="3D3D3D"/>
          <w:kern w:val="0"/>
          <w:sz w:val="13"/>
          <w:szCs w:val="13"/>
        </w:rPr>
      </w:pPr>
      <w:r>
        <w:rPr>
          <w:rFonts w:hint="eastAsia" w:asci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eastAsia="方正黑体_GBK"/>
          <w:b/>
          <w:bCs/>
          <w:vanish w:val="0"/>
          <w:color w:val="3D3D3D"/>
          <w:kern w:val="0"/>
          <w:sz w:val="13"/>
          <w:szCs w:val="13"/>
        </w:rPr>
        <w:t>。如影响您风险承受能力的因素发生变化，</w:t>
      </w:r>
      <w:r>
        <w:rPr>
          <w:rFonts w:hint="eastAsia" w:ascii="方正黑体_GBK" w:eastAsia="方正黑体_GBK" w:cs="Times New Roman"/>
          <w:b/>
          <w:bCs/>
          <w:vanish w:val="0"/>
          <w:color w:val="3D3D3D"/>
          <w:kern w:val="0"/>
          <w:sz w:val="13"/>
          <w:szCs w:val="13"/>
        </w:rPr>
        <w:t>请及时完成风险承受能力评估</w:t>
      </w:r>
      <w:r>
        <w:rPr>
          <w:rFonts w:hint="eastAsia" w:ascii="方正黑体_GBK" w:eastAsia="方正黑体_GBK"/>
          <w:b/>
          <w:bCs/>
          <w:vanish w:val="0"/>
          <w:color w:val="3D3D3D"/>
          <w:kern w:val="0"/>
          <w:sz w:val="13"/>
          <w:szCs w:val="13"/>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eastAsia="方正黑体_GBK" w:cs="Times New Roman"/>
          <w:vanish w:val="0"/>
          <w:kern w:val="2"/>
          <w:sz w:val="21"/>
          <w:szCs w:val="21"/>
        </w:rPr>
      </w:pPr>
      <w:r>
        <w:rPr>
          <w:rFonts w:hint="eastAsia" w:ascii="方正黑体_GBK" w:eastAsia="方正黑体_GBK" w:cs="Times New Roman"/>
          <w:b/>
          <w:bCs/>
          <w:vanish w:val="0"/>
          <w:color w:val="3D3D3D"/>
          <w:kern w:val="0"/>
          <w:sz w:val="13"/>
          <w:szCs w:val="13"/>
        </w:rPr>
        <w:t>最不利投资情形下的投资结果</w:t>
      </w:r>
      <w:r>
        <w:rPr>
          <w:rFonts w:hint="eastAsia" w:asci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eastAsia="方正黑体_GBK"/>
          <w:b/>
          <w:bCs/>
          <w:vanish w:val="0"/>
          <w:color w:val="3D3D3D"/>
          <w:kern w:val="0"/>
          <w:sz w:val="13"/>
          <w:szCs w:val="13"/>
        </w:rPr>
        <w:t>0</w:t>
      </w:r>
      <w:r>
        <w:rPr>
          <w:rFonts w:hint="eastAsia" w:ascii="方正黑体_GBK" w:eastAsia="方正黑体_GBK"/>
          <w:b/>
          <w:bCs/>
          <w:vanish w:val="0"/>
          <w:color w:val="3D3D3D"/>
          <w:kern w:val="0"/>
          <w:sz w:val="13"/>
          <w:szCs w:val="13"/>
        </w:rPr>
        <w:t>，即投资者面临全部本金的损失。为保证当期理财投资者权益而产生的费用由当期理财产品承担。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eastAsia="方正黑体_GBK"/>
          <w:b/>
          <w:bCs/>
          <w:vanish w:val="0"/>
          <w:color w:val="3D3D3D"/>
          <w:kern w:val="0"/>
          <w:sz w:val="13"/>
          <w:szCs w:val="13"/>
        </w:rPr>
      </w:pPr>
      <w:r>
        <w:rPr>
          <w:rFonts w:hint="eastAsia" w:ascii="方正黑体_GBK" w:eastAsia="方正黑体_GBK"/>
          <w:b/>
          <w:bCs/>
          <w:vanish w:val="0"/>
          <w:color w:val="3D3D3D"/>
          <w:kern w:val="0"/>
          <w:sz w:val="13"/>
          <w:szCs w:val="13"/>
        </w:rPr>
        <w:t>示例：如投资者购买本理财产品，本金为</w:t>
      </w:r>
      <w:r>
        <w:rPr>
          <w:rFonts w:ascii="方正黑体_GBK" w:eastAsia="方正黑体_GBK"/>
          <w:b/>
          <w:bCs/>
          <w:vanish w:val="0"/>
          <w:color w:val="3D3D3D"/>
          <w:kern w:val="0"/>
          <w:sz w:val="13"/>
          <w:szCs w:val="13"/>
        </w:rPr>
        <w:t>1</w:t>
      </w:r>
      <w:r>
        <w:rPr>
          <w:rFonts w:hint="eastAsia" w:ascii="方正黑体_GBK" w:eastAsia="方正黑体_GBK"/>
          <w:b/>
          <w:bCs/>
          <w:vanish w:val="0"/>
          <w:color w:val="3D3D3D"/>
          <w:kern w:val="0"/>
          <w:sz w:val="13"/>
          <w:szCs w:val="13"/>
        </w:rPr>
        <w:t>万元，在理财产品资产组合项下资产全部亏损的最不利情况下，理财产品</w:t>
      </w:r>
      <w:r>
        <w:rPr>
          <w:rFonts w:ascii="方正黑体_GBK" w:eastAsia="方正黑体_GBK"/>
          <w:b/>
          <w:bCs/>
          <w:vanish w:val="0"/>
          <w:color w:val="3D3D3D"/>
          <w:kern w:val="0"/>
          <w:sz w:val="13"/>
          <w:szCs w:val="13"/>
        </w:rPr>
        <w:t>1</w:t>
      </w:r>
      <w:r>
        <w:rPr>
          <w:rFonts w:hint="eastAsia" w:ascii="方正黑体_GBK" w:eastAsia="方正黑体_GBK"/>
          <w:b/>
          <w:bCs/>
          <w:vanish w:val="0"/>
          <w:color w:val="3D3D3D"/>
          <w:kern w:val="0"/>
          <w:sz w:val="13"/>
          <w:szCs w:val="13"/>
        </w:rPr>
        <w:t>万元本金将全部损失。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eastAsia="方正黑体_GBK" w:cs="Times New Roman"/>
          <w:b/>
          <w:bCs w:val="0"/>
          <w:vanish w:val="0"/>
          <w:color w:val="3D3D3D"/>
          <w:kern w:val="0"/>
          <w:sz w:val="13"/>
          <w:szCs w:val="13"/>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eastAsia="方正黑体_GBK"/>
          <w:b/>
          <w:bCs w:val="0"/>
          <w:vanish w:val="0"/>
          <w:color w:val="3D3D3D"/>
          <w:kern w:val="0"/>
          <w:sz w:val="15"/>
          <w:szCs w:val="15"/>
          <w:u w:val="single"/>
        </w:rPr>
      </w:pPr>
      <w:r>
        <w:rPr>
          <w:rFonts w:hint="eastAsia" w:ascii="方正黑体_GBK" w:eastAsia="方正黑体_GBK"/>
          <w:b/>
          <w:bCs w:val="0"/>
          <w:vanish w:val="0"/>
          <w:color w:val="3D3D3D"/>
          <w:kern w:val="0"/>
          <w:sz w:val="15"/>
          <w:szCs w:val="15"/>
          <w:u w:val="single"/>
        </w:rPr>
        <w:t>上述风险客观存在，敬请投资者予以充分关注！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eastAsia="方正黑体_GBK"/>
          <w:b/>
          <w:bCs w:val="0"/>
          <w:vanish w:val="0"/>
          <w:color w:val="3D3D3D"/>
          <w:kern w:val="0"/>
          <w:sz w:val="15"/>
          <w:szCs w:val="15"/>
          <w:u w:val="single"/>
        </w:rPr>
      </w:pPr>
    </w:p>
    <w:p>
      <w:pPr>
        <w:pStyle w:val="18"/>
        <w:keepNext w:val="0"/>
        <w:keepLines w:val="0"/>
        <w:pageBreakBefore w:val="0"/>
        <w:widowControl/>
        <w:suppressLineNumbers w:val="0"/>
        <w:suppressAutoHyphens w:val="0"/>
        <w:spacing w:line="200" w:lineRule="exact"/>
        <w:ind w:firstLine="260"/>
        <w:jc w:val="left"/>
        <w:rPr>
          <w:rFonts w:hint="eastAsia" w:ascii="方正黑体_GBK" w:eastAsia="方正黑体_GBK"/>
          <w:b/>
          <w:color w:val="3D3D3D"/>
          <w:kern w:val="0"/>
          <w:sz w:val="15"/>
          <w:szCs w:val="15"/>
          <w:u w:val="single"/>
        </w:rPr>
      </w:pPr>
      <w:r>
        <w:rPr>
          <w:rFonts w:hint="eastAsia" w:asci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eastAsia="方正黑体_GBK"/>
          <w:b/>
          <w:bCs w:val="0"/>
          <w:vanish w:val="0"/>
          <w:color w:val="3D3D3D"/>
          <w:kern w:val="0"/>
          <w:sz w:val="15"/>
          <w:szCs w:val="15"/>
          <w:u w:val="single"/>
        </w:rPr>
        <w:t>本风险揭示书</w:t>
      </w:r>
      <w:r>
        <w:rPr>
          <w:rFonts w:hint="eastAsia" w:asci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eastAsia="方正黑体_GBK"/>
          <w:b/>
          <w:bCs w:val="0"/>
          <w:vanish w:val="0"/>
          <w:color w:val="3D3D3D"/>
          <w:kern w:val="0"/>
          <w:sz w:val="15"/>
          <w:szCs w:val="15"/>
          <w:u w:val="single"/>
        </w:rPr>
      </w:pPr>
      <w:r>
        <w:rPr>
          <w:rFonts w:hint="eastAsia" w:asci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eastAsia="方正黑体_GBK" w:cs="Times New Roman"/>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1.</w:t>
      </w:r>
      <w:r>
        <w:rPr>
          <w:rFonts w:hint="eastAsia" w:ascii="方正黑体_GBK" w:eastAsia="方正黑体_GBK" w:cs="Times New Roman"/>
          <w:b/>
          <w:bCs w:val="0"/>
          <w:vanish w:val="0"/>
          <w:color w:val="3D3D3D"/>
          <w:kern w:val="0"/>
          <w:sz w:val="15"/>
          <w:szCs w:val="15"/>
          <w:u w:val="single"/>
        </w:rPr>
        <w:t>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确认，本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购买本理财产品为本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真实的意思表示</w:t>
      </w:r>
      <w:r>
        <w:rPr>
          <w:rFonts w:ascii="方正黑体_GBK" w:eastAsia="方正黑体_GBK" w:cs="Times New Roman"/>
          <w:b/>
          <w:bCs w:val="0"/>
          <w:vanish w:val="0"/>
          <w:color w:val="3D3D3D"/>
          <w:kern w:val="0"/>
          <w:sz w:val="15"/>
          <w:szCs w:val="15"/>
          <w:u w:val="single"/>
        </w:rPr>
        <w:t>,</w:t>
      </w:r>
      <w:r>
        <w:rPr>
          <w:rFonts w:hint="eastAsia" w:ascii="方正黑体_GBK" w:eastAsia="方正黑体_GBK" w:cs="Times New Roman"/>
          <w:b/>
          <w:bCs w:val="0"/>
          <w:vanish w:val="0"/>
          <w:color w:val="3D3D3D"/>
          <w:kern w:val="0"/>
          <w:sz w:val="15"/>
          <w:szCs w:val="15"/>
          <w:u w:val="single"/>
        </w:rPr>
        <w:t>并认为该理财产品完全适合本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自愿承担由此带来的一切后果。本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确认南银理财</w:t>
      </w:r>
      <w:r>
        <w:rPr>
          <w:rFonts w:ascii="方正黑体_GBK" w:eastAsia="方正黑体_GBK" w:cs="Times New Roman"/>
          <w:b/>
          <w:bCs w:val="0"/>
          <w:vanish w:val="0"/>
          <w:color w:val="3D3D3D"/>
          <w:kern w:val="0"/>
          <w:sz w:val="15"/>
          <w:szCs w:val="15"/>
          <w:u w:val="single"/>
        </w:rPr>
        <w:t>/</w:t>
      </w:r>
      <w:r>
        <w:rPr>
          <w:rFonts w:hint="eastAsia" w:asci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权利、增加或加重本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eastAsia="方正黑体_GBK" w:cs="Times New Roman"/>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2.</w:t>
      </w:r>
      <w:r>
        <w:rPr>
          <w:rFonts w:hint="eastAsia" w:ascii="方正黑体_GBK" w:eastAsia="方正黑体_GBK" w:cs="Times New Roman"/>
          <w:b/>
          <w:bCs w:val="0"/>
          <w:vanish w:val="0"/>
          <w:color w:val="3D3D3D"/>
          <w:kern w:val="0"/>
          <w:sz w:val="15"/>
          <w:szCs w:val="15"/>
          <w:u w:val="single"/>
        </w:rPr>
        <w:t>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eastAsia="方正黑体_GBK" w:cs="Times New Roman"/>
          <w:b/>
          <w:bCs w:val="0"/>
          <w:vanish w:val="0"/>
          <w:color w:val="3D3D3D"/>
          <w:kern w:val="0"/>
          <w:sz w:val="15"/>
          <w:szCs w:val="15"/>
          <w:u w:val="single"/>
        </w:rPr>
        <w:t>/</w:t>
      </w:r>
      <w:r>
        <w:rPr>
          <w:rFonts w:hint="eastAsia" w:ascii="方正黑体_GBK" w:eastAsia="方正黑体_GBK" w:cs="Times New Roman"/>
          <w:b/>
          <w:bCs w:val="0"/>
          <w:vanish w:val="0"/>
          <w:color w:val="3D3D3D"/>
          <w:kern w:val="0"/>
          <w:sz w:val="15"/>
          <w:szCs w:val="15"/>
          <w:u w:val="single"/>
        </w:rPr>
        <w:t>申购</w:t>
      </w:r>
      <w:r>
        <w:rPr>
          <w:rFonts w:ascii="方正黑体_GBK" w:eastAsia="方正黑体_GBK" w:cs="Times New Roman"/>
          <w:b/>
          <w:bCs w:val="0"/>
          <w:vanish w:val="0"/>
          <w:color w:val="3D3D3D"/>
          <w:kern w:val="0"/>
          <w:sz w:val="15"/>
          <w:szCs w:val="15"/>
          <w:u w:val="single"/>
        </w:rPr>
        <w:t>/</w:t>
      </w:r>
      <w:r>
        <w:rPr>
          <w:rFonts w:hint="eastAsia" w:ascii="方正黑体_GBK" w:eastAsia="方正黑体_GBK" w:cs="Times New Roman"/>
          <w:b/>
          <w:bCs w:val="0"/>
          <w:vanish w:val="0"/>
          <w:color w:val="3D3D3D"/>
          <w:kern w:val="0"/>
          <w:sz w:val="15"/>
          <w:szCs w:val="15"/>
          <w:u w:val="single"/>
        </w:rPr>
        <w:t>赎回等决定，自主承担投资风险。本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相应的后果和责任，并有权拒绝向本</w:t>
      </w:r>
      <w:r>
        <w:rPr>
          <w:rFonts w:hint="eastAsia" w:ascii="方正黑体_GBK" w:eastAsia="方正黑体_GBK"/>
          <w:b/>
          <w:bCs/>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eastAsia="方正黑体_GBK" w:cs="Times New Roman"/>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3.</w:t>
      </w:r>
      <w:r>
        <w:rPr>
          <w:rFonts w:hint="eastAsia" w:asci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eastAsia="方正黑体_GBK" w:cs="Times New Roman"/>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4.</w:t>
      </w:r>
      <w:r>
        <w:rPr>
          <w:rFonts w:hint="eastAsia" w:asci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eastAsia="方正黑体_GBK" w:cs="Times New Roman"/>
          <w:b/>
          <w:bCs w:val="0"/>
          <w:vanish w:val="0"/>
          <w:color w:val="3D3D3D"/>
          <w:kern w:val="0"/>
          <w:sz w:val="15"/>
          <w:szCs w:val="15"/>
          <w:u w:val="single"/>
        </w:rPr>
      </w:pPr>
      <w:r>
        <w:rPr>
          <w:rFonts w:hint="eastAsia" w:ascii="方正黑体_GBK" w:eastAsia="方正黑体_GBK"/>
          <w:b/>
          <w:bCs w:val="0"/>
          <w:vanish w:val="0"/>
          <w:color w:val="3D3D3D"/>
          <w:kern w:val="0"/>
          <w:sz w:val="15"/>
          <w:szCs w:val="15"/>
        </w:rPr>
        <w:t>5.</w:t>
      </w:r>
      <w:r>
        <w:rPr>
          <w:rFonts w:hint="eastAsia" w:ascii="方正黑体_GBK" w:eastAsia="方正黑体_GBK"/>
          <w:b/>
          <w:bCs w:val="0"/>
          <w:vanish w:val="0"/>
          <w:color w:val="3D3D3D"/>
          <w:kern w:val="0"/>
          <w:sz w:val="15"/>
          <w:szCs w:val="15"/>
          <w:u w:val="single"/>
        </w:rPr>
        <w:t>本投资者已认真阅读并充分理解本风险揭示书</w:t>
      </w:r>
      <w:r>
        <w:rPr>
          <w:rFonts w:hint="eastAsia" w:ascii="方正黑体_GBK" w:eastAsia="方正黑体_GBK" w:cs="Times New Roman"/>
          <w:b/>
          <w:bCs w:val="0"/>
          <w:vanish w:val="0"/>
          <w:color w:val="3D3D3D"/>
          <w:kern w:val="0"/>
          <w:sz w:val="15"/>
          <w:szCs w:val="15"/>
          <w:u w:val="single"/>
        </w:rPr>
        <w:t>及对应期次</w:t>
      </w:r>
      <w:r>
        <w:rPr>
          <w:rFonts w:hint="eastAsia" w:ascii="方正黑体_GBK" w:eastAsia="方正黑体_GBK"/>
          <w:b/>
          <w:bCs w:val="0"/>
          <w:vanish w:val="0"/>
          <w:color w:val="3D3D3D"/>
          <w:kern w:val="0"/>
          <w:sz w:val="15"/>
          <w:szCs w:val="15"/>
          <w:u w:val="single"/>
        </w:rPr>
        <w:t>《理财产品销售协议书》《理财产品说明书》《投资者权益须知》</w:t>
      </w:r>
      <w:r>
        <w:rPr>
          <w:rFonts w:hint="eastAsia" w:asci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eastAsia="方正黑体_GBK"/>
          <w:b/>
          <w:bCs w:val="0"/>
          <w:vanish w:val="0"/>
          <w:color w:val="3D3D3D"/>
          <w:kern w:val="0"/>
          <w:sz w:val="15"/>
          <w:szCs w:val="15"/>
          <w:u w:val="single"/>
        </w:rPr>
        <w:t>的全部条款与内容，</w:t>
      </w:r>
      <w:r>
        <w:rPr>
          <w:rFonts w:hint="eastAsia" w:asci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eastAsia="方正黑体_GBK" w:cs="Times New Roman"/>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6.</w:t>
      </w:r>
      <w:r>
        <w:rPr>
          <w:rFonts w:hint="eastAsia" w:asci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eastAsia="方正黑体_GBK"/>
          <w:b/>
          <w:bCs w:val="0"/>
          <w:vanish w:val="0"/>
          <w:color w:val="3D3D3D"/>
          <w:kern w:val="0"/>
          <w:sz w:val="15"/>
          <w:szCs w:val="15"/>
          <w:u w:val="single"/>
        </w:rPr>
      </w:pPr>
      <w:r>
        <w:rPr>
          <w:rFonts w:hint="eastAsia" w:ascii="方正黑体_GBK" w:eastAsia="方正黑体_GBK" w:cs="Times New Roman"/>
          <w:b/>
          <w:bCs w:val="0"/>
          <w:vanish w:val="0"/>
          <w:color w:val="3D3D3D"/>
          <w:kern w:val="0"/>
          <w:sz w:val="15"/>
          <w:szCs w:val="15"/>
        </w:rPr>
        <w:t>7.</w:t>
      </w:r>
      <w:r>
        <w:rPr>
          <w:rFonts w:hint="eastAsia" w:ascii="方正黑体_GBK" w:eastAsia="方正黑体_GBK" w:cs="Times New Roman"/>
          <w:b/>
          <w:bCs w:val="0"/>
          <w:vanish w:val="0"/>
          <w:color w:val="3D3D3D"/>
          <w:kern w:val="0"/>
          <w:sz w:val="15"/>
          <w:szCs w:val="15"/>
          <w:u w:val="single"/>
        </w:rPr>
        <w:t>如销售机构为管理人关联方的，本</w:t>
      </w:r>
      <w:r>
        <w:rPr>
          <w:rFonts w:hint="eastAsia" w:asci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eastAsia="方正黑体_GBK"/>
          <w:vanish w:val="0"/>
          <w:color w:val="3D3D3D"/>
          <w:kern w:val="0"/>
          <w:sz w:val="15"/>
          <w:szCs w:val="15"/>
          <w:u w:val="single"/>
        </w:rPr>
      </w:pPr>
      <w:r>
        <w:rPr>
          <w:rFonts w:hint="eastAsia" w:ascii="方正黑体_GBK" w:eastAsia="方正黑体_GBK"/>
          <w:vanish w:val="0"/>
          <w:color w:val="3D3D3D"/>
          <w:kern w:val="0"/>
          <w:sz w:val="15"/>
          <w:szCs w:val="15"/>
        </w:rPr>
        <w:t>8.以下划线部分，请投资者抄录确认：</w:t>
      </w:r>
      <w:r>
        <w:rPr>
          <w:rFonts w:ascii="方正黑体_GBK" w:eastAsia="方正黑体_GBK"/>
          <w:vanish w:val="0"/>
          <w:color w:val="3D3D3D"/>
          <w:kern w:val="0"/>
          <w:sz w:val="15"/>
          <w:szCs w:val="15"/>
        </w:rPr>
        <w:t>“</w:t>
      </w:r>
      <w:r>
        <w:rPr>
          <w:rFonts w:hint="eastAsia" w:ascii="方正黑体_GBK" w:eastAsia="方正黑体_GBK" w:cs="Times New Roman"/>
          <w:b/>
          <w:bCs w:val="0"/>
          <w:vanish w:val="0"/>
          <w:color w:val="3D3D3D"/>
          <w:kern w:val="0"/>
          <w:sz w:val="15"/>
          <w:szCs w:val="15"/>
          <w:u w:val="single"/>
        </w:rPr>
        <w:t>本人已经阅读风险揭示，愿意承担投资风险</w:t>
      </w:r>
      <w:r>
        <w:rPr>
          <w:rFonts w:ascii="方正黑体_GBK" w:eastAsia="方正黑体_GBK"/>
          <w:vanish w:val="0"/>
          <w:color w:val="3D3D3D"/>
          <w:kern w:val="0"/>
          <w:sz w:val="15"/>
          <w:szCs w:val="15"/>
        </w:rPr>
        <w:t>”</w:t>
      </w:r>
      <w:r>
        <w:rPr>
          <w:rFonts w:hint="eastAsia" w:asci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投资者抄录：</w:t>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r>
        <w:rPr>
          <w:rFonts w:asci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eastAsia="方正黑体_GBK"/>
          <w:vanish w:val="0"/>
          <w:color w:val="3D3D3D"/>
          <w:kern w:val="0"/>
          <w:sz w:val="13"/>
          <w:szCs w:val="13"/>
        </w:rPr>
      </w:pPr>
    </w:p>
    <w:tbl>
      <w:tblPr>
        <w:tblStyle w:val="17"/>
        <w:tblW w:w="928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eastAsia="方正黑体_GBK"/>
                <w:b/>
                <w:bCs w:val="0"/>
                <w:vanish w:val="0"/>
                <w:kern w:val="2"/>
                <w:sz w:val="15"/>
                <w:szCs w:val="15"/>
              </w:rPr>
            </w:pPr>
            <w:r>
              <w:rPr>
                <w:rFonts w:hint="eastAsia" w:ascii="方正黑体_GBK" w:eastAsia="方正黑体_GBK"/>
                <w:b/>
                <w:bCs w:val="0"/>
                <w:vanish w:val="0"/>
                <w:kern w:val="2"/>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eastAsia="方正黑体_GBK"/>
                <w:vanish w:val="0"/>
                <w:color w:val="3D3D3D"/>
                <w:kern w:val="0"/>
                <w:sz w:val="13"/>
                <w:szCs w:val="13"/>
              </w:rPr>
            </w:pPr>
            <w:r>
              <w:rPr>
                <w:rFonts w:hint="eastAsia" w:asci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eastAsia="方正黑体_GBK"/>
                <w:vanish w:val="0"/>
                <w:color w:val="auto"/>
                <w:kern w:val="2"/>
                <w:sz w:val="15"/>
                <w:szCs w:val="15"/>
              </w:rPr>
            </w:pPr>
            <w:r>
              <w:rPr>
                <w:rFonts w:hint="eastAsia" w:ascii="方正黑体_GBK" w:eastAsia="方正黑体_GBK"/>
                <w:vanish w:val="0"/>
                <w:color w:val="3D3D3D"/>
                <w:kern w:val="0"/>
                <w:sz w:val="13"/>
                <w:szCs w:val="13"/>
              </w:rPr>
              <w:t>年</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月</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eastAsia="方正黑体_GBK"/>
                <w:vanish w:val="0"/>
                <w:color w:val="auto"/>
                <w:kern w:val="2"/>
                <w:sz w:val="15"/>
                <w:szCs w:val="15"/>
              </w:rPr>
            </w:pPr>
            <w:r>
              <w:rPr>
                <w:rFonts w:hint="eastAsia" w:ascii="方正黑体_GBK" w:eastAsia="方正黑体_GBK"/>
                <w:b/>
                <w:bCs/>
                <w:vanish w:val="0"/>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b/>
                <w:bCs/>
                <w:vanish w:val="0"/>
                <w:color w:val="3D3D3D"/>
                <w:kern w:val="0"/>
                <w:sz w:val="15"/>
                <w:szCs w:val="15"/>
              </w:rPr>
            </w:pPr>
            <w:r>
              <w:rPr>
                <w:rFonts w:hint="eastAsia" w:asci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b/>
                <w:bCs/>
                <w:vanish w:val="0"/>
                <w:color w:val="3D3D3D"/>
                <w:kern w:val="0"/>
                <w:sz w:val="15"/>
                <w:szCs w:val="15"/>
              </w:rPr>
            </w:pPr>
            <w:r>
              <w:rPr>
                <w:rFonts w:hint="eastAsia" w:ascii="方正黑体_GBK" w:eastAsia="方正黑体_GBK"/>
                <w:b/>
                <w:bCs/>
                <w:vanish w:val="0"/>
                <w:color w:val="3D3D3D"/>
                <w:kern w:val="0"/>
                <w:sz w:val="15"/>
                <w:szCs w:val="15"/>
              </w:rPr>
              <w:t>法定代表人或授权代理人（</w:t>
            </w:r>
            <w:r>
              <w:rPr>
                <w:rFonts w:hint="eastAsia" w:ascii="方正黑体_GBK" w:eastAsia="方正黑体_GBK" w:cs="Times New Roman"/>
                <w:b/>
                <w:bCs/>
                <w:vanish w:val="0"/>
                <w:color w:val="3D3D3D"/>
                <w:kern w:val="0"/>
                <w:sz w:val="15"/>
                <w:szCs w:val="15"/>
              </w:rPr>
              <w:t>签名</w:t>
            </w:r>
            <w:r>
              <w:rPr>
                <w:rFonts w:hint="eastAsia" w:ascii="方正黑体_GBK" w:eastAsia="方正黑体_GBK"/>
                <w:b/>
                <w:bCs/>
                <w:vanish w:val="0"/>
                <w:color w:val="3D3D3D"/>
                <w:kern w:val="0"/>
                <w:sz w:val="15"/>
                <w:szCs w:val="15"/>
              </w:rPr>
              <w:t>或盖章）：</w:t>
            </w:r>
            <w:r>
              <w:rPr>
                <w:rFonts w:ascii="方正黑体_GBK" w:eastAsia="方正黑体_GBK"/>
                <w:b/>
                <w:bCs/>
                <w:vanish w:val="0"/>
                <w:color w:val="3D3D3D"/>
                <w:kern w:val="0"/>
                <w:sz w:val="15"/>
                <w:szCs w:val="15"/>
              </w:rPr>
              <w:t xml:space="preserve"> </w:t>
            </w:r>
            <w:r>
              <w:rPr>
                <w:rFonts w:asci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eastAsia="方正黑体_GBK"/>
                <w:vanish w:val="0"/>
                <w:color w:val="auto"/>
                <w:kern w:val="2"/>
                <w:sz w:val="15"/>
                <w:szCs w:val="15"/>
              </w:rPr>
            </w:pP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年</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月</w:t>
            </w:r>
            <w:r>
              <w:rPr>
                <w:rFonts w:ascii="方正黑体_GBK" w:eastAsia="方正黑体_GBK"/>
                <w:vanish w:val="0"/>
                <w:color w:val="3D3D3D"/>
                <w:kern w:val="0"/>
                <w:sz w:val="13"/>
                <w:szCs w:val="13"/>
              </w:rPr>
              <w:t xml:space="preserve">    </w:t>
            </w:r>
            <w:r>
              <w:rPr>
                <w:rFonts w:hint="eastAsia" w:ascii="方正黑体_GBK" w:eastAsia="方正黑体_GBK"/>
                <w:vanish w:val="0"/>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eastAsia="方正黑体_GBK"/>
                <w:vanish w:val="0"/>
                <w:color w:val="auto"/>
                <w:kern w:val="2"/>
                <w:sz w:val="15"/>
                <w:szCs w:val="15"/>
              </w:rPr>
            </w:pPr>
            <w:r>
              <w:rPr>
                <w:rFonts w:hint="eastAsia" w:ascii="方正黑体_GBK" w:eastAsia="方正黑体_GBK"/>
                <w:b/>
                <w:bCs/>
                <w:vanish w:val="0"/>
                <w:color w:val="auto"/>
                <w:kern w:val="2"/>
                <w:sz w:val="15"/>
                <w:szCs w:val="15"/>
              </w:rPr>
              <w:t>电子</w:t>
            </w:r>
            <w:r>
              <w:rPr>
                <w:rFonts w:hint="eastAsia" w:ascii="方正黑体_GBK" w:eastAsia="方正黑体_GBK" w:cs="Times New Roman"/>
                <w:b/>
                <w:bCs/>
                <w:vanish w:val="0"/>
                <w:color w:val="auto"/>
                <w:kern w:val="2"/>
                <w:sz w:val="15"/>
                <w:szCs w:val="15"/>
              </w:rPr>
              <w:t>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1" w:firstLineChars="200"/>
              <w:rPr>
                <w:rFonts w:ascii="方正黑体_GBK" w:eastAsia="方正黑体_GBK"/>
                <w:vanish w:val="0"/>
                <w:color w:val="auto"/>
                <w:kern w:val="2"/>
                <w:sz w:val="15"/>
                <w:szCs w:val="15"/>
              </w:rPr>
            </w:pPr>
            <w:r>
              <w:rPr>
                <w:rFonts w:hint="eastAsia" w:ascii="方正黑体_GBK" w:eastAsia="方正黑体_GBK"/>
                <w:b/>
                <w:bCs w:val="0"/>
                <w:vanish w:val="0"/>
                <w:color w:val="3D3D3D"/>
                <w:kern w:val="0"/>
                <w:sz w:val="15"/>
                <w:szCs w:val="15"/>
                <w:u w:val="single"/>
              </w:rPr>
              <w:t>如投资者通过电子</w:t>
            </w:r>
            <w:r>
              <w:rPr>
                <w:rFonts w:hint="eastAsia" w:ascii="方正黑体_GBK" w:eastAsia="方正黑体_GBK" w:cs="Times New Roman"/>
                <w:b/>
                <w:bCs w:val="0"/>
                <w:vanish w:val="0"/>
                <w:color w:val="3D3D3D"/>
                <w:kern w:val="0"/>
                <w:sz w:val="15"/>
                <w:szCs w:val="15"/>
                <w:u w:val="single"/>
              </w:rPr>
              <w:t>渠道</w:t>
            </w:r>
            <w:r>
              <w:rPr>
                <w:rFonts w:hint="eastAsia" w:asci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eastAsia="方正黑体_GBK"/>
                <w:vanish w:val="0"/>
                <w:spacing w:val="10"/>
                <w:kern w:val="2"/>
                <w:sz w:val="15"/>
                <w:szCs w:val="15"/>
              </w:rPr>
              <w:t>本风险揭示书以数据电文形式订立，</w:t>
            </w:r>
            <w:r>
              <w:rPr>
                <w:rFonts w:hint="eastAsia" w:ascii="方正黑体_GBK" w:eastAsia="方正黑体_GBK"/>
                <w:b/>
                <w:bCs w:val="0"/>
                <w:vanish w:val="0"/>
                <w:color w:val="3D3D3D"/>
                <w:kern w:val="0"/>
                <w:sz w:val="15"/>
                <w:szCs w:val="15"/>
                <w:u w:val="single"/>
              </w:rPr>
              <w:t>投资者</w:t>
            </w:r>
            <w:r>
              <w:rPr>
                <w:rFonts w:hint="eastAsia" w:asci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eastAsia="方正黑体_GBK"/>
                <w:b/>
                <w:bCs w:val="0"/>
                <w:vanish w:val="0"/>
                <w:color w:val="3D3D3D"/>
                <w:kern w:val="0"/>
                <w:sz w:val="15"/>
                <w:szCs w:val="15"/>
                <w:u w:val="single"/>
              </w:rPr>
              <w:t>即视为</w:t>
            </w:r>
            <w:r>
              <w:rPr>
                <w:rFonts w:hint="eastAsia" w:ascii="方正黑体_GBK" w:eastAsia="方正黑体_GBK" w:cs="Times New Roman"/>
                <w:b/>
                <w:bCs w:val="0"/>
                <w:vanish w:val="0"/>
                <w:color w:val="3D3D3D"/>
                <w:kern w:val="0"/>
                <w:sz w:val="15"/>
                <w:szCs w:val="15"/>
                <w:u w:val="single"/>
              </w:rPr>
              <w:t>投资者</w:t>
            </w:r>
            <w:r>
              <w:rPr>
                <w:rFonts w:hint="eastAsia" w:ascii="方正黑体_GBK" w:eastAsia="方正黑体_GBK"/>
                <w:b/>
                <w:bCs w:val="0"/>
                <w:vanish w:val="0"/>
                <w:color w:val="3D3D3D"/>
                <w:kern w:val="0"/>
                <w:sz w:val="15"/>
                <w:szCs w:val="15"/>
                <w:u w:val="single"/>
              </w:rPr>
              <w:t>确认其符合本理财产品的风险等级并自愿承担投资风险。</w:t>
            </w:r>
            <w:r>
              <w:rPr>
                <w:rFonts w:hint="eastAsia" w:ascii="方正黑体_GBK" w:eastAsia="方正黑体_GBK"/>
                <w:vanish w:val="0"/>
                <w:spacing w:val="10"/>
                <w:kern w:val="2"/>
                <w:sz w:val="15"/>
                <w:szCs w:val="15"/>
              </w:rPr>
              <w:t>电子</w:t>
            </w:r>
            <w:r>
              <w:rPr>
                <w:rFonts w:hint="eastAsia" w:ascii="方正黑体_GBK" w:eastAsia="方正黑体_GBK" w:cs="Times New Roman"/>
                <w:vanish w:val="0"/>
                <w:spacing w:val="10"/>
                <w:kern w:val="2"/>
                <w:sz w:val="15"/>
                <w:szCs w:val="15"/>
              </w:rPr>
              <w:t>渠道</w:t>
            </w:r>
            <w:r>
              <w:rPr>
                <w:rFonts w:hint="eastAsia" w:ascii="方正黑体_GBK" w:eastAsia="方正黑体_GBK"/>
                <w:vanish w:val="0"/>
                <w:spacing w:val="10"/>
                <w:kern w:val="2"/>
                <w:sz w:val="15"/>
                <w:szCs w:val="15"/>
              </w:rPr>
              <w:t>所生成和保留记载的相关电子数据及交易记录以及南银理财、</w:t>
            </w:r>
            <w:r>
              <w:rPr>
                <w:rFonts w:hint="eastAsia" w:ascii="方正黑体_GBK" w:eastAsia="方正黑体_GBK" w:cs="Times New Roman"/>
                <w:vanish w:val="0"/>
                <w:spacing w:val="10"/>
                <w:kern w:val="2"/>
                <w:sz w:val="15"/>
                <w:szCs w:val="15"/>
              </w:rPr>
              <w:t>销售机构</w:t>
            </w:r>
            <w:r>
              <w:rPr>
                <w:rFonts w:hint="eastAsia" w:ascii="方正黑体_GBK" w:eastAsia="方正黑体_GBK"/>
                <w:vanish w:val="0"/>
                <w:spacing w:val="10"/>
                <w:kern w:val="2"/>
                <w:sz w:val="15"/>
                <w:szCs w:val="15"/>
              </w:rPr>
              <w:t>、托管机构制作或保留的相关电子及纸质单据、凭证、记录等相关资料</w:t>
            </w:r>
            <w:r>
              <w:rPr>
                <w:rFonts w:hint="eastAsia" w:ascii="方正黑体_GBK" w:eastAsia="方正黑体_GBK" w:cs="Times New Roman"/>
                <w:vanish w:val="0"/>
                <w:spacing w:val="10"/>
                <w:kern w:val="2"/>
                <w:sz w:val="15"/>
                <w:szCs w:val="15"/>
              </w:rPr>
              <w:t>，</w:t>
            </w:r>
            <w:r>
              <w:rPr>
                <w:rFonts w:hint="eastAsia" w:asci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r>
        <w:rPr>
          <w:rFonts w:ascii="方正黑体_GBK" w:eastAsia="方正黑体_GBK"/>
        </w:rPr>
        <w:br w:type="page"/>
      </w:r>
    </w:p>
    <w:p>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eastAsia="方正黑体_GBK"/>
          <w:b/>
          <w:bCs/>
          <w:caps w:val="0"/>
          <w:smallCaps w:val="0"/>
          <w:snapToGrid/>
          <w:vanish w:val="0"/>
          <w:color w:val="auto"/>
          <w:kern w:val="0"/>
          <w:sz w:val="24"/>
          <w:szCs w:val="24"/>
          <w:vertAlign w:val="baseline"/>
        </w:rPr>
      </w:pPr>
      <w:r>
        <w:rPr>
          <w:rFonts w:ascii="方正黑体_GBK" w:eastAsia="方正黑体_GBK"/>
          <w:b/>
          <w:bCs/>
          <w:caps w:val="0"/>
          <w:smallCaps w:val="0"/>
          <w:snapToGrid/>
          <w:vanish w:val="0"/>
          <w:color w:val="auto"/>
          <w:kern w:val="0"/>
          <w:sz w:val="24"/>
          <w:szCs w:val="15"/>
          <w:vertAlign w:val="baseline"/>
        </w:rPr>
        <w:t xml:space="preserve"> </w:t>
      </w:r>
      <w:r>
        <w:rPr>
          <w:rFonts w:hint="eastAsia" w:ascii="方正黑体_GBK" w:eastAsia="方正黑体_GBK"/>
          <w:b/>
          <w:bCs/>
          <w:caps w:val="0"/>
          <w:smallCaps w:val="0"/>
          <w:snapToGrid/>
          <w:vanish w:val="0"/>
          <w:color w:val="auto"/>
          <w:kern w:val="0"/>
          <w:sz w:val="24"/>
          <w:szCs w:val="24"/>
          <w:vertAlign w:val="baseline"/>
        </w:rPr>
        <w:t>理财产品说明书</w:t>
      </w:r>
    </w:p>
    <w:p>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eastAsia="方正黑体_GBK"/>
          <w:b/>
          <w:bCs/>
          <w:i/>
          <w:iCs/>
          <w:caps w:val="0"/>
          <w:smallCaps w:val="0"/>
          <w:snapToGrid/>
          <w:vanish w:val="0"/>
          <w:color w:val="auto"/>
          <w:kern w:val="0"/>
          <w:sz w:val="24"/>
          <w:szCs w:val="24"/>
          <w:u w:val="single"/>
          <w:vertAlign w:val="baseline"/>
        </w:rPr>
      </w:pPr>
      <w:r>
        <w:rPr>
          <w:rFonts w:ascii="方正黑体_GBK" w:eastAsia="方正黑体_GBK"/>
          <w:b/>
          <w:bCs/>
          <w:i/>
          <w:iCs/>
          <w:caps w:val="0"/>
          <w:smallCaps w:val="0"/>
          <w:snapToGrid/>
          <w:vanish w:val="0"/>
          <w:color w:val="auto"/>
          <w:kern w:val="0"/>
          <w:sz w:val="24"/>
          <w:szCs w:val="24"/>
          <w:u w:val="single"/>
          <w:vertAlign w:val="baseline"/>
        </w:rPr>
        <w:t>“</w:t>
      </w:r>
      <w:r>
        <w:rPr>
          <w:rFonts w:hint="eastAsia" w:asci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eastAsia="方正黑体_GBK"/>
          <w:b/>
          <w:bCs/>
          <w:i/>
          <w:iCs/>
          <w:caps w:val="0"/>
          <w:smallCaps w:val="0"/>
          <w:snapToGrid/>
          <w:vanish w:val="0"/>
          <w:color w:val="auto"/>
          <w:kern w:val="0"/>
          <w:sz w:val="24"/>
          <w:szCs w:val="24"/>
          <w:u w:val="single"/>
          <w:vertAlign w:val="baseline"/>
        </w:rPr>
        <w:t>”</w:t>
      </w:r>
      <w:r>
        <w:rPr>
          <w:rFonts w:hint="eastAsia" w:ascii="方正黑体_GBK" w:eastAsia="方正黑体_GBK"/>
          <w:b/>
          <w:bCs/>
          <w:i/>
          <w:iCs/>
          <w:caps w:val="0"/>
          <w:smallCaps w:val="0"/>
          <w:snapToGrid/>
          <w:vanish w:val="0"/>
          <w:color w:val="auto"/>
          <w:kern w:val="0"/>
          <w:sz w:val="24"/>
          <w:szCs w:val="24"/>
          <w:u w:val="single"/>
          <w:vertAlign w:val="baseline"/>
        </w:rPr>
        <w:t>！</w:t>
      </w:r>
    </w:p>
    <w:p>
      <w:pPr>
        <w:pStyle w:val="45"/>
        <w:keepNext w:val="0"/>
        <w:keepLines w:val="0"/>
        <w:pageBreakBefore w:val="0"/>
        <w:widowControl/>
        <w:suppressLineNumbers w:val="0"/>
        <w:suppressAutoHyphens w:val="0"/>
        <w:spacing w:line="200" w:lineRule="exact"/>
        <w:ind w:firstLine="0"/>
        <w:jc w:val="both"/>
        <w:textAlignment w:val="baseline"/>
        <w:rPr>
          <w:rFonts w:ascii="方正黑体_GBK" w:eastAsia="方正黑体_GBK"/>
          <w:b/>
          <w:bCs w:val="0"/>
          <w:caps w:val="0"/>
          <w:smallCaps w:val="0"/>
          <w:snapToGrid/>
          <w:vanish w:val="0"/>
          <w:color w:val="3D3D3D"/>
          <w:kern w:val="0"/>
          <w:sz w:val="15"/>
          <w:szCs w:val="15"/>
          <w:vertAlign w:val="baseline"/>
        </w:rPr>
      </w:pPr>
      <w:r>
        <w:rPr>
          <w:rFonts w:hint="eastAsia" w:ascii="方正黑体_GBK" w:eastAsia="方正黑体_GBK"/>
          <w:b/>
          <w:bCs w:val="0"/>
          <w:caps w:val="0"/>
          <w:smallCaps w:val="0"/>
          <w:snapToGrid/>
          <w:vanish w:val="0"/>
          <w:color w:val="3D3D3D"/>
          <w:kern w:val="0"/>
          <w:sz w:val="15"/>
          <w:szCs w:val="15"/>
          <w:vertAlign w:val="baseline"/>
        </w:rPr>
        <w:t>第一条</w:t>
      </w:r>
      <w:r>
        <w:rPr>
          <w:rFonts w:asci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eastAsia="方正黑体_GBK"/>
          <w:b/>
          <w:bCs w:val="0"/>
          <w:caps w:val="0"/>
          <w:smallCaps w:val="0"/>
          <w:snapToGrid/>
          <w:vanish w:val="0"/>
          <w:color w:val="3D3D3D"/>
          <w:kern w:val="0"/>
          <w:sz w:val="15"/>
          <w:szCs w:val="15"/>
          <w:vertAlign w:val="baseline"/>
        </w:rPr>
        <w:t>产品基本要素</w:t>
      </w:r>
    </w:p>
    <w:tbl>
      <w:tblPr>
        <w:tblStyle w:val="17"/>
        <w:tblW w:w="781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南银理财鼎瑞悦稳（最低持有7天）公募人民币理财产品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开放式、固定收益类、公募、净值型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ZZ700322301901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宋体"/>
                <w:caps w:val="0"/>
                <w:smallCaps w:val="0"/>
                <w:snapToGrid/>
                <w:vanish w:val="0"/>
                <w:color w:val="auto"/>
                <w:kern w:val="0"/>
                <w:sz w:val="18"/>
                <w:szCs w:val="18"/>
                <w:vertAlign w:val="baseline"/>
              </w:rPr>
              <w:t>Z7003223000162(投资者可依据该编码在中国理财网www.chinawealth.com.cn查询理财产品相关信息）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A份额：A32011</w:t>
            </w:r>
          </w:p>
          <w:p>
            <w:pPr>
              <w:spacing w:line="200" w:lineRule="exact"/>
            </w:pPr>
            <w:r>
              <w:rPr>
                <w:rFonts w:ascii="方正黑体_GBK" w:eastAsia="方正黑体_GBK" w:cs="宋体"/>
                <w:sz w:val="18"/>
                <w:szCs w:val="18"/>
              </w:rPr>
              <w:t>B份额：A32012</w:t>
            </w:r>
          </w:p>
          <w:p>
            <w:pPr>
              <w:spacing w:line="200" w:lineRule="exact"/>
            </w:pPr>
            <w:r>
              <w:rPr>
                <w:rFonts w:ascii="方正黑体_GBK" w:eastAsia="方正黑体_GBK" w:cs="宋体"/>
                <w:sz w:val="18"/>
                <w:szCs w:val="18"/>
              </w:rPr>
              <w:t>C份额：A32013</w:t>
            </w:r>
          </w:p>
          <w:p>
            <w:pPr>
              <w:spacing w:line="200" w:lineRule="exact"/>
            </w:pPr>
            <w:r>
              <w:rPr>
                <w:rFonts w:ascii="方正黑体_GBK" w:eastAsia="方正黑体_GBK" w:cs="宋体"/>
                <w:sz w:val="18"/>
                <w:szCs w:val="18"/>
              </w:rPr>
              <w:t>D份额：A32027</w:t>
            </w:r>
          </w:p>
          <w:p>
            <w:pPr>
              <w:spacing w:line="200" w:lineRule="exact"/>
            </w:pPr>
            <w:r>
              <w:rPr>
                <w:rFonts w:ascii="方正黑体_GBK" w:eastAsia="方正黑体_GBK" w:cs="宋体"/>
                <w:sz w:val="18"/>
                <w:szCs w:val="18"/>
              </w:rPr>
              <w:t>E份额：A32031</w:t>
            </w:r>
          </w:p>
          <w:p>
            <w:pPr>
              <w:spacing w:line="200" w:lineRule="exact"/>
            </w:pPr>
            <w:r>
              <w:rPr>
                <w:rFonts w:ascii="方正黑体_GBK" w:eastAsia="方正黑体_GBK" w:cs="宋体"/>
                <w:b/>
                <w:sz w:val="18"/>
                <w:szCs w:val="18"/>
              </w:rPr>
              <w:t>注：本产品不同份额针对不同的销售机构及客群进行销售，设置有不同的销售费和管理费，具体客群划分标准以销售机构为准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ascii="方正黑体_GBK" w:eastAsia="方正黑体_GBK"/>
                <w:caps w:val="0"/>
                <w:smallCaps w:val="0"/>
                <w:snapToGrid/>
                <w:vanish w:val="0"/>
                <w:color w:val="auto"/>
                <w:kern w:val="0"/>
                <w:sz w:val="18"/>
                <w:szCs w:val="18"/>
                <w:vertAlign w:val="baseline"/>
              </w:rPr>
              <w:t>理财期限</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textAlignment w:val="center"/>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sz w:val="18"/>
                <w:szCs w:val="18"/>
              </w:rPr>
              <w:t>10年</w:t>
            </w:r>
            <w:r>
              <w:rPr>
                <w:rFonts w:hint="eastAsia" w:ascii="方正黑体_GBK" w:eastAsia="方正黑体_GBK" w:cs="宋体"/>
                <w:kern w:val="0"/>
                <w:sz w:val="18"/>
                <w:szCs w:val="18"/>
                <w:lang w:val="en-US" w:eastAsia="zh-CN"/>
              </w:rPr>
              <w:t>（管理人有权提前终止或延期终止）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kern w:val="0"/>
                <w:sz w:val="18"/>
                <w:szCs w:val="18"/>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本理财产品规模上限为1000亿元。理财产品管理人有权对上述规模上限根据实际业务需求进行调整。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根据理财产品管理人对理财产品的内部风险评估，本理财产品风险等级为</w:t>
            </w:r>
            <w:r>
              <w:rPr>
                <w:rFonts w:ascii="方正黑体_GBK" w:eastAsia="方正黑体_GBK" w:cs="宋体"/>
                <w:b/>
                <w:sz w:val="18"/>
                <w:szCs w:val="18"/>
              </w:rPr>
              <w:t>中低风险</w:t>
            </w:r>
            <w:r>
              <w:rPr>
                <w:rFonts w:ascii="方正黑体_GBK" w:eastAsia="方正黑体_GBK" w:cs="宋体"/>
                <w:sz w:val="18"/>
                <w:szCs w:val="18"/>
              </w:rPr>
              <w:t>（本风险等级为管理人内部风险评估结果，仅供参考）。</w:t>
            </w:r>
          </w:p>
          <w:p>
            <w:pPr>
              <w:spacing w:line="200" w:lineRule="exact"/>
            </w:pPr>
            <w:r>
              <w:rPr>
                <w:rFonts w:asci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color w:val="000000"/>
                <w:sz w:val="18"/>
                <w:szCs w:val="18"/>
              </w:rPr>
              <w:t>符合相关法律法规、监管规定要求的，经销售机构的风险承受能力评估体系评定为适合的个人和机构投资者。</w:t>
            </w:r>
          </w:p>
          <w:p>
            <w:pPr>
              <w:spacing w:line="200" w:lineRule="exact"/>
            </w:pPr>
            <w:r>
              <w:rPr>
                <w:rFonts w:ascii="方正黑体_GBK" w:eastAsia="方正黑体_GBK" w:cs="宋体"/>
                <w:sz w:val="18"/>
                <w:szCs w:val="18"/>
              </w:rPr>
              <w:t>A份额：南京银行股份有限公司客户</w:t>
            </w:r>
          </w:p>
          <w:p>
            <w:pPr>
              <w:spacing w:line="200" w:lineRule="exact"/>
            </w:pPr>
            <w:r>
              <w:rPr>
                <w:rFonts w:ascii="方正黑体_GBK" w:eastAsia="方正黑体_GBK" w:cs="宋体"/>
                <w:sz w:val="18"/>
                <w:szCs w:val="18"/>
              </w:rPr>
              <w:t>B份额：南银理财直销客户</w:t>
            </w:r>
          </w:p>
          <w:p>
            <w:pPr>
              <w:spacing w:line="200" w:lineRule="exact"/>
            </w:pPr>
            <w:r>
              <w:rPr>
                <w:rFonts w:ascii="方正黑体_GBK" w:eastAsia="方正黑体_GBK" w:cs="宋体"/>
                <w:sz w:val="18"/>
                <w:szCs w:val="18"/>
              </w:rPr>
              <w:t>C份额：江苏太仓农村商业银行股份有限公司、烟台银行股份有限公司、河北银行股份有限公司、嘉兴银行股份有限公司、日照银行股份有限公司、齐鲁银行股份有限公司、天津农村商业银行股份有限公司、云南红塔银行股份有限公司、九江银行股份有限公司、乌鲁木齐银行股份有限公司、江苏高邮农村商业银行股份有限公司、浙江网商银行股份有限公司客户</w:t>
            </w:r>
          </w:p>
          <w:p>
            <w:pPr>
              <w:spacing w:line="200" w:lineRule="exact"/>
            </w:pPr>
            <w:r>
              <w:rPr>
                <w:rFonts w:ascii="方正黑体_GBK" w:eastAsia="方正黑体_GBK" w:cs="宋体"/>
                <w:sz w:val="18"/>
                <w:szCs w:val="18"/>
              </w:rPr>
              <w:t>D份额：浙江网商银行股份有限公司特邀客户</w:t>
            </w:r>
          </w:p>
          <w:p>
            <w:pPr>
              <w:spacing w:line="200" w:lineRule="exact"/>
            </w:pPr>
            <w:r>
              <w:rPr>
                <w:rFonts w:ascii="方正黑体_GBK" w:eastAsia="方正黑体_GBK" w:cs="宋体"/>
                <w:sz w:val="18"/>
                <w:szCs w:val="18"/>
              </w:rPr>
              <w:t>E份额：南京银行股份有限公司特邀客户</w:t>
            </w:r>
          </w:p>
          <w:p>
            <w:pPr>
              <w:spacing w:line="200" w:lineRule="exact"/>
            </w:pPr>
            <w:r>
              <w:rPr>
                <w:rFonts w:ascii="方正黑体_GBK" w:eastAsia="方正黑体_GBK" w:cs="宋体"/>
                <w:b/>
                <w:sz w:val="18"/>
                <w:szCs w:val="18"/>
              </w:rPr>
              <w:t>注：本产品不同份额针对不同的销售机构及客群进行销售，设置有不同的销售费和管理费，具体客群划分标准以销售机构为准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A份额/B份额/C份额/D份额：</w:t>
            </w:r>
          </w:p>
          <w:p>
            <w:pPr>
              <w:spacing w:line="200" w:lineRule="exact"/>
            </w:pPr>
            <w:r>
              <w:rPr>
                <w:rFonts w:ascii="方正黑体_GBK" w:eastAsia="方正黑体_GBK" w:cs="宋体"/>
                <w:sz w:val="18"/>
                <w:szCs w:val="18"/>
              </w:rPr>
              <w:t>个人投资者投资起点金额1元人民币，以1元的整数倍递增；</w:t>
            </w:r>
          </w:p>
          <w:p>
            <w:pPr>
              <w:spacing w:line="200" w:lineRule="exact"/>
            </w:pPr>
            <w:r>
              <w:rPr>
                <w:rFonts w:ascii="方正黑体_GBK" w:eastAsia="方正黑体_GBK" w:cs="宋体"/>
                <w:sz w:val="18"/>
                <w:szCs w:val="18"/>
              </w:rPr>
              <w:t>机构投资者投资起点金额1元人民币，以1元的整数倍递增；</w:t>
            </w:r>
          </w:p>
          <w:p>
            <w:pPr>
              <w:spacing w:line="200" w:lineRule="exact"/>
            </w:pPr>
            <w:r>
              <w:rPr>
                <w:rFonts w:ascii="方正黑体_GBK" w:eastAsia="方正黑体_GBK" w:cs="宋体"/>
                <w:sz w:val="18"/>
                <w:szCs w:val="18"/>
              </w:rPr>
              <w:t>E份额：</w:t>
            </w:r>
          </w:p>
          <w:p>
            <w:pPr>
              <w:spacing w:line="200" w:lineRule="exact"/>
            </w:pPr>
            <w:r>
              <w:rPr>
                <w:rFonts w:ascii="方正黑体_GBK" w:eastAsia="方正黑体_GBK" w:cs="宋体"/>
                <w:sz w:val="18"/>
                <w:szCs w:val="18"/>
              </w:rPr>
              <w:t>个人投资者投资起点金额1元人民币，以1元的整数倍递增；</w:t>
            </w:r>
          </w:p>
          <w:p>
            <w:pPr>
              <w:spacing w:line="200" w:lineRule="exact"/>
            </w:pPr>
            <w:r>
              <w:rPr>
                <w:rFonts w:ascii="方正黑体_GBK" w:eastAsia="方正黑体_GBK" w:cs="宋体"/>
                <w:sz w:val="18"/>
                <w:szCs w:val="18"/>
              </w:rPr>
              <w:t>机构投资者投资起点金额1000万元人民币，以1元的整数倍递增；</w:t>
            </w:r>
          </w:p>
          <w:p>
            <w:pPr>
              <w:spacing w:line="200" w:lineRule="exact"/>
            </w:pPr>
            <w:r>
              <w:rPr>
                <w:rFonts w:asci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asci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A/B/C/D份额：</w:t>
            </w:r>
          </w:p>
          <w:p>
            <w:pPr>
              <w:spacing w:line="200" w:lineRule="exact"/>
            </w:pPr>
            <w:r>
              <w:rPr>
                <w:rFonts w:ascii="方正黑体_GBK" w:eastAsia="方正黑体_GBK" w:cs="宋体"/>
                <w:sz w:val="18"/>
                <w:szCs w:val="18"/>
              </w:rPr>
              <w:t>个人投资者：最高持有金额1亿；</w:t>
            </w:r>
          </w:p>
          <w:p>
            <w:pPr>
              <w:spacing w:line="200" w:lineRule="exact"/>
            </w:pPr>
            <w:r>
              <w:rPr>
                <w:rFonts w:ascii="方正黑体_GBK" w:eastAsia="方正黑体_GBK" w:cs="宋体"/>
                <w:sz w:val="18"/>
                <w:szCs w:val="18"/>
              </w:rPr>
              <w:t>机构投资者：最高持有金额1亿；</w:t>
            </w:r>
          </w:p>
          <w:p>
            <w:pPr>
              <w:spacing w:line="200" w:lineRule="exact"/>
            </w:pPr>
            <w:r>
              <w:rPr>
                <w:rFonts w:ascii="方正黑体_GBK" w:eastAsia="方正黑体_GBK" w:cs="宋体"/>
                <w:sz w:val="18"/>
                <w:szCs w:val="18"/>
              </w:rPr>
              <w:t>E份额：</w:t>
            </w:r>
          </w:p>
          <w:p>
            <w:pPr>
              <w:spacing w:line="200" w:lineRule="exact"/>
              <w:rPr>
                <w:rFonts w:ascii="方正黑体_GBK" w:eastAsia="方正黑体_GBK" w:cs="宋体"/>
                <w:sz w:val="18"/>
                <w:szCs w:val="18"/>
              </w:rPr>
            </w:pPr>
            <w:r>
              <w:rPr>
                <w:rFonts w:ascii="方正黑体_GBK" w:eastAsia="方正黑体_GBK" w:cs="宋体"/>
                <w:sz w:val="18"/>
                <w:szCs w:val="18"/>
              </w:rPr>
              <w:t>个人投资者：暂不设置单个持有者金额上限：</w:t>
            </w:r>
          </w:p>
          <w:p>
            <w:pPr>
              <w:spacing w:line="200" w:lineRule="exact"/>
            </w:pPr>
            <w:r>
              <w:rPr>
                <w:rFonts w:ascii="方正黑体_GBK" w:eastAsia="方正黑体_GBK" w:cs="宋体"/>
                <w:sz w:val="18"/>
                <w:szCs w:val="18"/>
              </w:rPr>
              <w:t>机构投资者：最高持有金额3亿；</w:t>
            </w:r>
          </w:p>
          <w:p>
            <w:pPr>
              <w:spacing w:line="200" w:lineRule="exact"/>
              <w:jc w:val="left"/>
            </w:pPr>
            <w:r>
              <w:rPr>
                <w:rFonts w:ascii="方正黑体_GBK" w:eastAsia="方正黑体_GBK" w:cs="宋体"/>
                <w:sz w:val="18"/>
                <w:szCs w:val="18"/>
              </w:rPr>
              <w:t>注：1.管理人有权对上述单个投资者持有金额上限进行调整或取消，并在调整或取消前至少3个工作日公告。</w:t>
            </w:r>
          </w:p>
          <w:p>
            <w:pPr>
              <w:spacing w:line="200" w:lineRule="exact"/>
              <w:jc w:val="left"/>
            </w:pPr>
            <w:r>
              <w:rPr>
                <w:rFonts w:asci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s="Times New Roman"/>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eastAsia="方正黑体_GBK" w:cs="Times New Roman"/>
                <w:caps w:val="0"/>
                <w:smallCaps w:val="0"/>
                <w:snapToGrid/>
                <w:vanish w:val="0"/>
                <w:color w:val="auto"/>
                <w:kern w:val="0"/>
                <w:sz w:val="18"/>
                <w:szCs w:val="18"/>
                <w:vertAlign w:val="baseline"/>
              </w:rPr>
            </w:pPr>
            <w:r>
              <w:rPr>
                <w:rFonts w:ascii="方正黑体_GBK" w:eastAsia="方正黑体_GBK" w:cs="Times New Roman"/>
                <w:caps w:val="0"/>
                <w:smallCaps w:val="0"/>
                <w:snapToGrid/>
                <w:vanish w:val="0"/>
                <w:color w:val="auto"/>
                <w:kern w:val="0"/>
                <w:sz w:val="18"/>
                <w:szCs w:val="18"/>
                <w:vertAlign w:val="baseline"/>
              </w:rPr>
              <w:t>单日单户赎回份额上限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单日单户赎回份额上限，是指单个投资者在最近一个产品开放日17：00（不含）至下一产品开放日17：00（含）之间发起的净赎回总份额上限。</w:t>
            </w:r>
          </w:p>
          <w:p>
            <w:pPr>
              <w:spacing w:line="200" w:lineRule="exact"/>
            </w:pPr>
            <w:r>
              <w:rPr>
                <w:rFonts w:ascii="方正黑体_GBK" w:eastAsia="方正黑体_GBK" w:cs="宋体"/>
                <w:sz w:val="18"/>
                <w:szCs w:val="18"/>
              </w:rPr>
              <w:t>A/B/C/D份额：</w:t>
            </w:r>
          </w:p>
          <w:p>
            <w:pPr>
              <w:spacing w:line="200" w:lineRule="exact"/>
            </w:pPr>
            <w:r>
              <w:rPr>
                <w:rFonts w:ascii="方正黑体_GBK" w:eastAsia="方正黑体_GBK" w:cs="宋体"/>
                <w:sz w:val="18"/>
                <w:szCs w:val="18"/>
              </w:rPr>
              <w:t>个人投资者：单日单户赎回份额上限为1亿份；</w:t>
            </w:r>
          </w:p>
          <w:p>
            <w:pPr>
              <w:spacing w:line="200" w:lineRule="exact"/>
            </w:pPr>
            <w:r>
              <w:rPr>
                <w:rFonts w:ascii="方正黑体_GBK" w:eastAsia="方正黑体_GBK" w:cs="宋体"/>
                <w:sz w:val="18"/>
                <w:szCs w:val="18"/>
              </w:rPr>
              <w:t>机构投资者：单日单户赎回份额上限为1亿份；</w:t>
            </w:r>
          </w:p>
          <w:p>
            <w:pPr>
              <w:spacing w:line="200" w:lineRule="exact"/>
              <w:rPr>
                <w:rFonts w:ascii="方正黑体_GBK" w:eastAsia="方正黑体_GBK" w:cs="宋体"/>
                <w:sz w:val="18"/>
                <w:szCs w:val="18"/>
              </w:rPr>
            </w:pPr>
            <w:r>
              <w:rPr>
                <w:rFonts w:ascii="方正黑体_GBK" w:eastAsia="方正黑体_GBK" w:cs="宋体"/>
                <w:sz w:val="18"/>
                <w:szCs w:val="18"/>
              </w:rPr>
              <w:t>E份额：</w:t>
            </w:r>
          </w:p>
          <w:p>
            <w:pPr>
              <w:spacing w:line="200" w:lineRule="exact"/>
            </w:pPr>
            <w:r>
              <w:rPr>
                <w:rFonts w:ascii="方正黑体_GBK" w:eastAsia="方正黑体_GBK" w:cs="宋体"/>
                <w:sz w:val="18"/>
                <w:szCs w:val="18"/>
              </w:rPr>
              <w:t>个人投资者：暂不设置单日单户赎回份额上限；</w:t>
            </w:r>
          </w:p>
          <w:p>
            <w:pPr>
              <w:spacing w:line="200" w:lineRule="exact"/>
            </w:pPr>
            <w:r>
              <w:rPr>
                <w:rFonts w:ascii="方正黑体_GBK" w:eastAsia="方正黑体_GBK" w:cs="宋体"/>
                <w:sz w:val="18"/>
                <w:szCs w:val="18"/>
              </w:rPr>
              <w:t>机构投资者：单日单户赎回份额上限为1亿份；</w:t>
            </w:r>
          </w:p>
          <w:p>
            <w:pPr>
              <w:spacing w:line="200" w:lineRule="exact"/>
            </w:pPr>
            <w:r>
              <w:rPr>
                <w:rFonts w:ascii="方正黑体_GBK" w:eastAsia="方正黑体_GBK" w:cs="宋体"/>
                <w:sz w:val="18"/>
                <w:szCs w:val="18"/>
              </w:rPr>
              <w:t>注：1.该单日单户赎回份额上限管理人有权进行调整或取消，并在调整或取消前至少3个工作日公告。</w:t>
            </w:r>
          </w:p>
          <w:p>
            <w:pPr>
              <w:spacing w:line="200" w:lineRule="exact"/>
            </w:pPr>
            <w:r>
              <w:rPr>
                <w:rFonts w:ascii="方正黑体_GBK" w:eastAsia="方正黑体_GBK" w:cs="宋体"/>
                <w:b/>
                <w:sz w:val="18"/>
                <w:szCs w:val="18"/>
              </w:rPr>
              <w:t>2.当投资者发起的最近一笔赎回申请超过投资者单日单户赎回份额上限时，销售机构或管理人有权拒绝投资者该笔赎回申请，投资者需重新进行资金安排。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color w:val="000000"/>
                <w:sz w:val="18"/>
                <w:szCs w:val="18"/>
              </w:rPr>
              <w:t>2023年08月15日 09:00—2023年08月21日 15:30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eastAsia="方正黑体_GBK"/>
                <w:caps w:val="0"/>
                <w:smallCaps w:val="0"/>
                <w:snapToGrid/>
                <w:vanish w:val="0"/>
                <w:color w:val="auto"/>
                <w:kern w:val="0"/>
                <w:sz w:val="18"/>
                <w:szCs w:val="18"/>
                <w:vertAlign w:val="baseline"/>
              </w:rPr>
            </w:pPr>
            <w:r>
              <w:rPr>
                <w:rFonts w:asci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理财封闭期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b/>
                <w:sz w:val="18"/>
                <w:szCs w:val="18"/>
              </w:rPr>
              <w:t>本理财产品募集成立后封闭运作7天（2023年8月22日-2023年8月28日），封闭期内不接受任何申购/赎回申请。</w:t>
            </w:r>
          </w:p>
          <w:p>
            <w:pPr>
              <w:spacing w:line="200" w:lineRule="exact"/>
            </w:pPr>
            <w:r>
              <w:rPr>
                <w:rFonts w:ascii="方正黑体_GBK" w:eastAsia="方正黑体_GBK" w:cs="宋体"/>
                <w:b/>
                <w:sz w:val="18"/>
                <w:szCs w:val="18"/>
              </w:rPr>
              <w:t>注：产品成立后因开户等原因可能会导致短期内无法进行部分资产的投资运作，为减轻因此对投资者收益的影响，故设置封闭期。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eastAsia="方正黑体_GBK"/>
                <w:color w:val="000000"/>
                <w:kern w:val="0"/>
                <w:sz w:val="18"/>
                <w:szCs w:val="18"/>
              </w:rPr>
            </w:pPr>
            <w:r>
              <w:rPr>
                <w:rFonts w:hint="eastAsia" w:ascii="方正黑体_GBK" w:eastAsia="方正黑体_GBK"/>
                <w:color w:val="000000"/>
                <w:kern w:val="0"/>
                <w:sz w:val="18"/>
                <w:szCs w:val="18"/>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eastAsia="方正黑体_GBK"/>
                <w:kern w:val="0"/>
                <w:sz w:val="18"/>
                <w:szCs w:val="18"/>
              </w:rPr>
              <w:t>2023年08月22日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2023年08月22日—实际到期日（若本理财产品未被提前终止或延期终止，则实际到期日即为名义到期日，存续期限10年；若本理财产品被提前终止或延期终止，则实际到期日为提前终止日或延期终止日。</w:t>
            </w:r>
            <w:r>
              <w:rPr>
                <w:rFonts w:ascii="方正黑体_GBK" w:eastAsia="方正黑体_GBK" w:cs="宋体"/>
                <w:b/>
                <w:sz w:val="18"/>
                <w:szCs w:val="18"/>
              </w:rPr>
              <w:t>理财产品管理人有权根据市场变化情况调整产品存续期，届时管理人将调整相关日期并进行信息披露。）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2033年08月31日</w:t>
            </w:r>
            <w:r>
              <w:rPr>
                <w:rFonts w:hint="eastAsia" w:ascii="方正黑体_GBK" w:eastAsia="方正黑体_GBK" w:cs="Times New Roman"/>
                <w:b/>
                <w:bCs/>
                <w:caps w:val="0"/>
                <w:smallCaps w:val="0"/>
                <w:snapToGrid/>
                <w:vanish w:val="0"/>
                <w:color w:val="auto"/>
                <w:kern w:val="0"/>
                <w:sz w:val="18"/>
                <w:szCs w:val="18"/>
                <w:vertAlign w:val="baseline"/>
              </w:rPr>
              <w:t>（如遇国家法定节假日，管理人可结合国家法定节假日安排进行调整，并进行</w:t>
            </w:r>
            <w:r>
              <w:rPr>
                <w:rFonts w:hint="eastAsia" w:ascii="方正黑体_GBK" w:eastAsia="方正黑体_GBK"/>
                <w:b/>
                <w:bCs/>
                <w:caps w:val="0"/>
                <w:smallCaps w:val="0"/>
                <w:snapToGrid/>
                <w:vanish w:val="0"/>
                <w:color w:val="auto"/>
                <w:kern w:val="0"/>
                <w:sz w:val="18"/>
                <w:szCs w:val="18"/>
                <w:vertAlign w:val="baseline"/>
              </w:rPr>
              <w:t>信息披露</w:t>
            </w:r>
            <w:r>
              <w:rPr>
                <w:rFonts w:hint="eastAsia" w:ascii="方正黑体_GBK" w:eastAsia="方正黑体_GBK" w:cs="Times New Roman"/>
                <w:b/>
                <w:bCs/>
                <w:caps w:val="0"/>
                <w:smallCaps w:val="0"/>
                <w:snapToGrid/>
                <w:vanish w:val="0"/>
                <w:color w:val="auto"/>
                <w:kern w:val="0"/>
                <w:sz w:val="18"/>
                <w:szCs w:val="18"/>
                <w:vertAlign w:val="baseli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ascii="方正黑体_GBK" w:eastAsia="方正黑体_GBK"/>
                <w:caps w:val="0"/>
                <w:smallCaps w:val="0"/>
                <w:snapToGrid/>
                <w:vanish w:val="0"/>
                <w:color w:val="auto"/>
                <w:kern w:val="0"/>
                <w:sz w:val="18"/>
                <w:szCs w:val="18"/>
                <w:vertAlign w:val="baseline"/>
              </w:rPr>
              <w:t>申购规则</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b/>
                <w:sz w:val="18"/>
                <w:szCs w:val="18"/>
              </w:rPr>
              <w:t>产品开放日17:00（含）前的申购于当日受理，其他时间的申购于下一产品开放日受理。</w:t>
            </w:r>
            <w:r>
              <w:rPr>
                <w:rFonts w:ascii="方正黑体_GBK" w:eastAsia="方正黑体_GBK" w:cs="宋体"/>
                <w:sz w:val="18"/>
                <w:szCs w:val="18"/>
              </w:rPr>
              <w:t>上述申购规则如下（系统批处理时间内无法操作）：</w:t>
            </w:r>
          </w:p>
          <w:tbl>
            <w:tblPr>
              <w:tblStyle w:val="17"/>
              <w:tblW w:w="48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0"/>
              <w:gridCol w:w="1620"/>
              <w:gridCol w:w="1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620" w:type="dxa"/>
                </w:tcPr>
                <w:p>
                  <w:r>
                    <w:rPr>
                      <w:rFonts w:ascii="方正黑体_GBK" w:eastAsia="方正黑体_GBK" w:cs="宋体"/>
                      <w:sz w:val="18"/>
                      <w:szCs w:val="18"/>
                    </w:rPr>
                    <w:t>申购时间</w:t>
                  </w:r>
                </w:p>
              </w:tc>
              <w:tc>
                <w:tcPr>
                  <w:tcW w:w="1620" w:type="dxa"/>
                </w:tcPr>
                <w:p>
                  <w:r>
                    <w:rPr>
                      <w:rFonts w:ascii="方正黑体_GBK" w:eastAsia="方正黑体_GBK" w:cs="宋体"/>
                      <w:sz w:val="18"/>
                      <w:szCs w:val="18"/>
                    </w:rPr>
                    <w:t>申购受理日</w:t>
                  </w:r>
                </w:p>
              </w:tc>
              <w:tc>
                <w:tcPr>
                  <w:tcW w:w="1620" w:type="dxa"/>
                </w:tcPr>
                <w:p>
                  <w:r>
                    <w:rPr>
                      <w:rFonts w:ascii="方正黑体_GBK" w:eastAsia="方正黑体_GBK" w:cs="宋体"/>
                      <w:sz w:val="18"/>
                      <w:szCs w:val="18"/>
                    </w:rPr>
                    <w:t>份额运作起始日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620" w:type="dxa"/>
                </w:tcPr>
                <w:p>
                  <w:r>
                    <w:rPr>
                      <w:rFonts w:ascii="方正黑体_GBK" w:eastAsia="方正黑体_GBK" w:cs="宋体"/>
                      <w:sz w:val="18"/>
                      <w:szCs w:val="18"/>
                    </w:rPr>
                    <w:t>产品开放日：0:00-17:00（含）</w:t>
                  </w:r>
                </w:p>
              </w:tc>
              <w:tc>
                <w:tcPr>
                  <w:tcW w:w="1620" w:type="dxa"/>
                </w:tcPr>
                <w:p>
                  <w:r>
                    <w:rPr>
                      <w:rFonts w:ascii="方正黑体_GBK" w:eastAsia="方正黑体_GBK" w:cs="宋体"/>
                      <w:sz w:val="18"/>
                      <w:szCs w:val="18"/>
                    </w:rPr>
                    <w:t>当日</w:t>
                  </w:r>
                </w:p>
              </w:tc>
              <w:tc>
                <w:tcPr>
                  <w:tcW w:w="1620" w:type="dxa"/>
                </w:tcPr>
                <w:p>
                  <w:r>
                    <w:rPr>
                      <w:rFonts w:ascii="方正黑体_GBK" w:eastAsia="方正黑体_GBK" w:cs="宋体"/>
                      <w:sz w:val="18"/>
                      <w:szCs w:val="18"/>
                    </w:rPr>
                    <w:t>申购受理日下一产品开放日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620" w:type="dxa"/>
                </w:tcPr>
                <w:p>
                  <w:r>
                    <w:rPr>
                      <w:rFonts w:ascii="方正黑体_GBK" w:eastAsia="方正黑体_GBK" w:cs="宋体"/>
                      <w:sz w:val="18"/>
                      <w:szCs w:val="18"/>
                    </w:rPr>
                    <w:t>产品开放日：17:00（不含）-24:00或非产品开放日</w:t>
                  </w:r>
                </w:p>
              </w:tc>
              <w:tc>
                <w:tcPr>
                  <w:tcW w:w="1620" w:type="dxa"/>
                </w:tcPr>
                <w:p>
                  <w:r>
                    <w:rPr>
                      <w:rFonts w:ascii="方正黑体_GBK" w:eastAsia="方正黑体_GBK" w:cs="宋体"/>
                      <w:sz w:val="18"/>
                      <w:szCs w:val="18"/>
                    </w:rPr>
                    <w:t>下一产品开放日</w:t>
                  </w:r>
                </w:p>
              </w:tc>
              <w:tc>
                <w:tcPr>
                  <w:tcW w:w="1620" w:type="dxa"/>
                </w:tcPr>
                <w:p>
                  <w:r>
                    <w:rPr>
                      <w:rFonts w:ascii="方正黑体_GBK" w:eastAsia="方正黑体_GBK" w:cs="宋体"/>
                      <w:sz w:val="18"/>
                      <w:szCs w:val="18"/>
                    </w:rPr>
                    <w:t>申购受理日下一产品开放日</w:t>
                  </w:r>
                </w:p>
              </w:tc>
            </w:tr>
          </w:tbl>
          <w:p>
            <w:pPr>
              <w:spacing w:line="200" w:lineRule="exact"/>
            </w:pPr>
          </w:p>
          <w:p>
            <w:pPr>
              <w:spacing w:line="200" w:lineRule="exact"/>
              <w:jc w:val="left"/>
            </w:pPr>
            <w:r>
              <w:rPr>
                <w:rFonts w:ascii="方正黑体_GBK" w:eastAsia="方正黑体_GBK" w:cs="宋体"/>
                <w:b/>
                <w:sz w:val="18"/>
                <w:szCs w:val="18"/>
              </w:rPr>
              <w:t>代销机构可根据其销售需要重新设定申购时间，投资者通过代销机构购买本理财产品的，以该代销机构最终披露的申购时间和规则为准，但需当日受理的申购申请截止时间不得超过当日17:00。</w:t>
            </w:r>
          </w:p>
          <w:p>
            <w:pPr>
              <w:spacing w:line="200" w:lineRule="exact"/>
              <w:jc w:val="left"/>
            </w:pPr>
          </w:p>
          <w:p>
            <w:pPr>
              <w:spacing w:line="200" w:lineRule="exact"/>
              <w:jc w:val="left"/>
            </w:pPr>
            <w:r>
              <w:rPr>
                <w:rFonts w:ascii="方正黑体_GBK" w:eastAsia="方正黑体_GBK" w:cs="宋体"/>
                <w:b/>
                <w:sz w:val="18"/>
                <w:szCs w:val="18"/>
              </w:rPr>
              <w:t>注</w:t>
            </w:r>
            <w:r>
              <w:rPr>
                <w:rFonts w:ascii="方正黑体_GBK" w:eastAsia="方正黑体_GBK" w:cs="宋体"/>
                <w:sz w:val="18"/>
                <w:szCs w:val="18"/>
              </w:rPr>
              <w:t>：</w:t>
            </w:r>
          </w:p>
          <w:p>
            <w:pPr>
              <w:spacing w:line="200" w:lineRule="exact"/>
              <w:jc w:val="left"/>
            </w:pPr>
            <w:r>
              <w:rPr>
                <w:rFonts w:ascii="方正黑体_GBK" w:eastAsia="方正黑体_GBK" w:cs="宋体"/>
                <w:b/>
                <w:sz w:val="18"/>
                <w:szCs w:val="18"/>
              </w:rPr>
              <w:t>1.在销售机构支持的前提下，申购受理日17:00（含）前可以撤销申购申请。</w:t>
            </w:r>
          </w:p>
          <w:p>
            <w:pPr>
              <w:spacing w:line="200" w:lineRule="exact"/>
            </w:pPr>
            <w:r>
              <w:rPr>
                <w:rFonts w:ascii="方正黑体_GBK" w:eastAsia="方正黑体_GBK" w:cs="宋体"/>
                <w:sz w:val="18"/>
                <w:szCs w:val="18"/>
              </w:rPr>
              <w:t>2.产品开放日为产品存续期内每周一至周五（指工作日），但不包括国家法定节假日、休息日和南银理财公告暂停开放的日期。</w:t>
            </w:r>
            <w:r>
              <w:rPr>
                <w:rFonts w:ascii="方正黑体_GBK" w:eastAsia="方正黑体_GBK" w:cs="宋体"/>
                <w:b/>
                <w:sz w:val="18"/>
                <w:szCs w:val="18"/>
              </w:rPr>
              <w:t>系统批处理时间无法进行任何操作，届时系统将相应提示，系统批处理时间预计在0：00至3：00之间，如遇特殊情况延迟，敬请投资者注意。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s="Times New Roman"/>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申购开放日和确认日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产品封闭期后的每周一至周五（指工作日），但不包括国家法定节假日、休息日和管理人、代销机构公告暂停开放的日期。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28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申购</w:t>
            </w:r>
            <w:r>
              <w:rPr>
                <w:rFonts w:hint="eastAsia" w:ascii="方正黑体_GBK" w:eastAsia="方正黑体_GBK"/>
                <w:caps w:val="0"/>
                <w:smallCaps w:val="0"/>
                <w:snapToGrid/>
                <w:vanish w:val="0"/>
                <w:color w:val="auto"/>
                <w:kern w:val="0"/>
                <w:sz w:val="18"/>
                <w:szCs w:val="18"/>
                <w:vertAlign w:val="baseline"/>
              </w:rPr>
              <w:t>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b/>
                <w:sz w:val="18"/>
                <w:szCs w:val="18"/>
              </w:rPr>
              <w:t>申购份额=申购金额/申购确认日产品单位净值（申购确认日为申购受理日当日）</w:t>
            </w:r>
          </w:p>
          <w:p>
            <w:pPr>
              <w:spacing w:line="200" w:lineRule="exact"/>
              <w:jc w:val="left"/>
            </w:pPr>
            <w:r>
              <w:rPr>
                <w:rFonts w:ascii="方正黑体_GBK" w:eastAsia="方正黑体_GBK" w:cs="宋体"/>
                <w:sz w:val="18"/>
                <w:szCs w:val="18"/>
              </w:rPr>
              <w:t>（申购份额按去尾法保留两位小数）。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eastAsia="方正黑体_GBK"/>
                <w:caps w:val="0"/>
                <w:smallCaps w:val="0"/>
                <w:snapToGrid/>
                <w:vanish w:val="0"/>
                <w:color w:val="auto"/>
                <w:kern w:val="0"/>
                <w:sz w:val="18"/>
                <w:szCs w:val="18"/>
                <w:vertAlign w:val="baseline"/>
              </w:rPr>
            </w:pPr>
            <w:r>
              <w:rPr>
                <w:rFonts w:ascii="方正黑体_GBK" w:eastAsia="方正黑体_GBK"/>
                <w:caps w:val="0"/>
                <w:smallCaps w:val="0"/>
                <w:snapToGrid/>
                <w:vanish w:val="0"/>
                <w:color w:val="auto"/>
                <w:kern w:val="0"/>
                <w:sz w:val="18"/>
                <w:szCs w:val="18"/>
                <w:vertAlign w:val="baseline"/>
              </w:rPr>
              <w:t>赎回规则</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b/>
                <w:sz w:val="18"/>
                <w:szCs w:val="18"/>
              </w:rPr>
              <w:t>持有期7天以内的份额不可提出赎回申请。</w:t>
            </w:r>
          </w:p>
          <w:p>
            <w:pPr>
              <w:spacing w:line="200" w:lineRule="exact"/>
              <w:jc w:val="left"/>
            </w:pPr>
            <w:r>
              <w:rPr>
                <w:rFonts w:ascii="方正黑体_GBK" w:eastAsia="方正黑体_GBK" w:cs="宋体"/>
                <w:b/>
                <w:sz w:val="18"/>
                <w:szCs w:val="18"/>
              </w:rPr>
              <w:t>持有满7天及以上的份额可在之后的每个产品开放日提出赎回申请，非巨额赎回时，产品开放日17:00（含）前的赎回于当日受理，其他时间的赎回于下一产品开放日受理，赎回款项将于份额运作终止日后5个工作日内到账</w:t>
            </w:r>
            <w:r>
              <w:rPr>
                <w:rFonts w:ascii="方正黑体_GBK" w:eastAsia="方正黑体_GBK" w:cs="宋体"/>
                <w:sz w:val="18"/>
                <w:szCs w:val="18"/>
              </w:rPr>
              <w:t>。上述赎回规则如下（系统批处理时间内无法操作）：</w:t>
            </w:r>
          </w:p>
          <w:tbl>
            <w:tblPr>
              <w:tblStyle w:val="17"/>
              <w:tblW w:w="5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0"/>
              <w:gridCol w:w="1350"/>
              <w:gridCol w:w="1350"/>
              <w:gridCol w:w="1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350" w:type="dxa"/>
                </w:tcPr>
                <w:p>
                  <w:r>
                    <w:rPr>
                      <w:rFonts w:ascii="方正黑体_GBK" w:eastAsia="方正黑体_GBK" w:cs="宋体"/>
                      <w:sz w:val="18"/>
                      <w:szCs w:val="18"/>
                    </w:rPr>
                    <w:t>赎回时间</w:t>
                  </w:r>
                </w:p>
              </w:tc>
              <w:tc>
                <w:tcPr>
                  <w:tcW w:w="1350" w:type="dxa"/>
                </w:tcPr>
                <w:p>
                  <w:r>
                    <w:rPr>
                      <w:rFonts w:ascii="方正黑体_GBK" w:eastAsia="方正黑体_GBK" w:cs="宋体"/>
                      <w:sz w:val="18"/>
                      <w:szCs w:val="18"/>
                    </w:rPr>
                    <w:t>赎回受理日</w:t>
                  </w:r>
                </w:p>
              </w:tc>
              <w:tc>
                <w:tcPr>
                  <w:tcW w:w="1350" w:type="dxa"/>
                </w:tcPr>
                <w:p>
                  <w:r>
                    <w:rPr>
                      <w:rFonts w:ascii="方正黑体_GBK" w:eastAsia="方正黑体_GBK" w:cs="宋体"/>
                      <w:sz w:val="18"/>
                      <w:szCs w:val="18"/>
                    </w:rPr>
                    <w:t>份额运作终止日</w:t>
                  </w:r>
                </w:p>
              </w:tc>
              <w:tc>
                <w:tcPr>
                  <w:tcW w:w="1350" w:type="dxa"/>
                </w:tcPr>
                <w:p>
                  <w:r>
                    <w:rPr>
                      <w:rFonts w:ascii="方正黑体_GBK" w:eastAsia="方正黑体_GBK" w:cs="宋体"/>
                      <w:sz w:val="18"/>
                      <w:szCs w:val="18"/>
                    </w:rPr>
                    <w:t>资金到账日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350" w:type="dxa"/>
                </w:tcPr>
                <w:p>
                  <w:r>
                    <w:rPr>
                      <w:rFonts w:ascii="方正黑体_GBK" w:eastAsia="方正黑体_GBK" w:cs="宋体"/>
                      <w:sz w:val="18"/>
                      <w:szCs w:val="18"/>
                    </w:rPr>
                    <w:t>份额持有满7天后的产品开放日：0:00-17:00（含）</w:t>
                  </w:r>
                </w:p>
              </w:tc>
              <w:tc>
                <w:tcPr>
                  <w:tcW w:w="1350" w:type="dxa"/>
                </w:tcPr>
                <w:p>
                  <w:r>
                    <w:rPr>
                      <w:rFonts w:ascii="方正黑体_GBK" w:eastAsia="方正黑体_GBK" w:cs="宋体"/>
                      <w:sz w:val="18"/>
                      <w:szCs w:val="18"/>
                    </w:rPr>
                    <w:t>当日</w:t>
                  </w:r>
                </w:p>
              </w:tc>
              <w:tc>
                <w:tcPr>
                  <w:tcW w:w="1350" w:type="dxa"/>
                </w:tcPr>
                <w:p>
                  <w:r>
                    <w:rPr>
                      <w:rFonts w:ascii="方正黑体_GBK" w:eastAsia="方正黑体_GBK" w:cs="宋体"/>
                      <w:sz w:val="18"/>
                      <w:szCs w:val="18"/>
                    </w:rPr>
                    <w:t>赎回受理日下一产品开放日</w:t>
                  </w:r>
                </w:p>
              </w:tc>
              <w:tc>
                <w:tcPr>
                  <w:tcW w:w="1350" w:type="dxa"/>
                  <w:vMerge w:val="restart"/>
                </w:tcPr>
                <w:p>
                  <w:r>
                    <w:rPr>
                      <w:rFonts w:ascii="方正黑体_GBK" w:eastAsia="方正黑体_GBK" w:cs="宋体"/>
                      <w:sz w:val="18"/>
                      <w:szCs w:val="18"/>
                    </w:rPr>
                    <w:t>份额运作终止日后5个工作日内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350" w:type="dxa"/>
                </w:tcPr>
                <w:p>
                  <w:r>
                    <w:rPr>
                      <w:rFonts w:ascii="方正黑体_GBK" w:eastAsia="方正黑体_GBK" w:cs="宋体"/>
                      <w:sz w:val="18"/>
                      <w:szCs w:val="18"/>
                    </w:rPr>
                    <w:t>份额持有满7天后的产品开放日：17:00（不含）-24:00或非产品开放日</w:t>
                  </w:r>
                </w:p>
              </w:tc>
              <w:tc>
                <w:tcPr>
                  <w:tcW w:w="1350" w:type="dxa"/>
                </w:tcPr>
                <w:p>
                  <w:r>
                    <w:rPr>
                      <w:rFonts w:ascii="方正黑体_GBK" w:eastAsia="方正黑体_GBK" w:cs="宋体"/>
                      <w:sz w:val="18"/>
                      <w:szCs w:val="18"/>
                    </w:rPr>
                    <w:t>下一产品开放日</w:t>
                  </w:r>
                </w:p>
              </w:tc>
              <w:tc>
                <w:tcPr>
                  <w:tcW w:w="1350" w:type="dxa"/>
                </w:tcPr>
                <w:p>
                  <w:r>
                    <w:rPr>
                      <w:rFonts w:ascii="方正黑体_GBK" w:eastAsia="方正黑体_GBK" w:cs="宋体"/>
                      <w:sz w:val="18"/>
                      <w:szCs w:val="18"/>
                    </w:rPr>
                    <w:t>赎回受理日下一产品开放日</w:t>
                  </w:r>
                </w:p>
              </w:tc>
              <w:tc>
                <w:tcPr>
                  <w:tcW w:w="1350" w:type="dxa"/>
                  <w:vMerge w:val="continue"/>
                </w:tcPr>
                <w:p/>
              </w:tc>
            </w:tr>
          </w:tbl>
          <w:p>
            <w:pPr>
              <w:spacing w:line="200" w:lineRule="exact"/>
              <w:jc w:val="left"/>
            </w:pPr>
          </w:p>
          <w:p>
            <w:pPr>
              <w:spacing w:line="200" w:lineRule="exact"/>
            </w:pPr>
            <w:r>
              <w:rPr>
                <w:rFonts w:ascii="方正黑体_GBK" w:eastAsia="方正黑体_GBK" w:cs="宋体"/>
                <w:b/>
                <w:sz w:val="18"/>
                <w:szCs w:val="18"/>
              </w:rPr>
              <w:t>代销机构可根据其销售需要重新设定赎回时间，投资者通过代销机构购买本理财产品的，以该代销机构最终披露的赎回时间和规则为准，但需当日受理的赎回申请截止时间不得超过当日17:00。</w:t>
            </w:r>
          </w:p>
          <w:p>
            <w:pPr>
              <w:spacing w:line="200" w:lineRule="exact"/>
              <w:jc w:val="left"/>
            </w:pPr>
          </w:p>
          <w:p>
            <w:pPr>
              <w:spacing w:line="200" w:lineRule="exact"/>
              <w:jc w:val="left"/>
            </w:pPr>
            <w:r>
              <w:rPr>
                <w:rFonts w:ascii="方正黑体_GBK" w:eastAsia="方正黑体_GBK" w:cs="宋体"/>
                <w:b/>
                <w:sz w:val="18"/>
                <w:szCs w:val="18"/>
              </w:rPr>
              <w:t>注：</w:t>
            </w:r>
          </w:p>
          <w:p>
            <w:pPr>
              <w:spacing w:line="200" w:lineRule="exact"/>
            </w:pPr>
            <w:r>
              <w:rPr>
                <w:rFonts w:ascii="方正黑体_GBK" w:eastAsia="方正黑体_GBK" w:cs="宋体"/>
                <w:sz w:val="18"/>
                <w:szCs w:val="18"/>
              </w:rPr>
              <w:t>1.</w:t>
            </w:r>
            <w:r>
              <w:rPr>
                <w:rFonts w:ascii="方正黑体_GBK" w:eastAsia="方正黑体_GBK" w:cs="宋体"/>
                <w:b/>
                <w:sz w:val="18"/>
                <w:szCs w:val="18"/>
              </w:rPr>
              <w:t>如投资者多次认申购本理财产品，其中持有满7天及以上的份额可提出赎回申请，持有期7天以内的份额不可提出赎回申请。</w:t>
            </w:r>
          </w:p>
          <w:p>
            <w:pPr>
              <w:spacing w:line="200" w:lineRule="exact"/>
            </w:pPr>
            <w:r>
              <w:rPr>
                <w:rFonts w:ascii="方正黑体_GBK" w:eastAsia="方正黑体_GBK" w:cs="宋体"/>
                <w:color w:val="000000"/>
                <w:sz w:val="18"/>
                <w:szCs w:val="18"/>
              </w:rPr>
              <w:t>2.</w:t>
            </w:r>
            <w:r>
              <w:rPr>
                <w:rFonts w:ascii="方正黑体_GBK" w:eastAsia="方正黑体_GBK" w:cs="宋体"/>
                <w:b/>
                <w:sz w:val="18"/>
                <w:szCs w:val="18"/>
              </w:rPr>
              <w:t>单个投资者的赎回遵循“先进先出”原则，即单个投资者先认/申购的份额先被赎回。</w:t>
            </w:r>
          </w:p>
          <w:p>
            <w:pPr>
              <w:spacing w:line="200" w:lineRule="exact"/>
            </w:pPr>
            <w:r>
              <w:rPr>
                <w:rFonts w:ascii="方正黑体_GBK" w:eastAsia="方正黑体_GBK" w:cs="宋体"/>
                <w:b/>
                <w:sz w:val="18"/>
                <w:szCs w:val="18"/>
              </w:rPr>
              <w:t>3.在销售机构支持的前提下，赎回受理日17:00（含）前可以撤销赎回申请。</w:t>
            </w:r>
          </w:p>
          <w:p>
            <w:pPr>
              <w:spacing w:line="200" w:lineRule="exact"/>
              <w:jc w:val="left"/>
            </w:pPr>
            <w:r>
              <w:rPr>
                <w:rFonts w:ascii="方正黑体_GBK" w:eastAsia="方正黑体_GBK" w:cs="宋体"/>
                <w:b/>
                <w:sz w:val="18"/>
                <w:szCs w:val="18"/>
              </w:rPr>
              <w:t>4.</w:t>
            </w:r>
            <w:r>
              <w:rPr>
                <w:rFonts w:ascii="方正黑体_GBK" w:eastAsia="方正黑体_GBK" w:cs="宋体"/>
                <w:sz w:val="18"/>
                <w:szCs w:val="18"/>
              </w:rPr>
              <w:t>产品开放日为产品存续期内每周一至周五（指工作日），但不包括国家法定节假日、休息日和南银理财公告暂停开放的日期。</w:t>
            </w:r>
            <w:r>
              <w:rPr>
                <w:rFonts w:ascii="方正黑体_GBK" w:eastAsia="方正黑体_GBK" w:cs="宋体"/>
                <w:b/>
                <w:sz w:val="18"/>
                <w:szCs w:val="18"/>
              </w:rPr>
              <w:t>系统批处理时间无法进行任何操作，届时系统将相应提示，系统批处理时间预计在0：00至3：00之间，如遇特殊情况延迟，敬请投资者注意。</w:t>
            </w:r>
          </w:p>
          <w:p>
            <w:pPr>
              <w:spacing w:line="200" w:lineRule="exact"/>
            </w:pPr>
            <w:r>
              <w:rPr>
                <w:rFonts w:ascii="方正黑体_GBK" w:eastAsia="方正黑体_GBK" w:cs="宋体"/>
                <w:b/>
                <w:sz w:val="18"/>
                <w:szCs w:val="18"/>
              </w:rPr>
              <w:t>5.份额运作终止日至资金到账日间赎回款项不计任何收益。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赎回开放日和确认日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产品封闭期后的每周一至周五（指工作日），但不包括国家法定节假日、休息日和管理人、代销机构公告暂停开放的日期。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赎回金额计算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b/>
                <w:sz w:val="18"/>
                <w:szCs w:val="18"/>
              </w:rPr>
              <w:t>赎回金额=赎回份额×赎回确认日产品单位净值（赎回确认日为赎回受理日当日）</w:t>
            </w:r>
          </w:p>
          <w:p>
            <w:pPr>
              <w:spacing w:line="200" w:lineRule="exact"/>
            </w:pPr>
            <w:r>
              <w:rPr>
                <w:rFonts w:ascii="方正黑体_GBK" w:eastAsia="方正黑体_GBK" w:cs="宋体"/>
                <w:sz w:val="18"/>
                <w:szCs w:val="18"/>
              </w:rPr>
              <w:t>（赎回金额按去尾法保留两位小数）</w:t>
            </w:r>
          </w:p>
          <w:p>
            <w:pPr>
              <w:spacing w:line="200" w:lineRule="exact"/>
            </w:pPr>
            <w:r>
              <w:rPr>
                <w:rFonts w:ascii="方正黑体_GBK" w:eastAsia="方正黑体_GBK" w:cs="宋体"/>
                <w:b/>
                <w:sz w:val="18"/>
                <w:szCs w:val="18"/>
              </w:rPr>
              <w:t>产品的赎回费、业绩报酬等费用（如有）将从赎回金额中扣除。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color w:val="000000"/>
                <w:sz w:val="18"/>
                <w:szCs w:val="18"/>
              </w:rPr>
              <w:t>到期兑付金额=到期时持有份额×P。 P为期末理财产品单位净值。（已扣除相关费用，到期兑付金额以去尾法保留两位小数）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eastAsia="方正黑体_GBK" w:cs="Times New Roman"/>
                <w:color w:val="000000"/>
                <w:kern w:val="0"/>
                <w:sz w:val="18"/>
                <w:szCs w:val="18"/>
              </w:rPr>
            </w:pPr>
            <w:r>
              <w:rPr>
                <w:rFonts w:ascii="方正黑体_GBK" w:eastAsia="方正黑体_GBK" w:cs="Times New Roman"/>
                <w:color w:val="000000"/>
                <w:kern w:val="0"/>
                <w:sz w:val="18"/>
                <w:szCs w:val="18"/>
              </w:rPr>
              <w:t>份额最低持有期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7天</w:t>
            </w:r>
          </w:p>
          <w:p>
            <w:pPr>
              <w:spacing w:line="200" w:lineRule="exact"/>
            </w:pPr>
            <w:r>
              <w:rPr>
                <w:rFonts w:ascii="方正黑体_GBK" w:eastAsia="方正黑体_GBK" w:cs="宋体"/>
                <w:sz w:val="18"/>
                <w:szCs w:val="18"/>
              </w:rPr>
              <w:t>（认购份额从成立日起最低持有期为7天，2023年08月27日及之前不可提出赎回申请；申购份额从份额运作起始日起最低持有期为7天，7天以内不可提出赎回申请。）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当理财产品单位净值不低于1时，管理人可以根据实际情况进行收益分配，分配方式为现金分红，具体分配方案以信息披露为准（分配后理财产品净值不低于1）。</w:t>
            </w:r>
          </w:p>
          <w:p>
            <w:pPr>
              <w:spacing w:line="200" w:lineRule="exact"/>
            </w:pPr>
            <w:r>
              <w:rPr>
                <w:rFonts w:ascii="方正黑体_GBK" w:eastAsia="方正黑体_GBK" w:cs="宋体"/>
                <w:sz w:val="18"/>
                <w:szCs w:val="18"/>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pPr>
              <w:spacing w:line="200" w:lineRule="exact"/>
              <w:jc w:val="left"/>
            </w:pPr>
            <w:r>
              <w:rPr>
                <w:rFonts w:ascii="方正黑体_GBK" w:eastAsia="方正黑体_GBK" w:cs="宋体"/>
                <w:sz w:val="18"/>
                <w:szCs w:val="18"/>
              </w:rPr>
              <w:t>分红权益登记日指管理人确认投资者所持份额是否享受本次分红的日期。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eastAsia="方正黑体_GBK" w:cs="宋体"/>
                <w:sz w:val="18"/>
                <w:szCs w:val="18"/>
              </w:rPr>
              <w:t>3.公开募集基础设施证券投资基金等符合监管要求的公募证券投资基金；</w:t>
            </w:r>
          </w:p>
          <w:p>
            <w:pPr>
              <w:spacing w:line="200" w:lineRule="exact"/>
              <w:jc w:val="left"/>
            </w:pPr>
            <w:r>
              <w:rPr>
                <w:rFonts w:ascii="方正黑体_GBK" w:eastAsia="方正黑体_GBK" w:cs="宋体"/>
                <w:sz w:val="18"/>
                <w:szCs w:val="18"/>
              </w:rPr>
              <w:t>4.投资范围为上述资产的信托计划、资产管理计划等资产管理产品；</w:t>
            </w:r>
          </w:p>
          <w:p>
            <w:pPr>
              <w:spacing w:line="200" w:lineRule="exact"/>
              <w:jc w:val="left"/>
            </w:pPr>
            <w:r>
              <w:rPr>
                <w:rFonts w:ascii="方正黑体_GBK" w:eastAsia="方正黑体_GBK" w:cs="宋体"/>
                <w:sz w:val="18"/>
                <w:szCs w:val="18"/>
              </w:rPr>
              <w:t>5.法律法规或监管机构允许投资的符合本理财产品投资性质的其他金融工具；</w:t>
            </w:r>
          </w:p>
          <w:p>
            <w:pPr>
              <w:spacing w:line="200" w:lineRule="exact"/>
            </w:pPr>
            <w:r>
              <w:rPr>
                <w:rFonts w:asci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本理财产品投资于固定收益类资产的比例不低于本理财产品总资产的80%。</w:t>
            </w:r>
          </w:p>
          <w:p>
            <w:pPr>
              <w:spacing w:line="200" w:lineRule="exact"/>
            </w:pPr>
            <w:r>
              <w:rPr>
                <w:rFonts w:asci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s="Times New Roman"/>
                <w:caps w:val="0"/>
                <w:smallCaps w:val="0"/>
                <w:snapToGrid/>
                <w:vanish w:val="0"/>
                <w:color w:val="auto"/>
                <w:kern w:val="0"/>
                <w:sz w:val="18"/>
                <w:szCs w:val="18"/>
                <w:vertAlign w:val="baseline"/>
              </w:rPr>
            </w:pPr>
            <w:r>
              <w:rPr>
                <w:rFonts w:hint="eastAsia" w:asci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A份额：业绩比较基准为年化2.3%-3.3% 。</w:t>
            </w:r>
          </w:p>
          <w:p>
            <w:pPr>
              <w:spacing w:line="200" w:lineRule="exact"/>
            </w:pPr>
            <w:r>
              <w:rPr>
                <w:rFonts w:ascii="方正黑体_GBK" w:eastAsia="方正黑体_GBK" w:cs="宋体"/>
                <w:sz w:val="18"/>
                <w:szCs w:val="18"/>
              </w:rPr>
              <w:t>B份额：业绩比较基准为年化2.3%-3.3% 。</w:t>
            </w:r>
          </w:p>
          <w:p>
            <w:pPr>
              <w:spacing w:line="200" w:lineRule="exact"/>
            </w:pPr>
            <w:r>
              <w:rPr>
                <w:rFonts w:ascii="方正黑体_GBK" w:eastAsia="方正黑体_GBK" w:cs="宋体"/>
                <w:sz w:val="18"/>
                <w:szCs w:val="18"/>
              </w:rPr>
              <w:t>C份额：业绩比较基准为年化2.3%-3.3% 。</w:t>
            </w:r>
          </w:p>
          <w:p>
            <w:pPr>
              <w:spacing w:line="200" w:lineRule="exact"/>
            </w:pPr>
            <w:r>
              <w:rPr>
                <w:rFonts w:ascii="方正黑体_GBK" w:eastAsia="方正黑体_GBK" w:cs="宋体"/>
                <w:sz w:val="18"/>
                <w:szCs w:val="18"/>
              </w:rPr>
              <w:t>D份额：业绩比较基准为年化2.3%-3.3% 。</w:t>
            </w:r>
          </w:p>
          <w:p>
            <w:pPr>
              <w:spacing w:line="200" w:lineRule="exact"/>
            </w:pPr>
            <w:r>
              <w:rPr>
                <w:rFonts w:ascii="方正黑体_GBK" w:eastAsia="方正黑体_GBK" w:cs="宋体"/>
                <w:sz w:val="18"/>
                <w:szCs w:val="18"/>
              </w:rPr>
              <w:t>E份额：业绩比较基准为年化2.3%-3.3% 。</w:t>
            </w:r>
          </w:p>
          <w:p>
            <w:pPr>
              <w:spacing w:line="200" w:lineRule="exact"/>
              <w:jc w:val="left"/>
            </w:pPr>
            <w:r>
              <w:rPr>
                <w:rFonts w:asci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总资产的80%。结合债券市场的收益和波动水平预判，在本理财产品约定的投资策略基础上，管理人设定了本理财产品投资周期内业绩比较基准。</w:t>
            </w:r>
          </w:p>
          <w:p>
            <w:pPr>
              <w:spacing w:line="200" w:lineRule="exact"/>
              <w:jc w:val="left"/>
            </w:pPr>
            <w:r>
              <w:rPr>
                <w:rFonts w:ascii="方正黑体_GBK" w:eastAsia="方正黑体_GBK"/>
                <w:sz w:val="18"/>
                <w:szCs w:val="18"/>
              </w:rPr>
              <w:t>注：管理人</w:t>
            </w:r>
            <w:r>
              <w:rPr>
                <w:rFonts w:ascii="方正黑体_GBK" w:eastAsia="方正黑体_GBK" w:cs="宋体"/>
                <w:sz w:val="18"/>
                <w:szCs w:val="18"/>
              </w:rPr>
              <w:t>可根据市场情况对业绩比较基准进行适当调整，如有调整，将至少于调整前3个工作日公布调整方案。</w:t>
            </w:r>
          </w:p>
          <w:p>
            <w:pPr>
              <w:spacing w:line="200" w:lineRule="exact"/>
            </w:pPr>
            <w:r>
              <w:rPr>
                <w:rFonts w:ascii="方正黑体_GBK" w:eastAsia="方正黑体_GBK" w:cs="宋体"/>
                <w:b/>
                <w:sz w:val="18"/>
                <w:szCs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eastAsia="方正黑体_GBK" w:cs="Times New Roman"/>
                <w:bCs/>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产品</w:t>
            </w:r>
            <w:r>
              <w:rPr>
                <w:rFonts w:hint="eastAsia" w:asci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b/>
                <w:sz w:val="18"/>
                <w:szCs w:val="18"/>
              </w:rPr>
              <w:t>认/申购费：本理财产品暂不收取认/申购费。</w:t>
            </w:r>
          </w:p>
          <w:p>
            <w:pPr>
              <w:spacing w:line="200" w:lineRule="exact"/>
            </w:pPr>
            <w:r>
              <w:rPr>
                <w:rFonts w:ascii="方正黑体_GBK" w:eastAsia="方正黑体_GBK" w:cs="宋体"/>
                <w:b/>
                <w:sz w:val="18"/>
                <w:szCs w:val="18"/>
              </w:rPr>
              <w:t>赎回费：本理财产品暂不收取赎回费。</w:t>
            </w:r>
          </w:p>
          <w:p>
            <w:pPr>
              <w:spacing w:line="200" w:lineRule="exact"/>
            </w:pPr>
            <w:r>
              <w:rPr>
                <w:rFonts w:ascii="方正黑体_GBK" w:eastAsia="方正黑体_GBK" w:cs="宋体"/>
                <w:b/>
                <w:sz w:val="18"/>
                <w:szCs w:val="18"/>
              </w:rPr>
              <w:t>销售费：本理财产品按前一日理财产品资产净值收取销售费，按日计提。</w:t>
            </w:r>
          </w:p>
          <w:p>
            <w:pPr>
              <w:spacing w:line="200" w:lineRule="exact"/>
            </w:pPr>
            <w:r>
              <w:rPr>
                <w:rFonts w:ascii="方正黑体_GBK" w:eastAsia="方正黑体_GBK" w:cs="宋体"/>
                <w:b/>
                <w:sz w:val="18"/>
                <w:szCs w:val="18"/>
              </w:rPr>
              <w:t>A份额：销售费年化0.2%</w:t>
            </w:r>
          </w:p>
          <w:p>
            <w:pPr>
              <w:spacing w:line="200" w:lineRule="exact"/>
            </w:pPr>
            <w:r>
              <w:rPr>
                <w:rFonts w:ascii="方正黑体_GBK" w:eastAsia="方正黑体_GBK" w:cs="宋体"/>
                <w:b/>
                <w:sz w:val="18"/>
                <w:szCs w:val="18"/>
              </w:rPr>
              <w:t>B份额：销售费年化0.2%</w:t>
            </w:r>
          </w:p>
          <w:p>
            <w:pPr>
              <w:spacing w:line="200" w:lineRule="exact"/>
            </w:pPr>
            <w:r>
              <w:rPr>
                <w:rFonts w:ascii="方正黑体_GBK" w:eastAsia="方正黑体_GBK" w:cs="宋体"/>
                <w:b/>
                <w:sz w:val="18"/>
                <w:szCs w:val="18"/>
              </w:rPr>
              <w:t>C份额：销售费年化0.2%</w:t>
            </w:r>
          </w:p>
          <w:p>
            <w:pPr>
              <w:spacing w:line="200" w:lineRule="exact"/>
            </w:pPr>
            <w:r>
              <w:rPr>
                <w:rFonts w:ascii="方正黑体_GBK" w:eastAsia="方正黑体_GBK" w:cs="宋体"/>
                <w:b/>
                <w:sz w:val="18"/>
                <w:szCs w:val="18"/>
              </w:rPr>
              <w:t>D份额：销售费年化0.4%</w:t>
            </w:r>
          </w:p>
          <w:p>
            <w:pPr>
              <w:spacing w:line="200" w:lineRule="exact"/>
            </w:pPr>
            <w:r>
              <w:rPr>
                <w:rFonts w:ascii="方正黑体_GBK" w:eastAsia="方正黑体_GBK" w:cs="宋体"/>
                <w:b/>
                <w:sz w:val="18"/>
                <w:szCs w:val="18"/>
              </w:rPr>
              <w:t>E份额：销售费年化0.2%</w:t>
            </w:r>
          </w:p>
          <w:p>
            <w:pPr>
              <w:spacing w:line="200" w:lineRule="exact"/>
            </w:pPr>
            <w:r>
              <w:rPr>
                <w:rFonts w:ascii="方正黑体_GBK" w:eastAsia="方正黑体_GBK" w:cs="宋体"/>
                <w:b/>
                <w:sz w:val="18"/>
                <w:szCs w:val="18"/>
              </w:rPr>
              <w:t>每日计提的销售费=前一日理财产品资产净值×年化销售费率÷365</w:t>
            </w:r>
          </w:p>
          <w:p>
            <w:pPr>
              <w:spacing w:line="200" w:lineRule="exact"/>
            </w:pPr>
            <w:r>
              <w:rPr>
                <w:rFonts w:ascii="方正黑体_GBK" w:eastAsia="方正黑体_GBK" w:cs="宋体"/>
                <w:b/>
                <w:sz w:val="18"/>
                <w:szCs w:val="18"/>
              </w:rPr>
              <w:t>固定管理费：本理财产品按前一日理财产品资产净值收取固定管理费，按日计提。</w:t>
            </w:r>
          </w:p>
          <w:p>
            <w:pPr>
              <w:spacing w:line="200" w:lineRule="exact"/>
            </w:pPr>
            <w:r>
              <w:rPr>
                <w:rFonts w:ascii="方正黑体_GBK" w:eastAsia="方正黑体_GBK" w:cs="宋体"/>
                <w:b/>
                <w:sz w:val="18"/>
                <w:szCs w:val="18"/>
              </w:rPr>
              <w:t>A份额：固定管理费年化0.4%</w:t>
            </w:r>
          </w:p>
          <w:p>
            <w:pPr>
              <w:spacing w:line="200" w:lineRule="exact"/>
            </w:pPr>
            <w:r>
              <w:rPr>
                <w:rFonts w:ascii="方正黑体_GBK" w:eastAsia="方正黑体_GBK" w:cs="宋体"/>
                <w:b/>
                <w:sz w:val="18"/>
                <w:szCs w:val="18"/>
              </w:rPr>
              <w:t>B份额：固定管理费年化0.4%</w:t>
            </w:r>
          </w:p>
          <w:p>
            <w:pPr>
              <w:spacing w:line="200" w:lineRule="exact"/>
            </w:pPr>
            <w:r>
              <w:rPr>
                <w:rFonts w:ascii="方正黑体_GBK" w:eastAsia="方正黑体_GBK" w:cs="宋体"/>
                <w:b/>
                <w:sz w:val="18"/>
                <w:szCs w:val="18"/>
              </w:rPr>
              <w:t>C份额：固定管理费年化0.4%</w:t>
            </w:r>
          </w:p>
          <w:p>
            <w:pPr>
              <w:spacing w:line="200" w:lineRule="exact"/>
            </w:pPr>
            <w:r>
              <w:rPr>
                <w:rFonts w:ascii="方正黑体_GBK" w:eastAsia="方正黑体_GBK" w:cs="宋体"/>
                <w:b/>
                <w:sz w:val="18"/>
                <w:szCs w:val="18"/>
              </w:rPr>
              <w:t>D份额：固定管理费年化0.4%</w:t>
            </w:r>
          </w:p>
          <w:p>
            <w:pPr>
              <w:spacing w:line="200" w:lineRule="exact"/>
            </w:pPr>
            <w:r>
              <w:rPr>
                <w:rFonts w:ascii="方正黑体_GBK" w:eastAsia="方正黑体_GBK" w:cs="宋体"/>
                <w:b/>
                <w:sz w:val="18"/>
                <w:szCs w:val="18"/>
              </w:rPr>
              <w:t>E份额：固定管理费年化0.5%</w:t>
            </w:r>
          </w:p>
          <w:p>
            <w:pPr>
              <w:spacing w:line="200" w:lineRule="exact"/>
            </w:pPr>
            <w:r>
              <w:rPr>
                <w:rFonts w:ascii="方正黑体_GBK" w:eastAsia="方正黑体_GBK" w:cs="宋体"/>
                <w:b/>
                <w:sz w:val="18"/>
                <w:szCs w:val="18"/>
              </w:rPr>
              <w:t>每日计提的固定管理费=前一日理财产品资产净值×年化固定管理费率÷365</w:t>
            </w:r>
          </w:p>
          <w:p>
            <w:pPr>
              <w:spacing w:line="200" w:lineRule="exact"/>
            </w:pPr>
            <w:r>
              <w:rPr>
                <w:rFonts w:asci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eastAsia="方正黑体_GBK" w:cs="宋体"/>
                <w:b/>
                <w:sz w:val="18"/>
                <w:szCs w:val="18"/>
              </w:rPr>
              <w:t>每日计提的托管费=前一日理财产品资产净值×年化托管费率÷365</w:t>
            </w:r>
          </w:p>
          <w:p>
            <w:pPr>
              <w:spacing w:line="200" w:lineRule="exact"/>
            </w:pPr>
            <w:r>
              <w:rPr>
                <w:rFonts w:ascii="方正黑体_GBK" w:eastAsia="方正黑体_GBK" w:cs="宋体"/>
                <w:b/>
                <w:sz w:val="18"/>
                <w:szCs w:val="18"/>
              </w:rPr>
              <w:t>业绩报酬：本理财产品暂不收取业绩报酬。</w:t>
            </w:r>
          </w:p>
          <w:p>
            <w:pPr>
              <w:spacing w:line="200" w:lineRule="exact"/>
            </w:pPr>
            <w:r>
              <w:rPr>
                <w:rFonts w:ascii="方正黑体_GBK" w:eastAsia="方正黑体_GBK" w:cs="宋体"/>
                <w:b/>
                <w:sz w:val="18"/>
                <w:szCs w:val="18"/>
              </w:rPr>
              <w:t>注：投资者份额持有期间年化收益率=（赎回确认日产品累计净值或实际到期日前一产品开放日产品累计净值-申购确认日产品累计净值）÷申购确认日产品单位净值÷投资者份额实际持有天数×365天。投资者份额实际持有天数为份额运作起始日（含）至份额运作终止日（不含）之间的天数。</w:t>
            </w:r>
          </w:p>
          <w:p>
            <w:pPr>
              <w:spacing w:line="200" w:lineRule="exact"/>
            </w:pPr>
            <w:r>
              <w:rPr>
                <w:rFonts w:asci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color w:val="000000"/>
                <w:sz w:val="18"/>
                <w:szCs w:val="18"/>
              </w:rPr>
              <w:t>具体参见本理财产品风险揭示书。</w:t>
            </w:r>
          </w:p>
          <w:p>
            <w:pPr>
              <w:spacing w:line="200" w:lineRule="exact"/>
              <w:jc w:val="left"/>
            </w:pPr>
            <w:r>
              <w:rPr>
                <w:rFonts w:ascii="方正黑体_GBK" w:eastAsia="方正黑体_GBK"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spacing w:line="200" w:lineRule="exact"/>
              <w:jc w:val="left"/>
            </w:pPr>
            <w:r>
              <w:rPr>
                <w:rFonts w:ascii="方正黑体_GBK" w:eastAsia="方正黑体_GBK" w:cs="宋体"/>
                <w:color w:val="000000"/>
                <w:sz w:val="18"/>
                <w:szCs w:val="18"/>
              </w:rPr>
              <w:t>一是建仓或进行组合调整时，若投资资产包括债券或基金，可能由于特定债券或基金的流动性相对不足而无法按预期的价格买进（申购）或卖出（赎回）；</w:t>
            </w:r>
          </w:p>
          <w:p>
            <w:pPr>
              <w:spacing w:line="200" w:lineRule="exact"/>
              <w:jc w:val="left"/>
            </w:pPr>
            <w:r>
              <w:rPr>
                <w:rFonts w:ascii="方正黑体_GBK" w:eastAsia="方正黑体_GBK" w:cs="宋体"/>
                <w:color w:val="000000"/>
                <w:sz w:val="18"/>
                <w:szCs w:val="18"/>
              </w:rPr>
              <w:t>二是为应对投资者的赎回，被迫以不适当的价格卖出债券或赎回基金；</w:t>
            </w:r>
          </w:p>
          <w:p>
            <w:pPr>
              <w:spacing w:line="200" w:lineRule="exact"/>
              <w:jc w:val="left"/>
            </w:pPr>
            <w:r>
              <w:rPr>
                <w:rFonts w:ascii="方正黑体_GBK" w:eastAsia="方正黑体_GBK" w:cs="宋体"/>
                <w:color w:val="000000"/>
                <w:sz w:val="18"/>
                <w:szCs w:val="18"/>
              </w:rPr>
              <w:t>三是若投资资产包括非标准化债权类资产，可能由于资产缺少流动性而难以变现。</w:t>
            </w:r>
          </w:p>
          <w:p>
            <w:pPr>
              <w:spacing w:line="200" w:lineRule="exact"/>
              <w:jc w:val="left"/>
            </w:pPr>
            <w:r>
              <w:rPr>
                <w:rFonts w:ascii="方正黑体_GBK" w:eastAsia="方正黑体_GBK" w:cs="宋体"/>
                <w:color w:val="000000"/>
                <w:sz w:val="18"/>
                <w:szCs w:val="18"/>
              </w:rPr>
              <w:t>以上情形均可能使产品净值受到不利影响。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eastAsia="方正黑体_GBK" w:cs="宋体"/>
                <w:color w:val="000000"/>
                <w:sz w:val="18"/>
                <w:szCs w:val="18"/>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本理财产品销售机构为南银理财有限责任公司、南京银行股份有限公司、江苏太仓农村商业银行股份有限公司、杭州银行股份有限公司、嘉兴银行股份有限公司、齐鲁银行股份有限公司、云南红塔银行股份有限公司、九江银行股份有限公司、天津农村商业银行股份有限公司、日照银行股份有限公司、无锡农村商业银行股份有限公司、江苏扬州农村商业银行股份有限公司、浙江网商银行股份有限公司、烟台银行股份有限公司、江苏张家港农村商业银行股份有限公司、江苏高邮农村商业银行股份有限公司、乌鲁木齐银行股份有限公司、河北银行股份有限公司。管理人有权调整本理财产品的销售机构并进行信息披露。</w:t>
            </w:r>
          </w:p>
          <w:p>
            <w:pPr>
              <w:spacing w:line="200" w:lineRule="exact"/>
              <w:jc w:val="left"/>
            </w:pPr>
            <w:r>
              <w:rPr>
                <w:rFonts w:ascii="方正黑体_GBK" w:eastAsia="方正黑体_GBK" w:cs="宋体"/>
                <w:sz w:val="18"/>
                <w:szCs w:val="18"/>
              </w:rPr>
              <w:t>销售机构主要职责如下：</w:t>
            </w:r>
          </w:p>
          <w:p>
            <w:pPr>
              <w:spacing w:line="200" w:lineRule="exact"/>
              <w:jc w:val="left"/>
            </w:pPr>
            <w:r>
              <w:rPr>
                <w:rFonts w:asci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eastAsia="方正黑体_GBK" w:cs="宋体"/>
                <w:sz w:val="18"/>
                <w:szCs w:val="18"/>
              </w:rPr>
              <w:t>3.妥善保管投资者理财产品销售相关资料，保管年限不低于20年；</w:t>
            </w:r>
          </w:p>
          <w:p>
            <w:pPr>
              <w:spacing w:line="200" w:lineRule="exact"/>
              <w:jc w:val="left"/>
            </w:pPr>
            <w:r>
              <w:rPr>
                <w:rFonts w:asci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eastAsia="方正黑体_GBK" w:cs="宋体"/>
                <w:sz w:val="18"/>
                <w:szCs w:val="18"/>
              </w:rPr>
              <w:t>5.建立健全投资者权益保护管理体系，加强投资者适当性管理；</w:t>
            </w:r>
          </w:p>
          <w:p>
            <w:pPr>
              <w:spacing w:line="200" w:lineRule="exact"/>
            </w:pPr>
            <w:r>
              <w:rPr>
                <w:rFonts w:ascii="方正黑体_GBK" w:eastAsia="方正黑体_GBK" w:cs="宋体"/>
                <w:sz w:val="18"/>
                <w:szCs w:val="18"/>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本理财产品托管人为南京银行股份有限公司，主要职责如下：</w:t>
            </w:r>
          </w:p>
          <w:p>
            <w:pPr>
              <w:spacing w:line="200" w:lineRule="exact"/>
            </w:pPr>
            <w:r>
              <w:rPr>
                <w:rFonts w:ascii="方正黑体_GBK" w:eastAsia="方正黑体_GBK" w:cs="宋体"/>
                <w:sz w:val="18"/>
                <w:szCs w:val="18"/>
              </w:rPr>
              <w:t>1.安全保管理财产品财产；</w:t>
            </w:r>
          </w:p>
          <w:p>
            <w:pPr>
              <w:spacing w:line="200" w:lineRule="exact"/>
            </w:pPr>
            <w:r>
              <w:rPr>
                <w:rFonts w:ascii="方正黑体_GBK" w:eastAsia="方正黑体_GBK" w:cs="宋体"/>
                <w:sz w:val="18"/>
                <w:szCs w:val="18"/>
              </w:rPr>
              <w:t>2.为每只理财产品开设独立的托管账户，不同托管账户中的资产应当相互独立；</w:t>
            </w:r>
          </w:p>
          <w:p>
            <w:pPr>
              <w:spacing w:line="200" w:lineRule="exact"/>
            </w:pPr>
            <w:r>
              <w:rPr>
                <w:rFonts w:ascii="方正黑体_GBK" w:eastAsia="方正黑体_GBK" w:cs="宋体"/>
                <w:sz w:val="18"/>
                <w:szCs w:val="18"/>
              </w:rPr>
              <w:t>3.按照托管协议约定和管理人的投资指令，及时办理清算、交割事宜；</w:t>
            </w:r>
          </w:p>
          <w:p>
            <w:pPr>
              <w:spacing w:line="200" w:lineRule="exact"/>
            </w:pPr>
            <w:r>
              <w:rPr>
                <w:rFonts w:asci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eastAsia="方正黑体_GBK" w:cs="宋体"/>
                <w:sz w:val="18"/>
                <w:szCs w:val="18"/>
              </w:rPr>
              <w:t>7.理财托管业务活动的记录、账册、报表和其他相关资料保存20年以上；</w:t>
            </w:r>
          </w:p>
          <w:p>
            <w:pPr>
              <w:spacing w:line="200" w:lineRule="exact"/>
            </w:pPr>
            <w:r>
              <w:rPr>
                <w:rFonts w:asci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eastAsia="方正黑体_GBK" w:cs="宋体"/>
                <w:sz w:val="18"/>
                <w:szCs w:val="18"/>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合作机构为华润深国投信托有限公司、江苏省国际信托有限责任公司、平安资产管理有限责任公司、泰康资产管理有限责任公司、太平洋资产管理有限责任公司、中粮信托有限责任公司、鑫元基金管理有限公司、鑫沅资产管理有限公司，上述投资合作机构主要职责对应如下，具体职责以管理人与投资合作机构签署的合同为准。</w:t>
            </w:r>
          </w:p>
          <w:p>
            <w:pPr>
              <w:spacing w:line="200" w:lineRule="exact"/>
            </w:pPr>
            <w:r>
              <w:rPr>
                <w:rFonts w:ascii="方正黑体_GBK" w:eastAsia="方正黑体_GBK" w:cs="宋体"/>
                <w:sz w:val="18"/>
                <w:szCs w:val="18"/>
              </w:rPr>
              <w:t>合作机构为从事理财产品受托投资的机构，主要承担根据合同约定进行受托资金的投资管理的职责：华润深国投信托有限公司、江苏省国际信托有限责任公司、平安资产管理有限责任公司、泰康资产管理有限责任公司、太平洋资产管理有限责任公司、中粮信托有限责任公司、鑫元基金管理有限公司、鑫沅资产管理有限公司。</w:t>
            </w:r>
          </w:p>
          <w:p>
            <w:pPr>
              <w:spacing w:line="200" w:lineRule="exact"/>
            </w:pPr>
            <w:r>
              <w:rPr>
                <w:rFonts w:asci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eastAsia="方正黑体_GBK" w:cs="宋体"/>
                <w:sz w:val="18"/>
                <w:szCs w:val="18"/>
              </w:rPr>
              <w:t>上述投资合作机构简介：</w:t>
            </w:r>
          </w:p>
          <w:p>
            <w:pPr>
              <w:spacing w:line="200" w:lineRule="exact"/>
            </w:pPr>
            <w:r>
              <w:rPr>
                <w:rFonts w:ascii="方正黑体_GBK" w:eastAsia="方正黑体_GBK" w:cs="宋体"/>
                <w:sz w:val="18"/>
                <w:szCs w:val="18"/>
              </w:rPr>
              <w:t>华润深国投信托有限公司成立于1982年08月24日，注册资本金110亿元。</w:t>
            </w:r>
          </w:p>
          <w:p>
            <w:pPr>
              <w:spacing w:line="200" w:lineRule="exact"/>
            </w:pPr>
            <w:r>
              <w:rPr>
                <w:rFonts w:ascii="方正黑体_GBK" w:eastAsia="方正黑体_GBK" w:cs="宋体"/>
                <w:sz w:val="18"/>
                <w:szCs w:val="18"/>
              </w:rPr>
              <w:t>江苏省国际信托有限责任公司成立于1992年06月01日，注册资本金87.60亿元。</w:t>
            </w:r>
          </w:p>
          <w:p>
            <w:pPr>
              <w:spacing w:line="200" w:lineRule="exact"/>
            </w:pPr>
            <w:r>
              <w:rPr>
                <w:rFonts w:ascii="方正黑体_GBK" w:eastAsia="方正黑体_GBK" w:cs="宋体"/>
                <w:sz w:val="18"/>
                <w:szCs w:val="18"/>
              </w:rPr>
              <w:t>平安资产管理有限责任公司成立于2005年05月27日，注册资本金15亿元。</w:t>
            </w:r>
          </w:p>
          <w:p>
            <w:pPr>
              <w:spacing w:line="200" w:lineRule="exact"/>
            </w:pPr>
            <w:r>
              <w:rPr>
                <w:rFonts w:ascii="方正黑体_GBK" w:eastAsia="方正黑体_GBK" w:cs="宋体"/>
                <w:sz w:val="18"/>
                <w:szCs w:val="18"/>
              </w:rPr>
              <w:t>泰康资产管理有限责任公司成立于2006年02月21日，注册资本金10亿元。</w:t>
            </w:r>
          </w:p>
          <w:p>
            <w:pPr>
              <w:spacing w:line="200" w:lineRule="exact"/>
            </w:pPr>
            <w:r>
              <w:rPr>
                <w:rFonts w:ascii="方正黑体_GBK" w:eastAsia="方正黑体_GBK" w:cs="宋体"/>
                <w:sz w:val="18"/>
                <w:szCs w:val="18"/>
              </w:rPr>
              <w:t>太平洋资产管理有限责任公司成立于2006年06月09日，注册资本金21亿元。</w:t>
            </w:r>
          </w:p>
          <w:p>
            <w:pPr>
              <w:spacing w:line="200" w:lineRule="exact"/>
            </w:pPr>
            <w:r>
              <w:rPr>
                <w:rFonts w:ascii="方正黑体_GBK" w:eastAsia="方正黑体_GBK" w:cs="宋体"/>
                <w:sz w:val="18"/>
                <w:szCs w:val="18"/>
              </w:rPr>
              <w:t>中粮信托有限责任公司成立于2009年07月27日，注册资本金28.3亿元。</w:t>
            </w:r>
          </w:p>
          <w:p>
            <w:pPr>
              <w:spacing w:line="200" w:lineRule="exact"/>
            </w:pPr>
            <w:r>
              <w:rPr>
                <w:rFonts w:ascii="方正黑体_GBK" w:eastAsia="方正黑体_GBK" w:cs="宋体"/>
                <w:sz w:val="18"/>
                <w:szCs w:val="18"/>
              </w:rPr>
              <w:t>鑫元基金管理有限公司成立于2013年08月29日，注册资本金17亿元。</w:t>
            </w:r>
          </w:p>
          <w:p>
            <w:pPr>
              <w:spacing w:line="200" w:lineRule="exact"/>
            </w:pPr>
            <w:r>
              <w:rPr>
                <w:rFonts w:ascii="方正黑体_GBK" w:eastAsia="方正黑体_GBK" w:cs="宋体"/>
                <w:sz w:val="18"/>
                <w:szCs w:val="18"/>
              </w:rPr>
              <w:t>鑫沅资产管理有限公司成立于2014年02月19日，注册资本金15.5亿元。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sz w:val="18"/>
                <w:szCs w:val="18"/>
              </w:rPr>
              <w:t>本理财产品单个开放日净赎回申请超过前一产品工作日日终本理财产品总份额的 10%时，触发巨额赎回，</w:t>
            </w:r>
          </w:p>
          <w:p>
            <w:pPr>
              <w:spacing w:line="200" w:lineRule="exact"/>
              <w:jc w:val="left"/>
            </w:pPr>
            <w:r>
              <w:rPr>
                <w:rFonts w:ascii="方正黑体_GBK" w:eastAsia="方正黑体_GBK" w:cs="宋体"/>
                <w:sz w:val="18"/>
                <w:szCs w:val="18"/>
              </w:rPr>
              <w:t>在赎回确认日管理人办理的赎回份额将不低于前一产品工作日日终理财产品总份额的 10%。</w:t>
            </w:r>
          </w:p>
          <w:p>
            <w:pPr>
              <w:spacing w:line="200" w:lineRule="exact"/>
              <w:jc w:val="left"/>
            </w:pPr>
            <w:r>
              <w:rPr>
                <w:rFonts w:ascii="方正黑体_GBK" w:eastAsia="方正黑体_GBK" w:cs="宋体"/>
                <w:sz w:val="18"/>
                <w:szCs w:val="18"/>
              </w:rPr>
              <w:t>本理财产品在开放日发生巨额赎回时，管理人有权根据产品的实际运作情况采取如下措施中的一种：</w:t>
            </w:r>
          </w:p>
          <w:p>
            <w:pPr>
              <w:spacing w:line="200" w:lineRule="exact"/>
              <w:jc w:val="left"/>
            </w:pPr>
            <w:r>
              <w:rPr>
                <w:rFonts w:ascii="方正黑体_GBK" w:eastAsia="方正黑体_GBK" w:cs="宋体"/>
                <w:sz w:val="18"/>
                <w:szCs w:val="18"/>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 10%，并按单个投资者的赎回申请份额占当日所有投资者的净赎回申请总份额的比例，确认该投资者当日办理的赎回申请份额，对于其余赎回申请管理人可暂停接受或延期办理。</w:t>
            </w:r>
          </w:p>
          <w:p>
            <w:pPr>
              <w:spacing w:line="200" w:lineRule="exact"/>
              <w:jc w:val="left"/>
            </w:pPr>
            <w:r>
              <w:rPr>
                <w:rFonts w:ascii="方正黑体_GBK" w:eastAsia="方正黑体_GBK" w:cs="宋体"/>
                <w:sz w:val="18"/>
                <w:szCs w:val="18"/>
              </w:rPr>
              <w:t>（1）投资者在申请赎回时可选择将当日未获办理部分予以撤销，即暂停接受情形，管理人将拒绝该部分赎回申请，撤销的部分投资者可在下一个产品开放日再次发起赎回申请。</w:t>
            </w:r>
          </w:p>
          <w:p>
            <w:pPr>
              <w:spacing w:line="200" w:lineRule="exact"/>
              <w:jc w:val="left"/>
            </w:pPr>
            <w:r>
              <w:rPr>
                <w:rFonts w:ascii="方正黑体_GBK" w:eastAsia="方正黑体_GBK" w:cs="宋体"/>
                <w:sz w:val="18"/>
                <w:szCs w:val="18"/>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pPr>
              <w:spacing w:line="200" w:lineRule="exact"/>
              <w:jc w:val="left"/>
            </w:pPr>
            <w:r>
              <w:rPr>
                <w:rFonts w:ascii="方正黑体_GBK" w:eastAsia="方正黑体_GBK" w:cs="宋体"/>
                <w:sz w:val="18"/>
                <w:szCs w:val="18"/>
              </w:rPr>
              <w:t>具体服务投资者可详询代销机构，最终以代销机构提供的服务为准。</w:t>
            </w:r>
          </w:p>
          <w:p>
            <w:pPr>
              <w:spacing w:line="200" w:lineRule="exact"/>
              <w:jc w:val="left"/>
            </w:pPr>
            <w:r>
              <w:rPr>
                <w:rFonts w:ascii="方正黑体_GBK" w:eastAsia="方正黑体_GBK" w:cs="宋体"/>
                <w:sz w:val="18"/>
                <w:szCs w:val="18"/>
              </w:rPr>
              <w:t>2.接受全额赎回：当管理人认为有能力兑付投资者的全部赎回申请时，将在赎回确认日按正常赎回程序执行。</w:t>
            </w:r>
          </w:p>
          <w:p>
            <w:pPr>
              <w:spacing w:line="200" w:lineRule="exact"/>
            </w:pPr>
            <w:r>
              <w:rPr>
                <w:rFonts w:ascii="方正黑体_GBK" w:eastAsia="方正黑体_GBK" w:cs="宋体"/>
                <w:sz w:val="18"/>
                <w:szCs w:val="18"/>
              </w:rPr>
              <w:t>本理财产品发生巨额赎回、管理人接受部分赎回时，对于暂停接受和延期办理的部分，管理人可能需在下一个申购或赎回开放日才可确认，可能影响投资者的资金安排。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连续巨额赎回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暂停接受认申购</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发生下列情形时，管理人可暂停接受认申购申请：</w:t>
            </w:r>
          </w:p>
          <w:p>
            <w:pPr>
              <w:spacing w:line="200" w:lineRule="exact"/>
            </w:pPr>
            <w:r>
              <w:rPr>
                <w:rFonts w:ascii="方正黑体_GBK" w:eastAsia="方正黑体_GBK" w:cs="宋体"/>
                <w:sz w:val="18"/>
                <w:szCs w:val="18"/>
              </w:rPr>
              <w:t>1.因不可抗力导致理财产品无法正常运作；</w:t>
            </w:r>
          </w:p>
          <w:p>
            <w:pPr>
              <w:spacing w:line="200" w:lineRule="exact"/>
            </w:pPr>
            <w:r>
              <w:rPr>
                <w:rFonts w:ascii="方正黑体_GBK" w:eastAsia="方正黑体_GBK" w:cs="宋体"/>
                <w:sz w:val="18"/>
                <w:szCs w:val="18"/>
              </w:rPr>
              <w:t>2.因监管政策、市场发生重大变化，导致理财产品无法正常运作；</w:t>
            </w:r>
          </w:p>
          <w:p>
            <w:pPr>
              <w:spacing w:line="200" w:lineRule="exact"/>
            </w:pPr>
            <w:r>
              <w:rPr>
                <w:rFonts w:ascii="方正黑体_GBK" w:eastAsia="方正黑体_GBK" w:cs="宋体"/>
                <w:sz w:val="18"/>
                <w:szCs w:val="18"/>
              </w:rPr>
              <w:t>3.管理人认为需要暂停认申购的其他情形。</w:t>
            </w:r>
          </w:p>
          <w:p>
            <w:pPr>
              <w:spacing w:line="200" w:lineRule="exact"/>
            </w:pPr>
            <w:r>
              <w:rPr>
                <w:rFonts w:ascii="方正黑体_GBK" w:eastAsia="方正黑体_GBK" w:cs="宋体"/>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暂停接受赎回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color w:val="000000"/>
                <w:sz w:val="18"/>
                <w:szCs w:val="18"/>
              </w:rPr>
              <w:t>发生下列情形时，管理人可暂停接受投资者的赎回申请：</w:t>
            </w:r>
          </w:p>
          <w:p>
            <w:pPr>
              <w:spacing w:line="200" w:lineRule="exact"/>
              <w:jc w:val="left"/>
            </w:pPr>
            <w:r>
              <w:rPr>
                <w:rFonts w:ascii="方正黑体_GBK" w:eastAsia="方正黑体_GBK" w:cs="宋体"/>
                <w:color w:val="000000"/>
                <w:sz w:val="18"/>
                <w:szCs w:val="18"/>
              </w:rPr>
              <w:t>1.因不可抗力导致管理人不能支付赎回款项；</w:t>
            </w:r>
          </w:p>
          <w:p>
            <w:pPr>
              <w:spacing w:line="200" w:lineRule="exact"/>
              <w:jc w:val="left"/>
            </w:pPr>
            <w:r>
              <w:rPr>
                <w:rFonts w:ascii="方正黑体_GBK" w:eastAsia="方正黑体_GBK" w:cs="宋体"/>
                <w:color w:val="000000"/>
                <w:sz w:val="18"/>
                <w:szCs w:val="18"/>
              </w:rPr>
              <w:t>2.银行间市场或证券交易所交易时间非正常停市，导致管理人无法计算当日理财产品资产净值；</w:t>
            </w:r>
          </w:p>
          <w:p>
            <w:pPr>
              <w:spacing w:line="200" w:lineRule="exact"/>
              <w:jc w:val="left"/>
            </w:pPr>
            <w:r>
              <w:rPr>
                <w:rFonts w:ascii="方正黑体_GBK" w:eastAsia="方正黑体_GBK" w:cs="宋体"/>
                <w:color w:val="000000"/>
                <w:sz w:val="18"/>
                <w:szCs w:val="18"/>
              </w:rPr>
              <w:t>3.管理人、法律法规规定或监管认定的其他情形。</w:t>
            </w:r>
          </w:p>
          <w:p>
            <w:pPr>
              <w:spacing w:line="200" w:lineRule="exact"/>
              <w:jc w:val="left"/>
            </w:pPr>
            <w:r>
              <w:rPr>
                <w:rFonts w:ascii="方正黑体_GBK" w:eastAsia="方正黑体_GBK" w:cs="宋体"/>
                <w:color w:val="000000"/>
                <w:sz w:val="18"/>
                <w:szCs w:val="18"/>
              </w:rPr>
              <w:t>若管理人暂停接受赎回申请，将在3个交易日内告知该理财产品的投资者，并说明运用相关措施的原因、拟采取的应对安排等。</w:t>
            </w:r>
          </w:p>
          <w:p>
            <w:pPr>
              <w:spacing w:line="200" w:lineRule="exact"/>
              <w:jc w:val="left"/>
            </w:pPr>
            <w:r>
              <w:rPr>
                <w:rFonts w:ascii="方正黑体_GBK" w:eastAsia="方正黑体_GBK" w:cs="宋体"/>
                <w:color w:val="000000"/>
                <w:sz w:val="18"/>
                <w:szCs w:val="18"/>
              </w:rPr>
              <w:t>在暂停接受赎回申请期间，投资者将无法获得赎回资金，需重新进行资金安排。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eastAsia="方正黑体_GBK" w:cs="宋体"/>
                <w:color w:val="000000"/>
                <w:sz w:val="18"/>
                <w:szCs w:val="18"/>
              </w:rPr>
              <w:t>1.持有期7天以内的份额不可提出赎回申请，投资者应考虑产品最低持有期限并合理安排自身投资计划。</w:t>
            </w:r>
          </w:p>
          <w:p>
            <w:pPr>
              <w:spacing w:line="200" w:lineRule="exact"/>
              <w:jc w:val="left"/>
            </w:pPr>
            <w:r>
              <w:rPr>
                <w:rFonts w:ascii="方正黑体_GBK" w:eastAsia="方正黑体_GBK" w:cs="宋体"/>
                <w:color w:val="000000"/>
                <w:sz w:val="18"/>
                <w:szCs w:val="18"/>
              </w:rPr>
              <w:t>2.管理人在本理财产品存续期间按照监管规定进行信息披露，详见本理财产品说明书第五条信息披露。</w:t>
            </w:r>
          </w:p>
          <w:p>
            <w:pPr>
              <w:spacing w:line="200" w:lineRule="exact"/>
              <w:jc w:val="left"/>
            </w:pPr>
            <w:r>
              <w:rPr>
                <w:rFonts w:ascii="方正黑体_GBK" w:eastAsia="方正黑体_GBK" w:cs="宋体"/>
                <w:color w:val="000000"/>
                <w:sz w:val="18"/>
                <w:szCs w:val="18"/>
              </w:rPr>
              <w:t>3.本理财产品投资的资产管理产品的业绩报酬、赎回费等的提取（如有）可能造成本理财产品净值的下降。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eastAsia="方正黑体_GBK"/>
                <w:caps w:val="0"/>
                <w:smallCaps w:val="0"/>
                <w:snapToGrid/>
                <w:vanish w:val="0"/>
                <w:color w:val="auto"/>
                <w:kern w:val="0"/>
                <w:sz w:val="18"/>
                <w:szCs w:val="18"/>
                <w:vertAlign w:val="baseline"/>
              </w:rPr>
            </w:pPr>
            <w:r>
              <w:rPr>
                <w:rFonts w:hint="eastAsia" w:asci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2"/>
        <w:rPr>
          <w:rFonts w:hint="eastAsia" w:ascii="方正黑体_GBK" w:eastAsia="方正黑体_GBK"/>
          <w:b/>
          <w:sz w:val="15"/>
          <w:szCs w:val="15"/>
        </w:rPr>
      </w:pPr>
      <w:r>
        <w:rPr>
          <w:rFonts w:ascii="方正黑体_GBK" w:eastAsia="方正黑体_GBK"/>
          <w:b/>
          <w:caps w:val="0"/>
          <w:smallCaps w:val="0"/>
          <w:snapToGrid/>
          <w:vanish w:val="0"/>
          <w:color w:val="auto"/>
          <w:sz w:val="15"/>
          <w:szCs w:val="15"/>
          <w:vertAlign w:val="baseline"/>
        </w:rPr>
        <w:t>特别说明：本理财产品无预期收益率，</w:t>
      </w:r>
      <w:r>
        <w:rPr>
          <w:rFonts w:asci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eastAsia="方正黑体_GBK"/>
          <w:b/>
          <w:caps w:val="0"/>
          <w:smallCaps w:val="0"/>
          <w:snapToGrid/>
          <w:vanish w:val="0"/>
          <w:color w:val="auto"/>
          <w:sz w:val="15"/>
          <w:szCs w:val="15"/>
          <w:vertAlign w:val="baseline"/>
        </w:rPr>
        <w:t>投资须谨慎。</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eastAsia="方正黑体_GBK"/>
          <w:b/>
          <w:bCs/>
          <w:vanish w:val="0"/>
          <w:color w:val="3D3D3D"/>
          <w:kern w:val="0"/>
          <w:sz w:val="15"/>
          <w:szCs w:val="15"/>
        </w:rPr>
      </w:pPr>
      <w:r>
        <w:rPr>
          <w:rFonts w:hint="eastAsia" w:ascii="方正黑体_GBK" w:eastAsia="方正黑体_GBK"/>
          <w:b/>
          <w:bCs/>
          <w:vanish w:val="0"/>
          <w:color w:val="3D3D3D"/>
          <w:kern w:val="0"/>
          <w:sz w:val="15"/>
          <w:szCs w:val="15"/>
        </w:rPr>
        <w:t>第二条</w:t>
      </w:r>
      <w:r>
        <w:rPr>
          <w:rFonts w:hint="eastAsia" w:ascii="方正黑体_GBK" w:eastAsia="方正黑体_GBK" w:cs="Times New Roman"/>
          <w:b/>
          <w:bCs/>
          <w:vanish w:val="0"/>
          <w:color w:val="3D3D3D"/>
          <w:kern w:val="0"/>
          <w:sz w:val="15"/>
          <w:szCs w:val="15"/>
        </w:rPr>
        <w:t xml:space="preserve">  </w:t>
      </w:r>
      <w:r>
        <w:rPr>
          <w:rFonts w:hint="eastAsia" w:ascii="方正黑体_GBK" w:eastAsia="方正黑体_GBK"/>
          <w:b/>
          <w:bCs/>
          <w:vanish w:val="0"/>
          <w:color w:val="3D3D3D"/>
          <w:kern w:val="0"/>
          <w:sz w:val="15"/>
          <w:szCs w:val="15"/>
        </w:rPr>
        <w:t>名词释义</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在本理财产品说明书中，除非上下文另有明确约定，下列用词将具有如下含义：</w:t>
      </w:r>
    </w:p>
    <w:p>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参与主体用语</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1.南银理财/管理人/</w:t>
      </w:r>
      <w:r>
        <w:rPr>
          <w:rFonts w:hint="eastAsia" w:ascii="方正黑体_GBK" w:eastAsia="方正黑体_GBK"/>
          <w:color w:val="3D3D3D"/>
          <w:kern w:val="0"/>
          <w:sz w:val="15"/>
          <w:szCs w:val="15"/>
          <w:highlight w:val="none"/>
          <w:lang w:val="en-US" w:eastAsia="zh-CN"/>
        </w:rPr>
        <w:t>产品管理人/</w:t>
      </w:r>
      <w:r>
        <w:rPr>
          <w:rFonts w:ascii="方正黑体_GBK" w:eastAsia="方正黑体_GBK"/>
          <w:color w:val="3D3D3D"/>
          <w:kern w:val="0"/>
          <w:sz w:val="15"/>
          <w:szCs w:val="15"/>
          <w:highlight w:val="none"/>
        </w:rPr>
        <w:t>理财产品管理人：指南银理财有限责任公司。</w:t>
      </w:r>
    </w:p>
    <w:p>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eastAsia="方正黑体_GBK"/>
          <w:color w:val="3D3D3D"/>
          <w:kern w:val="0"/>
          <w:sz w:val="15"/>
          <w:szCs w:val="15"/>
          <w:highlight w:val="none"/>
          <w:lang w:eastAsia="zh-CN"/>
        </w:rPr>
        <w:t xml:space="preserve">     2.销售</w:t>
      </w:r>
      <w:r>
        <w:rPr>
          <w:rFonts w:hint="eastAsia" w:ascii="方正黑体_GBK" w:eastAsia="方正黑体_GBK"/>
          <w:color w:val="3D3D3D"/>
          <w:kern w:val="0"/>
          <w:sz w:val="15"/>
          <w:szCs w:val="15"/>
          <w:highlight w:val="none"/>
        </w:rPr>
        <w:t>机构：指</w:t>
      </w:r>
      <w:r>
        <w:rPr>
          <w:rFonts w:hint="eastAsia" w:ascii="方正黑体_GBK" w:eastAsia="方正黑体_GBK"/>
          <w:color w:val="3D3D3D"/>
          <w:kern w:val="0"/>
          <w:sz w:val="15"/>
          <w:szCs w:val="15"/>
          <w:highlight w:val="none"/>
          <w:lang w:eastAsia="zh-CN"/>
        </w:rPr>
        <w:t>本</w:t>
      </w:r>
      <w:r>
        <w:rPr>
          <w:rFonts w:hint="eastAsia" w:ascii="方正黑体_GBK" w:eastAsia="方正黑体_GBK"/>
          <w:color w:val="3D3D3D"/>
          <w:kern w:val="0"/>
          <w:sz w:val="15"/>
          <w:szCs w:val="15"/>
          <w:highlight w:val="none"/>
        </w:rPr>
        <w:t>理财产品的销售机构</w:t>
      </w:r>
      <w:r>
        <w:rPr>
          <w:rFonts w:hint="eastAsia" w:ascii="方正黑体_GBK" w:eastAsia="方正黑体_GBK"/>
          <w:color w:val="3D3D3D"/>
          <w:kern w:val="0"/>
          <w:sz w:val="15"/>
          <w:szCs w:val="15"/>
          <w:highlight w:val="none"/>
          <w:lang w:eastAsia="zh-CN"/>
        </w:rPr>
        <w:t>，</w:t>
      </w:r>
      <w:r>
        <w:rPr>
          <w:rFonts w:hint="eastAsia" w:ascii="方正黑体_GBK" w:eastAsia="方正黑体_GBK"/>
          <w:color w:val="3D3D3D"/>
          <w:kern w:val="0"/>
          <w:sz w:val="15"/>
          <w:szCs w:val="15"/>
          <w:highlight w:val="none"/>
          <w:lang w:val="en-US" w:eastAsia="zh-CN"/>
        </w:rPr>
        <w:t>包括</w:t>
      </w:r>
      <w:r>
        <w:rPr>
          <w:rFonts w:hint="eastAsia" w:ascii="方正黑体_GBK" w:eastAsia="方正黑体_GBK"/>
          <w:color w:val="3D3D3D"/>
          <w:kern w:val="0"/>
          <w:sz w:val="15"/>
          <w:szCs w:val="15"/>
          <w:highlight w:val="none"/>
        </w:rPr>
        <w:t>销售本公司发行理财产品的理财公司</w:t>
      </w:r>
      <w:r>
        <w:rPr>
          <w:rFonts w:hint="eastAsia" w:ascii="方正黑体_GBK" w:eastAsia="方正黑体_GBK"/>
          <w:color w:val="3D3D3D"/>
          <w:kern w:val="0"/>
          <w:sz w:val="15"/>
          <w:szCs w:val="15"/>
          <w:highlight w:val="none"/>
          <w:lang w:val="en-US" w:eastAsia="zh-CN"/>
        </w:rPr>
        <w:t>即南银理财，以及</w:t>
      </w:r>
      <w:r>
        <w:rPr>
          <w:rFonts w:hint="eastAsia" w:ascii="方正黑体_GBK" w:eastAsia="方正黑体_GBK"/>
          <w:color w:val="3D3D3D"/>
          <w:kern w:val="0"/>
          <w:sz w:val="15"/>
          <w:szCs w:val="15"/>
          <w:highlight w:val="none"/>
        </w:rPr>
        <w:t>接受</w:t>
      </w:r>
      <w:r>
        <w:rPr>
          <w:rFonts w:hint="eastAsia" w:ascii="方正黑体_GBK" w:eastAsia="方正黑体_GBK"/>
          <w:color w:val="3D3D3D"/>
          <w:kern w:val="0"/>
          <w:sz w:val="15"/>
          <w:szCs w:val="15"/>
          <w:highlight w:val="none"/>
          <w:lang w:val="en-US" w:eastAsia="zh-CN"/>
        </w:rPr>
        <w:t>南银理财</w:t>
      </w:r>
      <w:r>
        <w:rPr>
          <w:rFonts w:hint="eastAsia" w:ascii="方正黑体_GBK" w:eastAsia="方正黑体_GBK"/>
          <w:color w:val="3D3D3D"/>
          <w:kern w:val="0"/>
          <w:sz w:val="15"/>
          <w:szCs w:val="15"/>
          <w:highlight w:val="none"/>
        </w:rPr>
        <w:t>委托销售其发行理财产品的代理销售机构</w:t>
      </w:r>
      <w:r>
        <w:rPr>
          <w:rFonts w:hint="eastAsia" w:ascii="方正黑体_GBK" w:eastAsia="方正黑体_GBK"/>
          <w:color w:val="3D3D3D"/>
          <w:kern w:val="0"/>
          <w:sz w:val="15"/>
          <w:szCs w:val="15"/>
          <w:highlight w:val="none"/>
          <w:lang w:eastAsia="zh-CN"/>
        </w:rPr>
        <w:t>（</w:t>
      </w:r>
      <w:r>
        <w:rPr>
          <w:rFonts w:hint="eastAsia" w:ascii="方正黑体_GBK" w:eastAsia="方正黑体_GBK"/>
          <w:color w:val="3D3D3D"/>
          <w:kern w:val="0"/>
          <w:sz w:val="15"/>
          <w:szCs w:val="15"/>
          <w:highlight w:val="none"/>
          <w:lang w:val="en-US" w:eastAsia="zh-CN"/>
        </w:rPr>
        <w:t>代销机构</w:t>
      </w:r>
      <w:r>
        <w:rPr>
          <w:rFonts w:hint="eastAsia" w:ascii="方正黑体_GBK" w:eastAsia="方正黑体_GBK"/>
          <w:color w:val="3D3D3D"/>
          <w:kern w:val="0"/>
          <w:sz w:val="15"/>
          <w:szCs w:val="15"/>
          <w:highlight w:val="none"/>
          <w:lang w:eastAsia="zh-CN"/>
        </w:rPr>
        <w:t>）</w:t>
      </w:r>
      <w:r>
        <w:rPr>
          <w:rFonts w:hint="eastAsia" w:ascii="方正黑体_GBK" w:eastAsia="方正黑体_GBK"/>
          <w:color w:val="3D3D3D"/>
          <w:kern w:val="0"/>
          <w:sz w:val="15"/>
          <w:szCs w:val="15"/>
          <w:highlight w:val="none"/>
        </w:rPr>
        <w:t>。</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3.托管人：</w:t>
      </w:r>
      <w:r>
        <w:rPr>
          <w:rFonts w:hint="eastAsia" w:ascii="方正黑体_GBK" w:eastAsia="方正黑体_GBK"/>
          <w:color w:val="3D3D3D"/>
          <w:kern w:val="0"/>
          <w:sz w:val="15"/>
          <w:szCs w:val="15"/>
          <w:highlight w:val="none"/>
        </w:rPr>
        <w:t>指根据管理人委托，对理财产品财产进行托管的机构</w:t>
      </w:r>
      <w:r>
        <w:rPr>
          <w:rFonts w:ascii="方正黑体_GBK" w:eastAsia="方正黑体_GBK"/>
          <w:color w:val="3D3D3D"/>
          <w:kern w:val="0"/>
          <w:sz w:val="15"/>
          <w:szCs w:val="15"/>
          <w:highlight w:val="none"/>
        </w:rPr>
        <w:t>。</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4.认购</w:t>
      </w:r>
      <w:r>
        <w:rPr>
          <w:rFonts w:hint="eastAsia" w:ascii="方正黑体_GBK" w:eastAsia="方正黑体_GBK"/>
          <w:color w:val="3D3D3D"/>
          <w:kern w:val="0"/>
          <w:sz w:val="15"/>
          <w:szCs w:val="15"/>
          <w:highlight w:val="none"/>
        </w:rPr>
        <w:t>/申购</w:t>
      </w:r>
      <w:r>
        <w:rPr>
          <w:rFonts w:ascii="方正黑体_GBK" w:eastAsia="方正黑体_GBK"/>
          <w:color w:val="3D3D3D"/>
          <w:kern w:val="0"/>
          <w:sz w:val="15"/>
          <w:szCs w:val="15"/>
          <w:highlight w:val="none"/>
        </w:rPr>
        <w:t>人：指在募集期</w:t>
      </w:r>
      <w:r>
        <w:rPr>
          <w:rFonts w:hint="eastAsia" w:ascii="方正黑体_GBK" w:eastAsia="方正黑体_GBK"/>
          <w:color w:val="3D3D3D"/>
          <w:kern w:val="0"/>
          <w:sz w:val="15"/>
          <w:szCs w:val="15"/>
          <w:highlight w:val="none"/>
        </w:rPr>
        <w:t>/开放期</w:t>
      </w:r>
      <w:r>
        <w:rPr>
          <w:rFonts w:ascii="方正黑体_GBK" w:eastAsia="方正黑体_GBK"/>
          <w:color w:val="3D3D3D"/>
          <w:kern w:val="0"/>
          <w:sz w:val="15"/>
          <w:szCs w:val="15"/>
          <w:highlight w:val="none"/>
        </w:rPr>
        <w:t>期间签署本理财产品销售文件并向理财产品管理人交付认购</w:t>
      </w:r>
      <w:r>
        <w:rPr>
          <w:rFonts w:hint="eastAsia" w:ascii="方正黑体_GBK" w:eastAsia="方正黑体_GBK"/>
          <w:color w:val="3D3D3D"/>
          <w:kern w:val="0"/>
          <w:sz w:val="15"/>
          <w:szCs w:val="15"/>
          <w:highlight w:val="none"/>
        </w:rPr>
        <w:t>/申购</w:t>
      </w:r>
      <w:r>
        <w:rPr>
          <w:rFonts w:ascii="方正黑体_GBK" w:eastAsia="方正黑体_GBK"/>
          <w:color w:val="3D3D3D"/>
          <w:kern w:val="0"/>
          <w:sz w:val="15"/>
          <w:szCs w:val="15"/>
          <w:highlight w:val="none"/>
        </w:rPr>
        <w:t>资金的投资者。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法律文件用语</w:t>
      </w:r>
    </w:p>
    <w:p>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289" w:firstLine="0"/>
        <w:outlineLvl w:val="1"/>
        <w:rPr>
          <w:rFonts w:hint="eastAsia" w:ascii="方正黑体_GBK" w:eastAsia="方正黑体_GBK" w:cs="Times New Roman"/>
          <w:vanish w:val="0"/>
          <w:color w:val="3D3D3D"/>
          <w:spacing w:val="0"/>
          <w:kern w:val="0"/>
          <w:sz w:val="15"/>
          <w:szCs w:val="15"/>
        </w:rPr>
      </w:pPr>
      <w:r>
        <w:rPr>
          <w:rFonts w:ascii="方正黑体_GBK" w:eastAsia="方正黑体_GBK"/>
          <w:color w:val="3D3D3D"/>
          <w:kern w:val="0"/>
          <w:sz w:val="15"/>
          <w:szCs w:val="15"/>
          <w:highlight w:val="none"/>
        </w:rPr>
        <w:t xml:space="preserve"> 1.销售协议书：指本理财产品对应的《理财产品销售协议书》以及对该文件的有效修改或补充</w:t>
      </w:r>
      <w:r>
        <w:rPr>
          <w:rFonts w:hint="eastAsia" w:ascii="方正黑体_GBK" w:eastAsia="方正黑体_GBK"/>
          <w:vanish w:val="0"/>
          <w:color w:val="3D3D3D"/>
          <w:spacing w:val="0"/>
          <w:kern w:val="0"/>
          <w:sz w:val="15"/>
          <w:szCs w:val="15"/>
        </w:rPr>
        <w:t>，通过销售机构销售的，以销售渠道显示的名称为准</w:t>
      </w:r>
      <w:r>
        <w:rPr>
          <w:rFonts w:hint="eastAsia" w:ascii="方正黑体_GBK" w:eastAsia="方正黑体_GBK" w:cs="Times New Roman"/>
          <w:vanish w:val="0"/>
          <w:color w:val="3D3D3D"/>
          <w:spacing w:val="0"/>
          <w:kern w:val="0"/>
          <w:sz w:val="15"/>
          <w:szCs w:val="15"/>
        </w:rPr>
        <w:t>。</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2.产品说明书/本理财产品说明书：指本《理财产品说明书》以及对</w:t>
      </w:r>
      <w:r>
        <w:rPr>
          <w:rFonts w:hint="eastAsia" w:ascii="方正黑体_GBK" w:eastAsia="方正黑体_GBK"/>
          <w:color w:val="3D3D3D"/>
          <w:kern w:val="0"/>
          <w:sz w:val="15"/>
          <w:szCs w:val="15"/>
          <w:highlight w:val="none"/>
          <w:lang w:eastAsia="zh-CN"/>
        </w:rPr>
        <w:t>该文件</w:t>
      </w:r>
      <w:r>
        <w:rPr>
          <w:rFonts w:ascii="方正黑体_GBK" w:eastAsia="方正黑体_GBK"/>
          <w:color w:val="3D3D3D"/>
          <w:kern w:val="0"/>
          <w:sz w:val="15"/>
          <w:szCs w:val="15"/>
          <w:highlight w:val="none"/>
        </w:rPr>
        <w:t>的有效修改或补充。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5.投资协议书</w:t>
      </w:r>
      <w:r>
        <w:rPr>
          <w:rFonts w:hint="eastAsia" w:ascii="方正黑体_GBK" w:eastAsia="方正黑体_GBK"/>
          <w:color w:val="3D3D3D"/>
          <w:kern w:val="0"/>
          <w:sz w:val="15"/>
          <w:szCs w:val="15"/>
          <w:highlight w:val="none"/>
        </w:rPr>
        <w:t>：</w:t>
      </w:r>
      <w:r>
        <w:rPr>
          <w:rFonts w:ascii="方正黑体_GBK" w:eastAsia="方正黑体_GBK"/>
          <w:color w:val="3D3D3D"/>
          <w:kern w:val="0"/>
          <w:sz w:val="15"/>
          <w:szCs w:val="15"/>
          <w:highlight w:val="none"/>
        </w:rPr>
        <w:t>指本理财产品对应的《理财产品投资协议书》以及对该文件的有效修改或补充。</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eastAsia="方正黑体_GBK"/>
          <w:color w:val="3D3D3D"/>
          <w:kern w:val="0"/>
          <w:sz w:val="15"/>
          <w:szCs w:val="15"/>
          <w:highlight w:val="none"/>
        </w:rPr>
        <w:t>、</w:t>
      </w:r>
      <w:r>
        <w:rPr>
          <w:rFonts w:ascii="方正黑体_GBK" w:eastAsia="方正黑体_GBK"/>
          <w:color w:val="3D3D3D"/>
          <w:kern w:val="0"/>
          <w:sz w:val="15"/>
          <w:szCs w:val="15"/>
          <w:highlight w:val="none"/>
        </w:rPr>
        <w:t>销售协议书</w:t>
      </w:r>
      <w:r>
        <w:rPr>
          <w:rFonts w:hint="eastAsia" w:ascii="方正黑体_GBK" w:eastAsia="方正黑体_GBK"/>
          <w:color w:val="3D3D3D"/>
          <w:kern w:val="0"/>
          <w:sz w:val="15"/>
          <w:szCs w:val="15"/>
          <w:highlight w:val="none"/>
        </w:rPr>
        <w:t>、</w:t>
      </w:r>
      <w:r>
        <w:rPr>
          <w:rFonts w:ascii="方正黑体_GBK" w:eastAsia="方正黑体_GBK"/>
          <w:color w:val="3D3D3D"/>
          <w:kern w:val="0"/>
          <w:sz w:val="15"/>
          <w:szCs w:val="15"/>
          <w:highlight w:val="none"/>
        </w:rPr>
        <w:t>投资协议书等。</w:t>
      </w:r>
      <w:r>
        <w:rPr>
          <w:rFonts w:ascii="方正黑体_GBK" w:eastAsia="方正黑体_GBK"/>
          <w:bCs/>
          <w:color w:val="3D3D3D"/>
          <w:kern w:val="0"/>
          <w:sz w:val="15"/>
          <w:szCs w:val="15"/>
          <w:highlight w:val="none"/>
        </w:rPr>
        <w:t>上述文件共同构成本理财产品完整且不可分割的销售文件。</w:t>
      </w:r>
    </w:p>
    <w:p>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期间与日期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1.募集期：指管理人确定的接受投资者认购本理财产品的起止期限。</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2.开放期：指管理人确定的除募集期外接受投资者申购、赎回本理财产品的起止期限。</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5.认购、申购、赎回确认日：指投资者认购、申购、赎回理财产品最终确认日期。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7.产品存续期：指理财产品成立至终止的期间。</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10.工作日：指除国家法定节假日和休息日（包括周六、周日）外的日期。</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11.交易日：指上海证券交易所和深圳证券交易所的正常开盘交易日。</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理财产品用语</w:t>
      </w:r>
    </w:p>
    <w:p>
      <w:pPr>
        <w:pStyle w:val="47"/>
        <w:keepNext w:val="0"/>
        <w:keepLines w:val="0"/>
        <w:pageBreakBefore w:val="0"/>
        <w:widowControl/>
        <w:suppressLineNumbers w:val="0"/>
        <w:tabs>
          <w:tab w:val="left" w:pos="567"/>
        </w:tabs>
        <w:suppressAutoHyphens w:val="0"/>
        <w:spacing w:line="200" w:lineRule="exact"/>
        <w:ind w:left="289" w:firstLine="0"/>
        <w:rPr>
          <w:rFonts w:ascii="方正黑体_GBK" w:eastAsia="方正黑体_GBK"/>
          <w:vanish w:val="0"/>
          <w:color w:val="3D3D3D"/>
          <w:kern w:val="0"/>
          <w:sz w:val="15"/>
          <w:szCs w:val="15"/>
        </w:rPr>
      </w:pPr>
      <w:r>
        <w:rPr>
          <w:rFonts w:ascii="方正黑体_GBK" w:eastAsia="方正黑体_GBK"/>
          <w:color w:val="3D3D3D"/>
          <w:kern w:val="0"/>
          <w:sz w:val="15"/>
          <w:szCs w:val="15"/>
          <w:highlight w:val="none"/>
        </w:rPr>
        <w:t xml:space="preserve"> 1.本理财产品/理财产品：</w:t>
      </w:r>
      <w:r>
        <w:rPr>
          <w:rFonts w:hint="eastAsia" w:ascii="方正黑体_GBK" w:eastAsia="方正黑体_GBK" w:cs="Times New Roman"/>
          <w:vanish w:val="0"/>
          <w:color w:val="3D3D3D"/>
          <w:kern w:val="0"/>
          <w:sz w:val="15"/>
          <w:szCs w:val="15"/>
        </w:rPr>
        <w:t xml:space="preserve"> </w:t>
      </w:r>
      <w:r>
        <w:rPr>
          <w:rFonts w:ascii="方正黑体_GBK" w:eastAsia="方正黑体_GBK"/>
          <w:b/>
          <w:bCs/>
          <w:caps w:val="0"/>
          <w:smallCaps w:val="0"/>
          <w:snapToGrid/>
          <w:vanish w:val="0"/>
          <w:color w:val="3D3D3D"/>
          <w:kern w:val="0"/>
          <w:sz w:val="15"/>
          <w:szCs w:val="15"/>
          <w:vertAlign w:val="baseline"/>
          <w:lang w:val="en-US" w:eastAsia="zh-CN"/>
        </w:rPr>
        <w:t>南银理财鼎瑞悦稳（最低持有7天）公募人民币理财产品</w:t>
      </w:r>
      <w:r>
        <w:rPr>
          <w:rFonts w:hint="eastAsia" w:ascii="方正黑体_GBK" w:eastAsia="方正黑体_GBK"/>
          <w:vanish w:val="0"/>
          <w:color w:val="3D3D3D"/>
          <w:kern w:val="0"/>
          <w:sz w:val="15"/>
          <w:szCs w:val="15"/>
        </w:rPr>
        <w:t>。</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47"/>
        <w:keepNext w:val="0"/>
        <w:keepLines w:val="0"/>
        <w:pageBreakBefore w:val="0"/>
        <w:widowControl/>
        <w:suppressLineNumbers w:val="0"/>
        <w:tabs>
          <w:tab w:val="left" w:pos="567"/>
        </w:tabs>
        <w:suppressAutoHyphens w:val="0"/>
        <w:spacing w:line="200" w:lineRule="exact"/>
        <w:ind w:left="289" w:firstLine="0"/>
        <w:outlineLvl w:val="1"/>
        <w:rPr>
          <w:bCs/>
          <w:color w:val="3D3D3D"/>
          <w:kern w:val="0"/>
          <w:sz w:val="15"/>
          <w:szCs w:val="15"/>
        </w:rPr>
      </w:pPr>
      <w:r>
        <w:rPr>
          <w:rFonts w:asci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eastAsia="方正黑体_GBK"/>
          <w:bCs/>
          <w:color w:val="3D3D3D"/>
          <w:kern w:val="0"/>
          <w:sz w:val="15"/>
          <w:szCs w:val="15"/>
        </w:rPr>
        <w:t>产品份额净值按去尾法保留6位小数。</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7.理财产品估值/估值：指计算评估理财产品资产以确定理财产品份额单位净值的过程。</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8.业绩比较基准：指管理人基于</w:t>
      </w:r>
      <w:r>
        <w:rPr>
          <w:rFonts w:hint="eastAsia" w:ascii="方正黑体_GBK" w:eastAsia="方正黑体_GBK"/>
          <w:color w:val="3D3D3D"/>
          <w:kern w:val="0"/>
          <w:sz w:val="15"/>
          <w:szCs w:val="15"/>
          <w:highlight w:val="none"/>
          <w:lang w:val="en-US" w:eastAsia="zh-CN"/>
        </w:rPr>
        <w:t>产品性质、投资策略、</w:t>
      </w:r>
      <w:r>
        <w:rPr>
          <w:rFonts w:asci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eastAsia="方正黑体_GBK"/>
          <w:color w:val="3D3D3D"/>
          <w:kern w:val="0"/>
          <w:sz w:val="15"/>
          <w:szCs w:val="15"/>
          <w:highlight w:val="none"/>
          <w:lang w:val="en-US" w:eastAsia="zh-CN"/>
        </w:rPr>
        <w:t>不构成</w:t>
      </w:r>
      <w:r>
        <w:rPr>
          <w:rFonts w:ascii="方正黑体_GBK" w:eastAsia="方正黑体_GBK"/>
          <w:color w:val="3D3D3D"/>
          <w:kern w:val="0"/>
          <w:sz w:val="15"/>
          <w:szCs w:val="15"/>
          <w:highlight w:val="none"/>
        </w:rPr>
        <w:t>管理人对本理财产品收益</w:t>
      </w:r>
      <w:r>
        <w:rPr>
          <w:rFonts w:hint="eastAsia" w:ascii="方正黑体_GBK" w:eastAsia="方正黑体_GBK"/>
          <w:color w:val="3D3D3D"/>
          <w:kern w:val="0"/>
          <w:sz w:val="15"/>
          <w:szCs w:val="15"/>
          <w:highlight w:val="none"/>
          <w:lang w:val="en-US" w:eastAsia="zh-CN"/>
        </w:rPr>
        <w:t>的</w:t>
      </w:r>
      <w:r>
        <w:rPr>
          <w:rFonts w:ascii="方正黑体_GBK" w:eastAsia="方正黑体_GBK"/>
          <w:color w:val="3D3D3D"/>
          <w:kern w:val="0"/>
          <w:sz w:val="15"/>
          <w:szCs w:val="15"/>
          <w:highlight w:val="none"/>
        </w:rPr>
        <w:t>承诺。</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13.固定收益类理财产品：指投资于存款、债券等债权类资产的比例不低于80%的理财产品。</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14.权益类理财产品：指投资于权益类资产的比例不低于80%的理财产品。</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15.商品及金融衍生品类理财产品：指投资于商品及金融衍生品的比例不低于80%的理财产品。</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eastAsia="方正黑体_GBK"/>
          <w:color w:val="3D3D3D"/>
          <w:kern w:val="0"/>
          <w:sz w:val="15"/>
          <w:szCs w:val="15"/>
        </w:rPr>
        <w:t>均</w:t>
      </w:r>
      <w:r>
        <w:rPr>
          <w:rFonts w:ascii="方正黑体_GBK" w:eastAsia="方正黑体_GBK"/>
          <w:color w:val="3D3D3D"/>
          <w:kern w:val="0"/>
          <w:sz w:val="15"/>
          <w:szCs w:val="15"/>
        </w:rPr>
        <w:t>未达到80%的理财产品。</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17.公募理财产品：指面向不特定社会公众公开发行的理财产品。</w:t>
      </w:r>
    </w:p>
    <w:p>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eastAsia="方正黑体_GBK"/>
          <w:color w:val="3D3D3D"/>
          <w:kern w:val="0"/>
          <w:sz w:val="15"/>
          <w:szCs w:val="15"/>
        </w:rPr>
        <w:t xml:space="preserve"> 18.私募理财产品：指面向合格投资者非公开发行的理财产品。</w:t>
      </w:r>
    </w:p>
    <w:p>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其他</w:t>
      </w:r>
    </w:p>
    <w:p>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自然灾害、地震、台风、海啸、洪水、火灾、停电、突发性公共卫生事件；</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罢工、内战、战争、军事行动、任何种类的恐怖活动、暴动、公众示威或抗议；</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新的适用法律或国家政策的颁布或实施、对原适用法律或国家政策的修改；</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任何政府机关或其他机关的行为</w:t>
      </w:r>
      <w:r>
        <w:rPr>
          <w:rFonts w:hint="eastAsia" w:ascii="方正黑体_GBK" w:eastAsia="方正黑体_GBK"/>
          <w:color w:val="3D3D3D"/>
          <w:kern w:val="0"/>
          <w:sz w:val="15"/>
          <w:szCs w:val="15"/>
          <w:highlight w:val="none"/>
        </w:rPr>
        <w:t>（</w:t>
      </w:r>
      <w:r>
        <w:rPr>
          <w:rFonts w:ascii="方正黑体_GBK" w:eastAsia="方正黑体_GBK"/>
          <w:color w:val="3D3D3D"/>
          <w:kern w:val="0"/>
          <w:sz w:val="15"/>
          <w:szCs w:val="15"/>
          <w:highlight w:val="none"/>
        </w:rPr>
        <w:t>不论是在法律上或是在事实上</w:t>
      </w:r>
      <w:r>
        <w:rPr>
          <w:rFonts w:hint="eastAsia" w:ascii="方正黑体_GBK" w:eastAsia="方正黑体_GBK"/>
          <w:color w:val="3D3D3D"/>
          <w:kern w:val="0"/>
          <w:sz w:val="15"/>
          <w:szCs w:val="15"/>
          <w:highlight w:val="none"/>
        </w:rPr>
        <w:t>）</w:t>
      </w:r>
      <w:r>
        <w:rPr>
          <w:rFonts w:ascii="方正黑体_GBK" w:eastAsia="方正黑体_GBK"/>
          <w:color w:val="3D3D3D"/>
          <w:kern w:val="0"/>
          <w:sz w:val="15"/>
          <w:szCs w:val="15"/>
          <w:highlight w:val="none"/>
        </w:rPr>
        <w:t>、法律、法规、条例、规则、规定、裁决、命令或指令（包括国有化或对外限制、外汇管制）、诉讼或威胁；</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中国</w:t>
      </w:r>
      <w:r>
        <w:rPr>
          <w:rFonts w:hint="eastAsia" w:ascii="方正黑体_GBK" w:eastAsia="方正黑体_GBK"/>
          <w:color w:val="3D3D3D"/>
          <w:kern w:val="0"/>
          <w:sz w:val="15"/>
          <w:szCs w:val="15"/>
          <w:highlight w:val="none"/>
        </w:rPr>
        <w:t>境内</w:t>
      </w:r>
      <w:r>
        <w:rPr>
          <w:rFonts w:ascii="方正黑体_GBK" w:eastAsia="方正黑体_GBK"/>
          <w:color w:val="3D3D3D"/>
          <w:kern w:val="0"/>
          <w:sz w:val="15"/>
          <w:szCs w:val="15"/>
          <w:highlight w:val="none"/>
        </w:rPr>
        <w:t>或全球金融外汇市场发生致使甲方无法进行货币兑换、划转等的异常变化；</w:t>
      </w:r>
    </w:p>
    <w:p>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eastAsia="方正黑体_GBK"/>
          <w:color w:val="3D3D3D"/>
          <w:kern w:val="0"/>
          <w:sz w:val="15"/>
          <w:szCs w:val="15"/>
          <w:highlight w:val="none"/>
        </w:rPr>
        <w:t xml:space="preserve"> 3.元：指人民币元。</w:t>
      </w:r>
    </w:p>
    <w:p>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eastAsia="方正黑体_GBK"/>
          <w:color w:val="3D3D3D"/>
          <w:kern w:val="0"/>
          <w:sz w:val="15"/>
          <w:szCs w:val="15"/>
          <w:lang w:val="en-US" w:eastAsia="zh-CN"/>
        </w:rPr>
      </w:pPr>
      <w:r>
        <w:rPr>
          <w:rFonts w:asci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第三条</w:t>
      </w:r>
      <w:r>
        <w:rPr>
          <w:rFonts w:hint="eastAsia" w:ascii="方正黑体_GBK" w:eastAsia="方正黑体_GBK" w:cs="Times New Roman"/>
          <w:b/>
          <w:bCs/>
          <w:vanish w:val="0"/>
          <w:color w:val="auto"/>
          <w:kern w:val="0"/>
          <w:sz w:val="15"/>
          <w:szCs w:val="15"/>
        </w:rPr>
        <w:t xml:space="preserve">  </w:t>
      </w:r>
      <w:r>
        <w:rPr>
          <w:rFonts w:hint="eastAsia" w:ascii="方正黑体_GBK" w:eastAsia="方正黑体_GBK"/>
          <w:b/>
          <w:bCs/>
          <w:vanish w:val="0"/>
          <w:color w:val="auto"/>
          <w:kern w:val="0"/>
          <w:sz w:val="15"/>
          <w:szCs w:val="15"/>
        </w:rPr>
        <w:t>情景示例</w:t>
      </w:r>
    </w:p>
    <w:p>
      <w:pPr>
        <w:spacing w:line="200" w:lineRule="exact"/>
        <w:ind w:firstLine="300"/>
      </w:pPr>
      <w:r>
        <w:rPr>
          <w:rFonts w:ascii="方正黑体_GBK" w:eastAsia="方正黑体_GBK" w:cs="宋体"/>
          <w:sz w:val="15"/>
          <w:szCs w:val="20"/>
        </w:rPr>
        <w:t>假设：投资者认购本理财产品10万元，确认认购的产品净值为1.000000元，折算份额100,000份，该份额在2023年8月28日及之前不可赎回。</w:t>
      </w:r>
    </w:p>
    <w:p>
      <w:pPr>
        <w:spacing w:line="200" w:lineRule="exact"/>
        <w:ind w:firstLine="300"/>
      </w:pPr>
      <w:r>
        <w:rPr>
          <w:rFonts w:ascii="方正黑体_GBK" w:eastAsia="方正黑体_GBK" w:cs="宋体"/>
          <w:sz w:val="15"/>
          <w:szCs w:val="20"/>
        </w:rPr>
        <w:t>情景示例一：投资者于2023年9月20日10时申请赎回50,000份，赎回确认日产品单位净值折算每份额净值1.030000，则客户在资金到帐日收到赎回资金为51,500元。</w:t>
      </w:r>
    </w:p>
    <w:p>
      <w:pPr>
        <w:spacing w:line="200" w:lineRule="exact"/>
        <w:ind w:firstLine="300"/>
      </w:pPr>
      <w:r>
        <w:rPr>
          <w:rFonts w:ascii="方正黑体_GBK" w:eastAsia="方正黑体_GBK" w:cs="宋体"/>
          <w:sz w:val="15"/>
          <w:szCs w:val="20"/>
        </w:rPr>
        <w:t>情景示例二：投资者于2023年10月18日10时申请赎回20,000份，赎回确认日产品单位净值折算每份额净值为0.970000，则客户在资金到帐日收到赎回资金为19,400元。</w:t>
      </w:r>
    </w:p>
    <w:p>
      <w:pPr>
        <w:spacing w:line="200" w:lineRule="exact"/>
      </w:pPr>
      <w:r>
        <w:rPr>
          <w:rFonts w:ascii="方正黑体_GBK" w:eastAsia="方正黑体_GBK" w:cs="宋体"/>
          <w:sz w:val="15"/>
          <w:szCs w:val="20"/>
        </w:rPr>
        <w:t xml:space="preserve"> 以上数据为假设情形中的模拟数据，不代表实际收益，投资须谨慎。</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Style w:val="61"/>
          <w:rFonts w:hint="eastAsia" w:ascii="方正黑体_GBK" w:eastAsia="方正黑体_GBK"/>
          <w:vanish w:val="0"/>
          <w:sz w:val="15"/>
          <w:szCs w:val="15"/>
        </w:rPr>
      </w:pPr>
      <w:r>
        <w:rPr>
          <w:rFonts w:hint="eastAsia" w:asci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2"/>
        <w:keepNext w:val="0"/>
        <w:keepLines w:val="0"/>
        <w:pageBreakBefore w:val="0"/>
        <w:widowControl/>
        <w:suppressLineNumbers w:val="0"/>
        <w:suppressAutoHyphens w:val="0"/>
        <w:spacing w:line="200" w:lineRule="exact"/>
        <w:ind w:firstLine="301" w:firstLineChars="200"/>
        <w:rPr>
          <w:rStyle w:val="61"/>
          <w:rFonts w:hint="eastAsia" w:ascii="方正黑体_GBK" w:eastAsia="方正黑体_GBK"/>
          <w:sz w:val="20"/>
          <w:szCs w:val="20"/>
          <w:lang w:val="en-US" w:eastAsia="zh-CN"/>
        </w:rPr>
      </w:pPr>
      <w:r>
        <w:rPr>
          <w:rFonts w:hint="eastAsia" w:asci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eastAsia="方正黑体_GBK"/>
          <w:b/>
          <w:bCs w:val="0"/>
          <w:vanish w:val="0"/>
          <w:color w:val="auto"/>
          <w:kern w:val="0"/>
          <w:sz w:val="15"/>
          <w:szCs w:val="15"/>
        </w:rPr>
      </w:pPr>
      <w:r>
        <w:rPr>
          <w:rFonts w:hint="eastAsia" w:ascii="方正黑体_GBK" w:eastAsia="方正黑体_GBK"/>
          <w:b/>
          <w:bCs/>
          <w:vanish w:val="0"/>
          <w:color w:val="auto"/>
          <w:kern w:val="0"/>
          <w:sz w:val="15"/>
          <w:szCs w:val="15"/>
        </w:rPr>
        <w:t>第四</w:t>
      </w:r>
      <w:r>
        <w:rPr>
          <w:rFonts w:hint="eastAsia" w:ascii="方正黑体_GBK" w:eastAsia="方正黑体_GBK"/>
          <w:b/>
          <w:bCs w:val="0"/>
          <w:vanish w:val="0"/>
          <w:color w:val="auto"/>
          <w:kern w:val="0"/>
          <w:sz w:val="15"/>
          <w:szCs w:val="15"/>
        </w:rPr>
        <w:t>条</w:t>
      </w:r>
      <w:r>
        <w:rPr>
          <w:rFonts w:hint="eastAsia" w:ascii="方正黑体_GBK" w:eastAsia="方正黑体_GBK" w:cs="Times New Roman"/>
          <w:b/>
          <w:bCs w:val="0"/>
          <w:vanish w:val="0"/>
          <w:color w:val="auto"/>
          <w:kern w:val="0"/>
          <w:sz w:val="15"/>
          <w:szCs w:val="15"/>
        </w:rPr>
        <w:t xml:space="preserve">  </w:t>
      </w:r>
      <w:r>
        <w:rPr>
          <w:rFonts w:hint="eastAsia" w:ascii="方正黑体_GBK" w:eastAsia="方正黑体_GBK"/>
          <w:b/>
          <w:bCs w:val="0"/>
          <w:vanish w:val="0"/>
          <w:color w:val="auto"/>
          <w:kern w:val="0"/>
          <w:sz w:val="15"/>
          <w:szCs w:val="15"/>
        </w:rPr>
        <w:t>理财产品估值</w:t>
      </w:r>
    </w:p>
    <w:p>
      <w:pPr>
        <w:spacing w:line="200" w:lineRule="exact"/>
        <w:ind w:firstLine="300"/>
        <w:jc w:val="both"/>
      </w:pPr>
      <w:r>
        <w:rPr>
          <w:rFonts w:ascii="方正黑体_GBK" w:eastAsia="方正黑体_GBK" w:cs="宋体"/>
          <w:sz w:val="15"/>
          <w:szCs w:val="20"/>
        </w:rPr>
        <w:t>（一）估值日</w:t>
      </w:r>
    </w:p>
    <w:p>
      <w:pPr>
        <w:spacing w:line="200" w:lineRule="exact"/>
        <w:ind w:firstLine="300"/>
        <w:jc w:val="both"/>
      </w:pPr>
      <w:r>
        <w:rPr>
          <w:rFonts w:ascii="方正黑体_GBK" w:eastAsia="方正黑体_GBK" w:cs="宋体"/>
          <w:sz w:val="15"/>
          <w:szCs w:val="20"/>
        </w:rPr>
        <w:t>本理财产品每个工作日进行估值。</w:t>
      </w:r>
    </w:p>
    <w:p>
      <w:pPr>
        <w:spacing w:line="200" w:lineRule="exact"/>
        <w:ind w:firstLine="300"/>
        <w:jc w:val="both"/>
      </w:pPr>
      <w:r>
        <w:rPr>
          <w:rFonts w:ascii="方正黑体_GBK" w:eastAsia="方正黑体_GBK" w:cs="宋体"/>
          <w:sz w:val="15"/>
          <w:szCs w:val="20"/>
        </w:rPr>
        <w:t>（二）估值对象</w:t>
      </w:r>
    </w:p>
    <w:p>
      <w:pPr>
        <w:spacing w:line="200" w:lineRule="exact"/>
        <w:ind w:firstLine="300"/>
        <w:jc w:val="both"/>
      </w:pPr>
      <w:r>
        <w:rPr>
          <w:rFonts w:ascii="方正黑体_GBK" w:eastAsia="方正黑体_GBK" w:cs="宋体"/>
          <w:sz w:val="15"/>
          <w:szCs w:val="20"/>
        </w:rPr>
        <w:t>本理财产品所拥有的所有资产及负债。</w:t>
      </w:r>
    </w:p>
    <w:p>
      <w:pPr>
        <w:spacing w:line="200" w:lineRule="exact"/>
        <w:ind w:firstLine="300"/>
        <w:jc w:val="both"/>
      </w:pPr>
      <w:r>
        <w:rPr>
          <w:rFonts w:ascii="方正黑体_GBK" w:eastAsia="方正黑体_GBK" w:cs="宋体"/>
          <w:sz w:val="15"/>
          <w:szCs w:val="20"/>
        </w:rPr>
        <w:t>（三）估值目的</w:t>
      </w:r>
    </w:p>
    <w:p>
      <w:pPr>
        <w:spacing w:line="200" w:lineRule="exact"/>
        <w:ind w:firstLine="300"/>
        <w:jc w:val="both"/>
      </w:pPr>
      <w:r>
        <w:rPr>
          <w:rFonts w:ascii="方正黑体_GBK" w:eastAsia="方正黑体_GBK" w:cs="宋体"/>
          <w:sz w:val="15"/>
          <w:szCs w:val="20"/>
        </w:rPr>
        <w:t>客观、准确反映理财产品的价值。</w:t>
      </w:r>
    </w:p>
    <w:p>
      <w:pPr>
        <w:spacing w:line="200" w:lineRule="exact"/>
        <w:ind w:firstLine="300"/>
        <w:jc w:val="both"/>
      </w:pPr>
      <w:r>
        <w:rPr>
          <w:rFonts w:ascii="方正黑体_GBK" w:eastAsia="方正黑体_GBK" w:cs="宋体"/>
          <w:sz w:val="15"/>
          <w:szCs w:val="20"/>
        </w:rPr>
        <w:t>（四）估值原则</w:t>
      </w:r>
    </w:p>
    <w:p>
      <w:pPr>
        <w:spacing w:line="200" w:lineRule="exact"/>
        <w:ind w:firstLine="300"/>
        <w:jc w:val="both"/>
      </w:pPr>
      <w:r>
        <w:rPr>
          <w:rFonts w:asci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eastAsia="方正黑体_GBK" w:cs="宋体"/>
          <w:sz w:val="15"/>
          <w:szCs w:val="20"/>
        </w:rPr>
        <w:t>（五）估值方法</w:t>
      </w:r>
    </w:p>
    <w:p>
      <w:pPr>
        <w:spacing w:line="200" w:lineRule="exact"/>
        <w:ind w:firstLine="280"/>
        <w:jc w:val="left"/>
      </w:pPr>
      <w:r>
        <w:rPr>
          <w:rFonts w:ascii="方正黑体_GBK" w:eastAsia="方正黑体_GBK" w:cs="宋体"/>
          <w:sz w:val="15"/>
          <w:szCs w:val="20"/>
        </w:rPr>
        <w:t>估值方法中列示的资产品种不代表管理人的实际投向，本理财产品拟投资范围以“投资范围”章节描述为准。</w:t>
      </w:r>
    </w:p>
    <w:p>
      <w:pPr>
        <w:spacing w:line="200" w:lineRule="exact"/>
        <w:ind w:firstLine="280"/>
        <w:jc w:val="left"/>
      </w:pPr>
      <w:r>
        <w:rPr>
          <w:rFonts w:ascii="方正黑体_GBK" w:eastAsia="方正黑体_GBK" w:cs="宋体"/>
          <w:sz w:val="15"/>
          <w:szCs w:val="20"/>
        </w:rPr>
        <w:t>1.银行存款、回购等货币市场工具</w:t>
      </w:r>
    </w:p>
    <w:p>
      <w:pPr>
        <w:spacing w:line="200" w:lineRule="exact"/>
        <w:ind w:firstLine="280"/>
        <w:jc w:val="left"/>
      </w:pPr>
      <w:r>
        <w:rPr>
          <w:rFonts w:ascii="方正黑体_GBK" w:eastAsia="方正黑体_GBK" w:cs="宋体"/>
          <w:sz w:val="15"/>
          <w:szCs w:val="20"/>
        </w:rPr>
        <w:t>以本金列示，按商定的利率在实际持有期间内逐日计提。</w:t>
      </w:r>
    </w:p>
    <w:p>
      <w:pPr>
        <w:spacing w:line="200" w:lineRule="exact"/>
        <w:ind w:firstLine="280"/>
        <w:jc w:val="left"/>
      </w:pPr>
      <w:r>
        <w:rPr>
          <w:rFonts w:ascii="方正黑体_GBK" w:eastAsia="方正黑体_GBK" w:cs="宋体"/>
          <w:color w:val="3D3D3D"/>
          <w:sz w:val="15"/>
          <w:szCs w:val="20"/>
        </w:rPr>
        <w:t>2.债券类资产</w:t>
      </w:r>
    </w:p>
    <w:p>
      <w:pPr>
        <w:spacing w:line="200" w:lineRule="exact"/>
        <w:ind w:firstLine="280"/>
        <w:jc w:val="left"/>
      </w:pPr>
      <w:r>
        <w:rPr>
          <w:rFonts w:ascii="方正黑体_GBK" w:eastAsia="方正黑体_GBK"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pPr>
      <w:r>
        <w:rPr>
          <w:rFonts w:ascii="方正黑体_GBK" w:eastAsia="方正黑体_GBK" w:cs="宋体"/>
          <w:color w:val="3D3D3D"/>
          <w:sz w:val="15"/>
          <w:szCs w:val="20"/>
        </w:rPr>
        <w:t>3.非标准化债权类资产</w:t>
      </w:r>
    </w:p>
    <w:p>
      <w:pPr>
        <w:spacing w:line="200" w:lineRule="exact"/>
        <w:ind w:firstLine="280"/>
        <w:jc w:val="left"/>
      </w:pPr>
      <w:r>
        <w:rPr>
          <w:rFonts w:ascii="方正黑体_GBK" w:eastAsia="方正黑体_GBK"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pPr>
      <w:r>
        <w:rPr>
          <w:rFonts w:ascii="方正黑体_GBK" w:eastAsia="方正黑体_GBK" w:cs="宋体"/>
          <w:color w:val="3D3D3D"/>
          <w:sz w:val="15"/>
          <w:szCs w:val="20"/>
        </w:rPr>
        <w:t>4.证券投资基金</w:t>
      </w:r>
    </w:p>
    <w:p>
      <w:pPr>
        <w:spacing w:line="200" w:lineRule="exact"/>
        <w:ind w:firstLine="280"/>
        <w:jc w:val="left"/>
      </w:pPr>
      <w:r>
        <w:rPr>
          <w:rFonts w:ascii="方正黑体_GBK" w:eastAsia="方正黑体_GBK"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pPr>
      <w:r>
        <w:rPr>
          <w:rFonts w:ascii="方正黑体_GBK" w:eastAsia="方正黑体_GBK" w:cs="宋体"/>
          <w:color w:val="3D3D3D"/>
          <w:sz w:val="15"/>
          <w:szCs w:val="20"/>
        </w:rPr>
        <w:t>5.股权类资产</w:t>
      </w:r>
    </w:p>
    <w:p>
      <w:pPr>
        <w:spacing w:line="200" w:lineRule="exact"/>
        <w:ind w:firstLine="280"/>
        <w:jc w:val="left"/>
      </w:pPr>
      <w:r>
        <w:rPr>
          <w:rFonts w:ascii="方正黑体_GBK" w:eastAsia="方正黑体_GBK"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pPr>
      <w:r>
        <w:rPr>
          <w:rFonts w:ascii="方正黑体_GBK" w:eastAsia="方正黑体_GBK" w:cs="宋体"/>
          <w:color w:val="3D3D3D"/>
          <w:sz w:val="15"/>
          <w:szCs w:val="20"/>
        </w:rPr>
        <w:t>6.资管计划、信托计划等资产</w:t>
      </w:r>
    </w:p>
    <w:p>
      <w:pPr>
        <w:spacing w:line="200" w:lineRule="exact"/>
        <w:ind w:firstLine="280"/>
        <w:jc w:val="left"/>
      </w:pPr>
      <w:r>
        <w:rPr>
          <w:rFonts w:ascii="方正黑体_GBK" w:eastAsia="方正黑体_GBK" w:cs="宋体"/>
          <w:color w:val="3D3D3D"/>
          <w:sz w:val="15"/>
          <w:szCs w:val="20"/>
        </w:rPr>
        <w:t>存在公允价值的，按照公允价值估值，或采用估值技术确定估值，也可采用被委托机构提供的估值或计量报告。</w:t>
      </w:r>
    </w:p>
    <w:p>
      <w:pPr>
        <w:spacing w:line="200" w:lineRule="exact"/>
        <w:ind w:firstLine="280"/>
        <w:jc w:val="left"/>
      </w:pPr>
      <w:r>
        <w:rPr>
          <w:rFonts w:ascii="方正黑体_GBK" w:eastAsia="方正黑体_GBK" w:cs="宋体"/>
          <w:color w:val="3D3D3D"/>
          <w:sz w:val="15"/>
          <w:szCs w:val="20"/>
        </w:rPr>
        <w:t>7.其他资产</w:t>
      </w:r>
    </w:p>
    <w:p>
      <w:pPr>
        <w:spacing w:line="200" w:lineRule="exact"/>
        <w:ind w:firstLine="280"/>
        <w:jc w:val="left"/>
      </w:pPr>
      <w:r>
        <w:rPr>
          <w:rFonts w:ascii="方正黑体_GBK" w:eastAsia="方正黑体_GBK" w:cs="宋体"/>
          <w:color w:val="3D3D3D"/>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pPr>
      <w:r>
        <w:rPr>
          <w:rFonts w:ascii="方正黑体_GBK" w:eastAsia="方正黑体_GBK"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pPr>
      <w:r>
        <w:rPr>
          <w:rFonts w:ascii="方正黑体_GBK" w:eastAsia="方正黑体_GBK" w:cs="宋体"/>
          <w:color w:val="3D3D3D"/>
          <w:sz w:val="15"/>
          <w:szCs w:val="20"/>
        </w:rPr>
        <w:t>9.如有新增事项或变更事项，按国家最新规定或管理人最新的约定估值。</w:t>
      </w:r>
    </w:p>
    <w:p>
      <w:pPr>
        <w:spacing w:line="200" w:lineRule="exact"/>
        <w:ind w:firstLine="280"/>
        <w:jc w:val="left"/>
      </w:pPr>
      <w:r>
        <w:rPr>
          <w:rFonts w:ascii="方正黑体_GBK" w:eastAsia="方正黑体_GBK"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pPr>
      <w:r>
        <w:rPr>
          <w:rFonts w:ascii="方正黑体_GBK" w:eastAsia="方正黑体_GBK" w:cs="宋体"/>
          <w:sz w:val="15"/>
          <w:szCs w:val="20"/>
        </w:rPr>
        <w:t>（六）估值错误及暂停估值</w:t>
      </w:r>
    </w:p>
    <w:p>
      <w:pPr>
        <w:spacing w:line="200" w:lineRule="exact"/>
        <w:ind w:firstLine="300"/>
        <w:jc w:val="both"/>
      </w:pPr>
      <w:r>
        <w:rPr>
          <w:rFonts w:asci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第</w:t>
      </w:r>
      <w:r>
        <w:rPr>
          <w:rFonts w:hint="eastAsia" w:ascii="方正黑体_GBK" w:eastAsia="方正黑体_GBK" w:cs="Times New Roman"/>
          <w:b/>
          <w:bCs/>
          <w:vanish w:val="0"/>
          <w:color w:val="auto"/>
          <w:kern w:val="0"/>
          <w:sz w:val="15"/>
          <w:szCs w:val="15"/>
        </w:rPr>
        <w:t>五</w:t>
      </w:r>
      <w:r>
        <w:rPr>
          <w:rFonts w:hint="eastAsia" w:ascii="方正黑体_GBK" w:eastAsia="方正黑体_GBK"/>
          <w:b/>
          <w:bCs/>
          <w:vanish w:val="0"/>
          <w:color w:val="auto"/>
          <w:kern w:val="0"/>
          <w:sz w:val="15"/>
          <w:szCs w:val="15"/>
        </w:rPr>
        <w:t>条</w:t>
      </w:r>
      <w:r>
        <w:rPr>
          <w:rFonts w:hint="eastAsia" w:ascii="方正黑体_GBK" w:eastAsia="方正黑体_GBK" w:cs="Times New Roman"/>
          <w:b/>
          <w:bCs/>
          <w:vanish w:val="0"/>
          <w:color w:val="auto"/>
          <w:kern w:val="0"/>
          <w:sz w:val="15"/>
          <w:szCs w:val="15"/>
        </w:rPr>
        <w:t xml:space="preserve">  </w:t>
      </w:r>
      <w:r>
        <w:rPr>
          <w:rFonts w:hint="eastAsia" w:ascii="方正黑体_GBK" w:eastAsia="方正黑体_GBK"/>
          <w:b/>
          <w:bCs/>
          <w:vanish w:val="0"/>
          <w:color w:val="auto"/>
          <w:kern w:val="0"/>
          <w:sz w:val="15"/>
          <w:szCs w:val="15"/>
        </w:rPr>
        <w:t>信息披露</w:t>
      </w:r>
    </w:p>
    <w:p>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信息披露渠道</w:t>
      </w:r>
    </w:p>
    <w:p>
      <w:pPr>
        <w:spacing w:line="200" w:lineRule="exact"/>
      </w:pPr>
      <w:r>
        <w:rPr>
          <w:rFonts w:asci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信息披露的内容及时间</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ascii="方正黑体_GBK" w:eastAsia="方正黑体_GBK"/>
          <w:vanish w:val="0"/>
          <w:color w:val="3D3D3D"/>
          <w:kern w:val="0"/>
          <w:sz w:val="15"/>
          <w:szCs w:val="15"/>
        </w:rPr>
        <w:t xml:space="preserve"> </w:t>
      </w:r>
      <w:r>
        <w:rPr>
          <w:rFonts w:hint="eastAsia" w:ascii="方正黑体_GBK" w:eastAsia="方正黑体_GBK"/>
          <w:vanish w:val="0"/>
          <w:color w:val="3D3D3D"/>
          <w:kern w:val="0"/>
          <w:sz w:val="15"/>
          <w:szCs w:val="15"/>
        </w:rPr>
        <w:t>净值信息</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管理人在本理财产品存续期间至少</w:t>
      </w:r>
      <w:r>
        <w:rPr>
          <w:rFonts w:hint="eastAsia" w:ascii="方正黑体_GBK" w:eastAsia="方正黑体_GBK"/>
          <w:vanish w:val="0"/>
          <w:color w:val="3D3D3D"/>
          <w:kern w:val="0"/>
          <w:sz w:val="15"/>
          <w:szCs w:val="15"/>
        </w:rPr>
        <w:t>按日</w:t>
      </w:r>
      <w:r>
        <w:rPr>
          <w:rFonts w:hint="eastAsia" w:ascii="方正黑体_GBK" w:eastAsia="方正黑体_GBK" w:cs="Times New Roman"/>
          <w:vanish w:val="0"/>
          <w:color w:val="3D3D3D"/>
          <w:kern w:val="0"/>
          <w:sz w:val="15"/>
          <w:szCs w:val="15"/>
        </w:rPr>
        <w:t>向投资者披露净值</w:t>
      </w:r>
      <w:r>
        <w:rPr>
          <w:rFonts w:hint="eastAsia" w:ascii="方正黑体_GBK" w:eastAsia="方正黑体_GBK"/>
          <w:vanish w:val="0"/>
          <w:color w:val="3D3D3D"/>
          <w:kern w:val="0"/>
          <w:sz w:val="15"/>
          <w:szCs w:val="15"/>
        </w:rPr>
        <w:t>。</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产品发行公告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管理人将在本理财产品成立后</w:t>
      </w:r>
      <w:r>
        <w:rPr>
          <w:rFonts w:ascii="方正黑体_GBK" w:eastAsia="方正黑体_GBK"/>
          <w:vanish w:val="0"/>
          <w:color w:val="3D3D3D"/>
          <w:kern w:val="0"/>
          <w:sz w:val="15"/>
          <w:szCs w:val="15"/>
        </w:rPr>
        <w:t>5</w:t>
      </w:r>
      <w:r>
        <w:rPr>
          <w:rFonts w:hint="eastAsia" w:ascii="方正黑体_GBK" w:eastAsia="方正黑体_GBK"/>
          <w:vanish w:val="0"/>
          <w:color w:val="3D3D3D"/>
          <w:kern w:val="0"/>
          <w:sz w:val="15"/>
          <w:szCs w:val="15"/>
        </w:rPr>
        <w:t>个工作日内披露产品发行公告。</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定期报告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管理人将在每个季度结束之日起</w:t>
      </w:r>
      <w:r>
        <w:rPr>
          <w:rFonts w:ascii="方正黑体_GBK" w:eastAsia="方正黑体_GBK"/>
          <w:vanish w:val="0"/>
          <w:color w:val="3D3D3D"/>
          <w:kern w:val="0"/>
          <w:sz w:val="15"/>
          <w:szCs w:val="15"/>
        </w:rPr>
        <w:t>15</w:t>
      </w:r>
      <w:r>
        <w:rPr>
          <w:rFonts w:hint="eastAsia" w:ascii="方正黑体_GBK" w:eastAsia="方正黑体_GBK"/>
          <w:vanish w:val="0"/>
          <w:color w:val="3D3D3D"/>
          <w:kern w:val="0"/>
          <w:sz w:val="15"/>
          <w:szCs w:val="15"/>
        </w:rPr>
        <w:t>个工作日内、上半年结束之日起</w:t>
      </w:r>
      <w:r>
        <w:rPr>
          <w:rFonts w:ascii="方正黑体_GBK" w:eastAsia="方正黑体_GBK"/>
          <w:vanish w:val="0"/>
          <w:color w:val="3D3D3D"/>
          <w:kern w:val="0"/>
          <w:sz w:val="15"/>
          <w:szCs w:val="15"/>
        </w:rPr>
        <w:t>60</w:t>
      </w:r>
      <w:r>
        <w:rPr>
          <w:rFonts w:hint="eastAsia" w:ascii="方正黑体_GBK" w:eastAsia="方正黑体_GBK"/>
          <w:vanish w:val="0"/>
          <w:color w:val="3D3D3D"/>
          <w:kern w:val="0"/>
          <w:sz w:val="15"/>
          <w:szCs w:val="15"/>
        </w:rPr>
        <w:t>个工作日内、每年结束之日起</w:t>
      </w:r>
      <w:r>
        <w:rPr>
          <w:rFonts w:ascii="方正黑体_GBK" w:eastAsia="方正黑体_GBK"/>
          <w:vanish w:val="0"/>
          <w:color w:val="3D3D3D"/>
          <w:kern w:val="0"/>
          <w:sz w:val="15"/>
          <w:szCs w:val="15"/>
        </w:rPr>
        <w:t>90</w:t>
      </w:r>
      <w:r>
        <w:rPr>
          <w:rFonts w:hint="eastAsia" w:ascii="方正黑体_GBK" w:eastAsia="方正黑体_GBK"/>
          <w:vanish w:val="0"/>
          <w:color w:val="3D3D3D"/>
          <w:kern w:val="0"/>
          <w:sz w:val="15"/>
          <w:szCs w:val="15"/>
        </w:rPr>
        <w:t>个工作日内披露本理财产品的季度、半年和年度报告，如果本理财产品成立不足</w:t>
      </w:r>
      <w:r>
        <w:rPr>
          <w:rFonts w:ascii="方正黑体_GBK" w:eastAsia="方正黑体_GBK"/>
          <w:vanish w:val="0"/>
          <w:color w:val="3D3D3D"/>
          <w:kern w:val="0"/>
          <w:sz w:val="15"/>
          <w:szCs w:val="15"/>
        </w:rPr>
        <w:t>90</w:t>
      </w:r>
      <w:r>
        <w:rPr>
          <w:rFonts w:hint="eastAsia" w:ascii="方正黑体_GBK" w:eastAsia="方正黑体_GBK" w:cs="Times New Roman"/>
          <w:vanish w:val="0"/>
          <w:color w:val="3D3D3D"/>
          <w:kern w:val="0"/>
          <w:sz w:val="15"/>
          <w:szCs w:val="15"/>
        </w:rPr>
        <w:t>个工作</w:t>
      </w:r>
      <w:r>
        <w:rPr>
          <w:rFonts w:hint="eastAsia" w:ascii="方正黑体_GBK" w:eastAsia="方正黑体_GBK"/>
          <w:vanish w:val="0"/>
          <w:color w:val="3D3D3D"/>
          <w:kern w:val="0"/>
          <w:sz w:val="15"/>
          <w:szCs w:val="15"/>
        </w:rPr>
        <w:t>日或者剩余存续期不超过</w:t>
      </w:r>
      <w:r>
        <w:rPr>
          <w:rFonts w:ascii="方正黑体_GBK" w:eastAsia="方正黑体_GBK"/>
          <w:vanish w:val="0"/>
          <w:color w:val="3D3D3D"/>
          <w:kern w:val="0"/>
          <w:sz w:val="15"/>
          <w:szCs w:val="15"/>
        </w:rPr>
        <w:t>90</w:t>
      </w:r>
      <w:r>
        <w:rPr>
          <w:rFonts w:hint="eastAsia" w:ascii="方正黑体_GBK" w:eastAsia="方正黑体_GBK" w:cs="Times New Roman"/>
          <w:vanish w:val="0"/>
          <w:color w:val="3D3D3D"/>
          <w:kern w:val="0"/>
          <w:sz w:val="15"/>
          <w:szCs w:val="15"/>
        </w:rPr>
        <w:t>个工作</w:t>
      </w:r>
      <w:r>
        <w:rPr>
          <w:rFonts w:hint="eastAsia" w:ascii="方正黑体_GBK" w:eastAsia="方正黑体_GBK"/>
          <w:vanish w:val="0"/>
          <w:color w:val="3D3D3D"/>
          <w:kern w:val="0"/>
          <w:sz w:val="15"/>
          <w:szCs w:val="15"/>
        </w:rPr>
        <w:t>日的，管理人可以不编制产品当期的季度、半年和年度报告。</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到期公告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管理人将在本理财产品终止后</w:t>
      </w:r>
      <w:r>
        <w:rPr>
          <w:rFonts w:ascii="方正黑体_GBK" w:eastAsia="方正黑体_GBK"/>
          <w:vanish w:val="0"/>
          <w:color w:val="3D3D3D"/>
          <w:kern w:val="0"/>
          <w:sz w:val="15"/>
          <w:szCs w:val="15"/>
        </w:rPr>
        <w:t>5</w:t>
      </w:r>
      <w:r>
        <w:rPr>
          <w:rFonts w:hint="eastAsia" w:ascii="方正黑体_GBK" w:eastAsia="方正黑体_GBK"/>
          <w:vanish w:val="0"/>
          <w:color w:val="3D3D3D"/>
          <w:kern w:val="0"/>
          <w:sz w:val="15"/>
          <w:szCs w:val="15"/>
        </w:rPr>
        <w:t>个工作日内披露产品到期公告。</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重大事项公告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管理人将在发生可能对本理财产品投资者或者理财产品收益产生重大影响的事件后</w:t>
      </w:r>
      <w:r>
        <w:rPr>
          <w:rFonts w:ascii="方正黑体_GBK" w:eastAsia="方正黑体_GBK"/>
          <w:vanish w:val="0"/>
          <w:color w:val="3D3D3D"/>
          <w:kern w:val="0"/>
          <w:sz w:val="15"/>
          <w:szCs w:val="15"/>
        </w:rPr>
        <w:t>2</w:t>
      </w:r>
      <w:r>
        <w:rPr>
          <w:rFonts w:hint="eastAsia" w:ascii="方正黑体_GBK" w:eastAsia="方正黑体_GBK"/>
          <w:vanish w:val="0"/>
          <w:color w:val="3D3D3D"/>
          <w:kern w:val="0"/>
          <w:sz w:val="15"/>
          <w:szCs w:val="15"/>
        </w:rPr>
        <w:t>个工作日内披露重大事项公告。</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临时公告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关联交易信息披露</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eastAsia="方正黑体_GBK"/>
          <w:vanish w:val="0"/>
          <w:color w:val="3D3D3D"/>
          <w:kern w:val="0"/>
          <w:sz w:val="15"/>
          <w:szCs w:val="15"/>
        </w:rPr>
        <w:t>。</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账单</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eastAsia="方正黑体_GBK"/>
          <w:vanish w:val="0"/>
          <w:color w:val="3D3D3D"/>
          <w:kern w:val="0"/>
          <w:sz w:val="15"/>
          <w:szCs w:val="15"/>
        </w:rPr>
        <w:t>。</w:t>
      </w:r>
    </w:p>
    <w:p>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eastAsia="方正黑体_GBK" w:cs="Times New Roman"/>
          <w:b/>
          <w:bCs/>
          <w:vanish w:val="0"/>
          <w:color w:val="3D3D3D"/>
          <w:kern w:val="0"/>
          <w:sz w:val="15"/>
          <w:szCs w:val="15"/>
        </w:rPr>
      </w:pPr>
      <w:r>
        <w:rPr>
          <w:rFonts w:hint="eastAsia" w:ascii="方正黑体_GBK" w:eastAsia="方正黑体_GBK" w:cs="Times New Roman"/>
          <w:b/>
          <w:bCs/>
          <w:vanish w:val="0"/>
          <w:color w:val="3D3D3D"/>
          <w:kern w:val="0"/>
          <w:sz w:val="15"/>
          <w:szCs w:val="15"/>
        </w:rPr>
        <w:t>在本理财产品存续期内：</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eastAsia="方正黑体_GBK" w:cs="Times New Roman"/>
          <w:b/>
          <w:bCs/>
          <w:vanish w:val="0"/>
          <w:color w:val="3D3D3D"/>
          <w:kern w:val="0"/>
          <w:sz w:val="15"/>
          <w:szCs w:val="15"/>
        </w:rPr>
      </w:pPr>
      <w:r>
        <w:rPr>
          <w:rFonts w:hint="eastAsia" w:ascii="方正黑体_GBK" w:eastAsia="方正黑体_GBK" w:cs="Times New Roman"/>
          <w:b/>
          <w:bCs/>
          <w:vanish w:val="0"/>
          <w:color w:val="3D3D3D"/>
          <w:kern w:val="0"/>
          <w:sz w:val="15"/>
          <w:szCs w:val="15"/>
        </w:rPr>
        <w:t>（</w:t>
      </w:r>
      <w:r>
        <w:rPr>
          <w:rFonts w:ascii="方正黑体_GBK" w:eastAsia="方正黑体_GBK" w:cs="Times New Roman"/>
          <w:b/>
          <w:bCs/>
          <w:vanish w:val="0"/>
          <w:color w:val="3D3D3D"/>
          <w:kern w:val="0"/>
          <w:sz w:val="15"/>
          <w:szCs w:val="15"/>
        </w:rPr>
        <w:t>1</w:t>
      </w:r>
      <w:r>
        <w:rPr>
          <w:rFonts w:hint="eastAsia" w:asci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ascii="方正黑体_GBK" w:eastAsia="方正黑体_GBK"/>
          <w:b/>
          <w:bCs/>
          <w:vanish w:val="0"/>
          <w:color w:val="3D3D3D"/>
          <w:kern w:val="0"/>
          <w:sz w:val="15"/>
          <w:szCs w:val="15"/>
        </w:rPr>
      </w:pPr>
      <w:r>
        <w:rPr>
          <w:rFonts w:hint="eastAsia" w:ascii="方正黑体_GBK" w:eastAsia="方正黑体_GBK" w:cs="Times New Roman"/>
          <w:b/>
          <w:bCs/>
          <w:vanish w:val="0"/>
          <w:color w:val="3D3D3D"/>
          <w:kern w:val="0"/>
          <w:sz w:val="15"/>
          <w:szCs w:val="15"/>
        </w:rPr>
        <w:t>（</w:t>
      </w:r>
      <w:r>
        <w:rPr>
          <w:rFonts w:ascii="方正黑体_GBK" w:eastAsia="方正黑体_GBK" w:cs="Times New Roman"/>
          <w:b/>
          <w:bCs/>
          <w:vanish w:val="0"/>
          <w:color w:val="3D3D3D"/>
          <w:kern w:val="0"/>
          <w:sz w:val="15"/>
          <w:szCs w:val="15"/>
        </w:rPr>
        <w:t>2</w:t>
      </w:r>
      <w:r>
        <w:rPr>
          <w:rFonts w:hint="eastAsia" w:ascii="方正黑体_GBK" w:eastAsia="方正黑体_GBK" w:cs="Times New Roman"/>
          <w:b/>
          <w:bCs/>
          <w:vanish w:val="0"/>
          <w:color w:val="3D3D3D"/>
          <w:kern w:val="0"/>
          <w:sz w:val="15"/>
          <w:szCs w:val="15"/>
        </w:rPr>
        <w:t>）</w:t>
      </w:r>
      <w:r>
        <w:rPr>
          <w:rFonts w:asci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eastAsia="方正黑体_GBK"/>
          <w:vanish w:val="0"/>
          <w:color w:val="3D3D3D"/>
          <w:kern w:val="0"/>
          <w:sz w:val="15"/>
          <w:szCs w:val="15"/>
        </w:rPr>
      </w:pPr>
      <w:r>
        <w:rPr>
          <w:rFonts w:hint="eastAsia" w:ascii="方正黑体_GBK" w:eastAsia="方正黑体_GBK"/>
          <w:vanish w:val="0"/>
          <w:color w:val="3D3D3D"/>
          <w:kern w:val="0"/>
          <w:sz w:val="15"/>
          <w:szCs w:val="15"/>
        </w:rPr>
        <w:t>10.其他公告</w:t>
      </w:r>
    </w:p>
    <w:p>
      <w:pPr>
        <w:pStyle w:val="32"/>
        <w:keepNext w:val="0"/>
        <w:keepLines w:val="0"/>
        <w:pageBreakBefore w:val="0"/>
        <w:widowControl/>
        <w:suppressLineNumbers w:val="0"/>
        <w:suppressAutoHyphens w:val="0"/>
        <w:spacing w:line="200" w:lineRule="exact"/>
        <w:ind w:firstLine="300"/>
        <w:rPr>
          <w:rFonts w:hint="eastAsia" w:ascii="方正黑体_GBK" w:eastAsia="方正黑体_GBK"/>
          <w:color w:val="3D3D3D"/>
          <w:kern w:val="0"/>
          <w:sz w:val="15"/>
          <w:szCs w:val="15"/>
        </w:rPr>
      </w:pPr>
      <w:r>
        <w:rPr>
          <w:rFonts w:hint="eastAsia" w:ascii="方正黑体_GBK" w:eastAsia="方正黑体_GBK"/>
          <w:vanish w:val="0"/>
          <w:color w:val="3D3D3D"/>
          <w:kern w:val="0"/>
          <w:sz w:val="15"/>
          <w:szCs w:val="15"/>
        </w:rPr>
        <w:t>理财产品在运作管理过程中，管理人根据实际运作情况发布的其他公告。</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第</w:t>
      </w:r>
      <w:r>
        <w:rPr>
          <w:rFonts w:hint="eastAsia" w:ascii="方正黑体_GBK" w:eastAsia="方正黑体_GBK" w:cs="Times New Roman"/>
          <w:b/>
          <w:bCs/>
          <w:vanish w:val="0"/>
          <w:color w:val="auto"/>
          <w:kern w:val="0"/>
          <w:sz w:val="15"/>
          <w:szCs w:val="15"/>
        </w:rPr>
        <w:t>六</w:t>
      </w:r>
      <w:r>
        <w:rPr>
          <w:rFonts w:hint="eastAsia" w:ascii="方正黑体_GBK" w:eastAsia="方正黑体_GBK"/>
          <w:b/>
          <w:bCs/>
          <w:vanish w:val="0"/>
          <w:color w:val="auto"/>
          <w:kern w:val="0"/>
          <w:sz w:val="15"/>
          <w:szCs w:val="15"/>
        </w:rPr>
        <w:t>条</w:t>
      </w:r>
      <w:r>
        <w:rPr>
          <w:rFonts w:hint="eastAsia" w:ascii="方正黑体_GBK" w:eastAsia="方正黑体_GBK" w:cs="Times New Roman"/>
          <w:b/>
          <w:bCs/>
          <w:vanish w:val="0"/>
          <w:color w:val="auto"/>
          <w:kern w:val="0"/>
          <w:sz w:val="15"/>
          <w:szCs w:val="15"/>
        </w:rPr>
        <w:t xml:space="preserve">  投资者保护提示</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eastAsia="方正黑体_GBK"/>
          <w:vanish w:val="0"/>
          <w:color w:val="3D3D3D"/>
          <w:kern w:val="0"/>
          <w:sz w:val="15"/>
          <w:szCs w:val="15"/>
        </w:rPr>
      </w:pPr>
      <w:r>
        <w:rPr>
          <w:rFonts w:hint="eastAsia" w:asci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2"/>
        <w:keepNext w:val="0"/>
        <w:keepLines w:val="0"/>
        <w:pageBreakBefore w:val="0"/>
        <w:widowControl/>
        <w:suppressLineNumbers w:val="0"/>
        <w:suppressAutoHyphens w:val="0"/>
        <w:spacing w:line="200" w:lineRule="exact"/>
        <w:ind w:firstLine="300"/>
        <w:rPr>
          <w:rFonts w:hint="eastAsia" w:ascii="方正黑体_GBK" w:eastAsia="方正黑体_GBK"/>
          <w:color w:val="3D3D3D"/>
          <w:kern w:val="0"/>
          <w:sz w:val="15"/>
          <w:szCs w:val="15"/>
          <w:lang w:val="en-US" w:eastAsia="zh-CN"/>
        </w:rPr>
      </w:pPr>
      <w:r>
        <w:rPr>
          <w:rFonts w:hint="eastAsia" w:ascii="方正黑体_GBK" w:eastAsia="方正黑体_GBK" w:cs="Times New Roman"/>
          <w:vanish w:val="0"/>
          <w:color w:val="3D3D3D"/>
          <w:kern w:val="0"/>
          <w:sz w:val="15"/>
          <w:szCs w:val="15"/>
        </w:rPr>
        <w:t>销售机构及管理人的联系方式详见《投资者权益须知》第八条。</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第</w:t>
      </w:r>
      <w:r>
        <w:rPr>
          <w:rFonts w:hint="eastAsia" w:ascii="方正黑体_GBK" w:eastAsia="方正黑体_GBK" w:cs="Times New Roman"/>
          <w:b/>
          <w:bCs/>
          <w:vanish w:val="0"/>
          <w:color w:val="auto"/>
          <w:kern w:val="0"/>
          <w:sz w:val="15"/>
          <w:szCs w:val="15"/>
        </w:rPr>
        <w:t>七</w:t>
      </w:r>
      <w:r>
        <w:rPr>
          <w:rFonts w:hint="eastAsia" w:ascii="方正黑体_GBK" w:eastAsia="方正黑体_GBK"/>
          <w:b/>
          <w:bCs/>
          <w:vanish w:val="0"/>
          <w:color w:val="auto"/>
          <w:kern w:val="0"/>
          <w:sz w:val="15"/>
          <w:szCs w:val="15"/>
        </w:rPr>
        <w:t>条</w:t>
      </w:r>
      <w:r>
        <w:rPr>
          <w:rFonts w:hint="eastAsia" w:ascii="方正黑体_GBK" w:eastAsia="方正黑体_GBK" w:cs="Times New Roman"/>
          <w:b/>
          <w:bCs/>
          <w:vanish w:val="0"/>
          <w:color w:val="auto"/>
          <w:kern w:val="0"/>
          <w:sz w:val="15"/>
          <w:szCs w:val="15"/>
        </w:rPr>
        <w:t xml:space="preserve">  </w:t>
      </w:r>
      <w:r>
        <w:rPr>
          <w:rFonts w:hint="eastAsia" w:ascii="方正黑体_GBK" w:eastAsia="方正黑体_GBK"/>
          <w:b/>
          <w:bCs/>
          <w:vanish w:val="0"/>
          <w:color w:val="auto"/>
          <w:kern w:val="0"/>
          <w:sz w:val="15"/>
          <w:szCs w:val="15"/>
        </w:rPr>
        <w:t>法律适用和争议解决</w:t>
      </w:r>
    </w:p>
    <w:p>
      <w:pPr>
        <w:pStyle w:val="32"/>
        <w:keepNext w:val="0"/>
        <w:keepLines w:val="0"/>
        <w:pageBreakBefore w:val="0"/>
        <w:widowControl/>
        <w:suppressLineNumbers w:val="0"/>
        <w:suppressAutoHyphens w:val="0"/>
        <w:spacing w:line="200" w:lineRule="exact"/>
        <w:ind w:firstLine="300"/>
        <w:rPr>
          <w:rFonts w:hint="eastAsia" w:ascii="方正黑体_GBK" w:eastAsia="方正黑体_GBK"/>
          <w:color w:val="3D3D3D"/>
          <w:kern w:val="0"/>
          <w:sz w:val="15"/>
          <w:szCs w:val="15"/>
          <w:lang w:val="en-US" w:eastAsia="zh-CN"/>
        </w:rPr>
      </w:pPr>
      <w:r>
        <w:rPr>
          <w:rFonts w:hint="eastAsia" w:asci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第</w:t>
      </w:r>
      <w:r>
        <w:rPr>
          <w:rFonts w:hint="eastAsia" w:ascii="方正黑体_GBK" w:eastAsia="方正黑体_GBK" w:cs="Times New Roman"/>
          <w:b/>
          <w:bCs/>
          <w:vanish w:val="0"/>
          <w:color w:val="auto"/>
          <w:kern w:val="0"/>
          <w:sz w:val="15"/>
          <w:szCs w:val="15"/>
        </w:rPr>
        <w:t>八</w:t>
      </w:r>
      <w:r>
        <w:rPr>
          <w:rFonts w:hint="eastAsia" w:ascii="方正黑体_GBK" w:eastAsia="方正黑体_GBK"/>
          <w:b/>
          <w:bCs/>
          <w:vanish w:val="0"/>
          <w:color w:val="auto"/>
          <w:kern w:val="0"/>
          <w:sz w:val="15"/>
          <w:szCs w:val="15"/>
        </w:rPr>
        <w:t>条</w:t>
      </w:r>
      <w:r>
        <w:rPr>
          <w:rFonts w:hint="eastAsia" w:ascii="方正黑体_GBK" w:eastAsia="方正黑体_GBK" w:cs="Times New Roman"/>
          <w:b/>
          <w:bCs/>
          <w:vanish w:val="0"/>
          <w:color w:val="auto"/>
          <w:kern w:val="0"/>
          <w:sz w:val="15"/>
          <w:szCs w:val="15"/>
        </w:rPr>
        <w:t xml:space="preserve">  </w:t>
      </w:r>
      <w:r>
        <w:rPr>
          <w:rFonts w:hint="eastAsia" w:ascii="方正黑体_GBK" w:eastAsia="方正黑体_GBK"/>
          <w:b/>
          <w:bCs/>
          <w:vanish w:val="0"/>
          <w:color w:val="auto"/>
          <w:kern w:val="0"/>
          <w:sz w:val="15"/>
          <w:szCs w:val="15"/>
        </w:rPr>
        <w:t>重要提示</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请您一定仔细阅读本理财产品销售文件，了解理财产品具体情况，关注投资风险，自主决定是否投资。</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投资者特此</w:t>
      </w:r>
      <w:r>
        <w:rPr>
          <w:rFonts w:hint="eastAsia" w:ascii="方正黑体_GBK" w:eastAsia="方正黑体_GBK" w:cs="Times New Roman"/>
          <w:b/>
          <w:bCs/>
          <w:vanish w:val="0"/>
          <w:color w:val="auto"/>
          <w:kern w:val="0"/>
          <w:sz w:val="15"/>
          <w:szCs w:val="15"/>
        </w:rPr>
        <w:t>同</w:t>
      </w:r>
      <w:r>
        <w:rPr>
          <w:rFonts w:hint="eastAsia" w:ascii="方正黑体_GBK" w:eastAsia="方正黑体_GBK"/>
          <w:b/>
          <w:bCs/>
          <w:vanish w:val="0"/>
          <w:color w:val="auto"/>
          <w:kern w:val="0"/>
          <w:sz w:val="15"/>
          <w:szCs w:val="15"/>
        </w:rPr>
        <w:t>意</w:t>
      </w:r>
      <w:r>
        <w:rPr>
          <w:rFonts w:hint="eastAsia" w:ascii="方正黑体_GBK" w:eastAsia="方正黑体_GBK" w:cs="Times New Roman"/>
          <w:b/>
          <w:bCs/>
          <w:vanish w:val="0"/>
          <w:color w:val="auto"/>
          <w:kern w:val="0"/>
          <w:sz w:val="15"/>
          <w:szCs w:val="15"/>
        </w:rPr>
        <w:t>并授权：</w:t>
      </w:r>
      <w:r>
        <w:rPr>
          <w:rFonts w:hint="eastAsia" w:ascii="方正黑体_GBK" w:eastAsia="方正黑体_GBK"/>
          <w:b/>
          <w:bCs/>
          <w:vanish w:val="0"/>
          <w:color w:val="auto"/>
          <w:kern w:val="0"/>
          <w:sz w:val="15"/>
          <w:szCs w:val="15"/>
        </w:rPr>
        <w:t>管理人</w:t>
      </w:r>
      <w:r>
        <w:rPr>
          <w:rFonts w:hint="eastAsia" w:ascii="方正黑体_GBK" w:eastAsia="方正黑体_GBK" w:cs="Times New Roman"/>
          <w:b/>
          <w:bCs/>
          <w:vanish w:val="0"/>
          <w:color w:val="auto"/>
          <w:kern w:val="0"/>
          <w:sz w:val="15"/>
          <w:szCs w:val="15"/>
        </w:rPr>
        <w:t>及销售机构</w:t>
      </w:r>
      <w:r>
        <w:rPr>
          <w:rFonts w:hint="eastAsia" w:ascii="方正黑体_GBK" w:eastAsia="方正黑体_GBK"/>
          <w:b/>
          <w:bCs/>
          <w:vanish w:val="0"/>
          <w:color w:val="auto"/>
          <w:kern w:val="0"/>
          <w:sz w:val="15"/>
          <w:szCs w:val="15"/>
        </w:rPr>
        <w:t>有权按照法律法规</w:t>
      </w:r>
      <w:r>
        <w:rPr>
          <w:rFonts w:hint="eastAsia" w:asci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eastAsia="方正黑体_GBK"/>
          <w:b/>
          <w:bCs/>
          <w:vanish w:val="0"/>
          <w:color w:val="auto"/>
          <w:kern w:val="0"/>
          <w:sz w:val="15"/>
          <w:szCs w:val="15"/>
        </w:rPr>
        <w:t>根据法律法规规定</w:t>
      </w:r>
      <w:r>
        <w:rPr>
          <w:rFonts w:hint="eastAsia" w:ascii="方正黑体_GBK" w:eastAsia="方正黑体_GBK" w:cs="Times New Roman"/>
          <w:b/>
          <w:bCs/>
          <w:vanish w:val="0"/>
          <w:color w:val="auto"/>
          <w:kern w:val="0"/>
          <w:sz w:val="15"/>
          <w:szCs w:val="15"/>
        </w:rPr>
        <w:t>、监管或</w:t>
      </w:r>
      <w:r>
        <w:rPr>
          <w:rFonts w:hint="eastAsia" w:ascii="方正黑体_GBK" w:eastAsia="方正黑体_GBK"/>
          <w:b/>
          <w:bCs/>
          <w:vanish w:val="0"/>
          <w:color w:val="auto"/>
          <w:kern w:val="0"/>
          <w:sz w:val="15"/>
          <w:szCs w:val="15"/>
        </w:rPr>
        <w:t>有权机关要求</w:t>
      </w:r>
      <w:r>
        <w:rPr>
          <w:rFonts w:hint="eastAsia" w:ascii="方正黑体_GBK" w:eastAsia="方正黑体_GBK" w:cs="Times New Roman"/>
          <w:b/>
          <w:bCs/>
          <w:vanish w:val="0"/>
          <w:color w:val="auto"/>
          <w:kern w:val="0"/>
          <w:sz w:val="15"/>
          <w:szCs w:val="15"/>
        </w:rPr>
        <w:t>、理财业务需要等采集、处理及使用</w:t>
      </w:r>
      <w:r>
        <w:rPr>
          <w:rFonts w:hint="eastAsia" w:ascii="方正黑体_GBK" w:eastAsia="方正黑体_GBK"/>
          <w:b/>
          <w:bCs/>
          <w:vanish w:val="0"/>
          <w:color w:val="auto"/>
          <w:kern w:val="0"/>
          <w:sz w:val="15"/>
          <w:szCs w:val="15"/>
        </w:rPr>
        <w:t>投资者身份、持有理财产品、理财产品交易等信息</w:t>
      </w:r>
      <w:r>
        <w:rPr>
          <w:rFonts w:hint="eastAsia" w:ascii="方正黑体_GBK" w:eastAsia="方正黑体_GBK" w:cs="Times New Roman"/>
          <w:b/>
          <w:bCs/>
          <w:vanish w:val="0"/>
          <w:color w:val="auto"/>
          <w:kern w:val="0"/>
          <w:sz w:val="15"/>
          <w:szCs w:val="15"/>
        </w:rPr>
        <w:t>，</w:t>
      </w:r>
      <w:r>
        <w:rPr>
          <w:rFonts w:hint="eastAsia" w:ascii="方正黑体_GBK" w:eastAsia="方正黑体_GBK"/>
          <w:b/>
          <w:bCs/>
          <w:vanish w:val="0"/>
          <w:color w:val="auto"/>
          <w:kern w:val="0"/>
          <w:sz w:val="15"/>
          <w:szCs w:val="15"/>
        </w:rPr>
        <w:t>以及</w:t>
      </w:r>
      <w:r>
        <w:rPr>
          <w:rFonts w:hint="eastAsia" w:ascii="方正黑体_GBK" w:eastAsia="方正黑体_GBK"/>
          <w:b/>
          <w:bCs/>
          <w:vanish w:val="0"/>
          <w:color w:val="auto"/>
          <w:spacing w:val="0"/>
          <w:kern w:val="0"/>
          <w:sz w:val="15"/>
          <w:szCs w:val="15"/>
        </w:rPr>
        <w:t>在办理与理财产品相关事项</w:t>
      </w:r>
      <w:r>
        <w:rPr>
          <w:rFonts w:hint="eastAsia" w:ascii="方正黑体_GBK" w:eastAsia="方正黑体_GBK" w:cs="Times New Roman"/>
          <w:b/>
          <w:bCs/>
          <w:vanish w:val="0"/>
          <w:color w:val="auto"/>
          <w:spacing w:val="0"/>
          <w:kern w:val="0"/>
          <w:sz w:val="15"/>
          <w:szCs w:val="15"/>
        </w:rPr>
        <w:t>需要</w:t>
      </w:r>
      <w:r>
        <w:rPr>
          <w:rFonts w:hint="eastAsia" w:asci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eastAsia="方正黑体_GBK" w:cs="Times New Roman"/>
          <w:b/>
          <w:bCs/>
          <w:vanish w:val="0"/>
          <w:color w:val="auto"/>
          <w:spacing w:val="0"/>
          <w:kern w:val="0"/>
          <w:sz w:val="15"/>
          <w:szCs w:val="15"/>
        </w:rPr>
        <w:t>相关</w:t>
      </w:r>
      <w:r>
        <w:rPr>
          <w:rFonts w:hint="eastAsia" w:ascii="方正黑体_GBK" w:eastAsia="方正黑体_GBK"/>
          <w:b/>
          <w:bCs/>
          <w:vanish w:val="0"/>
          <w:color w:val="auto"/>
          <w:spacing w:val="0"/>
          <w:kern w:val="0"/>
          <w:sz w:val="15"/>
          <w:szCs w:val="15"/>
        </w:rPr>
        <w:t>信息</w:t>
      </w:r>
      <w:r>
        <w:rPr>
          <w:rFonts w:hint="eastAsia" w:ascii="方正黑体_GBK" w:eastAsia="方正黑体_GBK" w:cs="Times New Roman"/>
          <w:b/>
          <w:bCs/>
          <w:vanish w:val="0"/>
          <w:color w:val="auto"/>
          <w:spacing w:val="0"/>
          <w:kern w:val="0"/>
          <w:sz w:val="15"/>
          <w:szCs w:val="15"/>
        </w:rPr>
        <w:t>。</w:t>
      </w:r>
      <w:r>
        <w:rPr>
          <w:rFonts w:hint="eastAsia" w:ascii="方正黑体_GBK" w:eastAsia="方正黑体_GBK"/>
          <w:b/>
          <w:bCs/>
          <w:vanish w:val="0"/>
          <w:color w:val="auto"/>
          <w:kern w:val="0"/>
          <w:sz w:val="15"/>
          <w:szCs w:val="15"/>
        </w:rPr>
        <w:t>管理人及销售机构保证信息采集、处理及使用的安全性和合法性</w:t>
      </w:r>
      <w:r>
        <w:rPr>
          <w:rFonts w:hint="eastAsia" w:ascii="方正黑体_GBK" w:eastAsia="方正黑体_GBK"/>
          <w:b/>
          <w:bCs/>
          <w:vanish w:val="0"/>
          <w:color w:val="auto"/>
          <w:spacing w:val="0"/>
          <w:kern w:val="0"/>
          <w:sz w:val="15"/>
          <w:szCs w:val="15"/>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ascii="方正黑体_GBK" w:eastAsia="方正黑体_GBK"/>
          <w:b/>
          <w:bCs/>
          <w:vanish w:val="0"/>
          <w:color w:val="auto"/>
          <w:kern w:val="0"/>
          <w:sz w:val="15"/>
          <w:szCs w:val="15"/>
        </w:rPr>
      </w:pPr>
      <w:r>
        <w:rPr>
          <w:rFonts w:hint="eastAsia" w:asci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eastAsia="方正黑体_GBK"/>
          <w:b/>
          <w:bCs/>
          <w:vanish w:val="0"/>
          <w:color w:val="auto"/>
          <w:kern w:val="0"/>
          <w:sz w:val="15"/>
          <w:szCs w:val="15"/>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eastAsia="方正黑体_GBK"/>
          <w:b/>
          <w:bCs/>
          <w:vanish w:val="0"/>
          <w:color w:val="3D3D3D"/>
          <w:kern w:val="0"/>
          <w:sz w:val="15"/>
          <w:szCs w:val="15"/>
        </w:rPr>
      </w:pP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eastAsia="方正黑体_GBK"/>
          <w:b/>
          <w:bCs/>
          <w:vanish w:val="0"/>
          <w:color w:val="3D3D3D"/>
          <w:kern w:val="0"/>
          <w:sz w:val="15"/>
          <w:szCs w:val="15"/>
        </w:rPr>
      </w:pPr>
      <w:r>
        <w:rPr>
          <w:rFonts w:hint="eastAsia" w:ascii="方正黑体_GBK" w:eastAsia="方正黑体_GBK"/>
          <w:b/>
          <w:bCs/>
          <w:vanish w:val="0"/>
          <w:color w:val="3D3D3D"/>
          <w:kern w:val="0"/>
          <w:sz w:val="15"/>
          <w:szCs w:val="15"/>
        </w:rPr>
        <w:t>风险提示：</w:t>
      </w:r>
    </w:p>
    <w:p>
      <w:pPr>
        <w:pStyle w:val="32"/>
        <w:tabs>
          <w:tab w:val="left" w:pos="8033"/>
        </w:tabs>
        <w:ind w:left="0" w:firstLine="0"/>
        <w:jc w:val="left"/>
        <w:rPr>
          <w:rFonts w:hint="eastAsia" w:ascii="方正黑体_GBK" w:eastAsia="方正黑体_GBK"/>
          <w:b/>
          <w:bCs/>
          <w:color w:val="3D3D3D"/>
          <w:kern w:val="0"/>
          <w:sz w:val="15"/>
          <w:szCs w:val="15"/>
        </w:rPr>
      </w:pPr>
      <w:r>
        <w:rPr>
          <w:rFonts w:hint="eastAsia" w:ascii="方正黑体_GBK" w:eastAsia="方正黑体_GBK"/>
          <w:b/>
          <w:bCs/>
          <w:color w:val="3D3D3D"/>
          <w:kern w:val="0"/>
          <w:sz w:val="15"/>
          <w:szCs w:val="15"/>
        </w:rPr>
        <w:t>本理财产品是</w:t>
      </w:r>
      <w:r>
        <w:rPr>
          <w:rFonts w:hint="eastAsia" w:ascii="方正黑体_GBK" w:eastAsia="方正黑体_GBK" w:cs="宋体"/>
          <w:b/>
          <w:bCs/>
          <w:i/>
          <w:iCs/>
          <w:caps w:val="0"/>
          <w:smallCaps w:val="0"/>
          <w:snapToGrid/>
          <w:vanish w:val="0"/>
          <w:color w:val="auto"/>
          <w:kern w:val="0"/>
          <w:sz w:val="20"/>
          <w:szCs w:val="18"/>
          <w:u w:val="single"/>
          <w:vertAlign w:val="baseline"/>
          <w:lang w:val="en-US" w:eastAsia="zh-CN"/>
        </w:rPr>
        <w:t>开放式、固定收益类、公募、净值型</w:t>
      </w:r>
      <w:r>
        <w:rPr>
          <w:rFonts w:hint="eastAsia" w:ascii="方正黑体_GBK" w:eastAsia="方正黑体_GBK"/>
          <w:b/>
          <w:bCs/>
          <w:color w:val="3D3D3D"/>
          <w:kern w:val="0"/>
          <w:sz w:val="15"/>
          <w:szCs w:val="15"/>
        </w:rPr>
        <w:t>理财产品，</w:t>
      </w:r>
      <w:r>
        <w:rPr>
          <w:rFonts w:hint="eastAsia" w:ascii="方正黑体_GBK" w:eastAsia="方正黑体_GBK"/>
          <w:b/>
          <w:bCs/>
          <w:i/>
          <w:iCs/>
          <w:color w:val="3D3D3D"/>
          <w:kern w:val="0"/>
          <w:sz w:val="21"/>
          <w:szCs w:val="21"/>
          <w:u w:val="single"/>
        </w:rPr>
        <w:t>不保证本金和收益</w:t>
      </w:r>
      <w:r>
        <w:rPr>
          <w:rFonts w:hint="eastAsia" w:ascii="方正黑体_GBK" w:eastAsia="方正黑体_GBK"/>
          <w:b/>
          <w:bCs/>
          <w:color w:val="3D3D3D"/>
          <w:kern w:val="0"/>
          <w:sz w:val="15"/>
          <w:szCs w:val="15"/>
        </w:rPr>
        <w:t>，您的本金与收益可能会蒙受重大损失，您应仔细阅读</w:t>
      </w:r>
      <w:r>
        <w:rPr>
          <w:rFonts w:hint="eastAsia" w:asci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eastAsia="方正黑体_GBK"/>
          <w:b/>
          <w:bCs/>
          <w:color w:val="3D3D3D"/>
          <w:kern w:val="0"/>
          <w:sz w:val="15"/>
          <w:szCs w:val="15"/>
        </w:rPr>
        <w:t>，充分认识投资风险，谨慎投资。</w:t>
      </w:r>
    </w:p>
    <w:p>
      <w:pPr>
        <w:pStyle w:val="11"/>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p>
    <w:p>
      <w:pPr>
        <w:rPr>
          <w:rFonts w:hint="eastAsia" w:ascii="方正黑体_GBK" w:eastAsia="方正黑体_GBK"/>
          <w:b/>
          <w:bCs/>
          <w:color w:val="3D3D3D"/>
          <w:kern w:val="0"/>
          <w:sz w:val="15"/>
          <w:szCs w:val="15"/>
        </w:rPr>
      </w:pPr>
      <w:bookmarkStart w:id="0" w:name="_GoBack"/>
      <w:bookmarkEnd w:id="0"/>
    </w:p>
    <w:p>
      <w:pPr>
        <w:rPr>
          <w:rFonts w:hint="eastAsia"/>
        </w:rPr>
      </w:pPr>
    </w:p>
    <w:p>
      <w:pPr>
        <w:jc w:val="center"/>
        <w:rPr>
          <w:rFonts w:ascii="黑体" w:hAnsi="宋体" w:eastAsia="黑体"/>
          <w:b/>
          <w:bCs/>
          <w:sz w:val="24"/>
          <w:szCs w:val="15"/>
        </w:rPr>
      </w:pPr>
      <w:r>
        <w:rPr>
          <w:rFonts w:hint="eastAsia" w:ascii="黑体" w:hAnsi="宋体" w:eastAsia="黑体"/>
          <w:b/>
          <w:bCs/>
          <w:sz w:val="24"/>
          <w:szCs w:val="15"/>
        </w:rPr>
        <w:t>投资者权益须知</w:t>
      </w:r>
    </w:p>
    <w:p>
      <w:pPr>
        <w:ind w:firstLine="321" w:firstLineChars="200"/>
        <w:jc w:val="center"/>
        <w:rPr>
          <w:rFonts w:ascii="宋体" w:hAnsi="宋体"/>
          <w:b/>
          <w:i/>
          <w:sz w:val="16"/>
          <w:szCs w:val="15"/>
          <w:u w:val="single"/>
        </w:rPr>
      </w:pPr>
    </w:p>
    <w:p>
      <w:pPr>
        <w:ind w:firstLine="321"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pPr>
        <w:pStyle w:val="14"/>
        <w:spacing w:before="0" w:after="0" w:line="240" w:lineRule="auto"/>
        <w:ind w:firstLine="0"/>
        <w:rPr>
          <w:spacing w:val="10"/>
          <w:kern w:val="2"/>
          <w:sz w:val="15"/>
          <w:szCs w:val="15"/>
        </w:rPr>
      </w:pPr>
      <w:r>
        <w:rPr>
          <w:rFonts w:hint="eastAsia"/>
          <w:spacing w:val="10"/>
          <w:kern w:val="2"/>
          <w:sz w:val="15"/>
          <w:szCs w:val="15"/>
        </w:rPr>
        <w:t>尊敬的投资者：</w:t>
      </w:r>
    </w:p>
    <w:p>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pPr>
        <w:pStyle w:val="14"/>
        <w:spacing w:before="0" w:after="0" w:line="240" w:lineRule="auto"/>
        <w:ind w:firstLine="338" w:firstLineChars="198"/>
        <w:jc w:val="both"/>
        <w:rPr>
          <w:b/>
          <w:bCs/>
          <w:spacing w:val="10"/>
          <w:kern w:val="2"/>
          <w:sz w:val="15"/>
          <w:szCs w:val="15"/>
        </w:rPr>
      </w:pPr>
    </w:p>
    <w:p>
      <w:pPr>
        <w:pStyle w:val="14"/>
        <w:spacing w:before="0" w:after="0" w:line="240" w:lineRule="auto"/>
        <w:ind w:firstLine="338" w:firstLineChars="198"/>
        <w:jc w:val="both"/>
        <w:rPr>
          <w:b/>
          <w:bCs/>
          <w:spacing w:val="10"/>
          <w:kern w:val="2"/>
          <w:sz w:val="15"/>
          <w:szCs w:val="15"/>
        </w:rPr>
      </w:pPr>
    </w:p>
    <w:p>
      <w:pPr>
        <w:pStyle w:val="14"/>
        <w:spacing w:before="0" w:after="0" w:line="240" w:lineRule="auto"/>
        <w:ind w:firstLine="338" w:firstLineChars="198"/>
        <w:jc w:val="both"/>
        <w:rPr>
          <w:b/>
          <w:bCs/>
          <w:spacing w:val="10"/>
          <w:kern w:val="2"/>
          <w:sz w:val="15"/>
          <w:szCs w:val="15"/>
        </w:rPr>
      </w:pPr>
    </w:p>
    <w:tbl>
      <w:tblPr>
        <w:tblStyle w:val="17"/>
        <w:tblW w:w="5796" w:type="dxa"/>
        <w:jc w:val="center"/>
        <w:tblInd w:w="0" w:type="dxa"/>
        <w:tblLayout w:type="fixed"/>
        <w:tblCellMar>
          <w:top w:w="0" w:type="dxa"/>
          <w:left w:w="108" w:type="dxa"/>
          <w:bottom w:w="0" w:type="dxa"/>
          <w:right w:w="108" w:type="dxa"/>
        </w:tblCellMar>
      </w:tblPr>
      <w:tblGrid>
        <w:gridCol w:w="1866"/>
        <w:gridCol w:w="741"/>
        <w:gridCol w:w="816"/>
        <w:gridCol w:w="816"/>
        <w:gridCol w:w="816"/>
        <w:gridCol w:w="741"/>
      </w:tblGrid>
      <w:tr>
        <w:tblPrEx>
          <w:tblLayout w:type="fixed"/>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tblPrEx>
          <w:tblLayout w:type="fixed"/>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tblPrEx>
          <w:tblLayout w:type="fixed"/>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spacing w:val="10"/>
                <w:sz w:val="15"/>
                <w:szCs w:val="15"/>
              </w:rPr>
              <w:t>√</w:t>
            </w:r>
          </w:p>
        </w:tc>
      </w:tr>
      <w:tr>
        <w:tblPrEx>
          <w:tblLayout w:type="fixed"/>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pPr>
              <w:widowControl/>
              <w:snapToGrid w:val="0"/>
              <w:jc w:val="center"/>
              <w:rPr>
                <w:rFonts w:ascii="宋体" w:hAnsi="宋体" w:cs="宋体"/>
                <w:kern w:val="0"/>
                <w:sz w:val="15"/>
                <w:szCs w:val="15"/>
              </w:rPr>
            </w:pPr>
            <w:r>
              <w:rPr>
                <w:rFonts w:hint="eastAsia"/>
                <w:spacing w:val="10"/>
                <w:sz w:val="15"/>
                <w:szCs w:val="15"/>
              </w:rPr>
              <w:t>×</w:t>
            </w:r>
          </w:p>
        </w:tc>
      </w:tr>
      <w:tr>
        <w:tblPrEx>
          <w:tblLayout w:type="fixed"/>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blPrEx>
          <w:tblLayout w:type="fixed"/>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blPrEx>
          <w:tblLayout w:type="fixed"/>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bl>
    <w:p>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pPr>
        <w:pStyle w:val="14"/>
        <w:spacing w:before="0" w:after="0" w:line="240" w:lineRule="auto"/>
        <w:ind w:firstLine="341" w:firstLineChars="200"/>
        <w:rPr>
          <w:b/>
          <w:spacing w:val="10"/>
          <w:kern w:val="2"/>
          <w:sz w:val="15"/>
          <w:szCs w:val="15"/>
        </w:rPr>
      </w:pPr>
    </w:p>
    <w:p>
      <w:pPr>
        <w:pStyle w:val="14"/>
        <w:spacing w:before="0" w:after="0" w:line="240" w:lineRule="auto"/>
        <w:ind w:firstLine="0"/>
        <w:jc w:val="both"/>
        <w:rPr>
          <w:b/>
          <w:spacing w:val="10"/>
          <w:kern w:val="2"/>
          <w:sz w:val="15"/>
          <w:szCs w:val="15"/>
          <w:u w:val="single"/>
        </w:rPr>
      </w:pPr>
    </w:p>
    <w:p>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pPr>
        <w:ind w:firstLine="341"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r>
        <w:t>编制单位：</w:t>
      </w:r>
      <w:r>
        <w:rPr>
          <w:u w:val="single"/>
        </w:rPr>
        <w:t>南银理财有限责任公司</w:t>
      </w:r>
    </w:p>
    <w:p>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pPr>
        <w:adjustRightInd w:val="0"/>
        <w:snapToGrid w:val="0"/>
        <w:spacing w:line="0" w:lineRule="atLeast"/>
        <w:rPr>
          <w:b/>
          <w:bCs/>
        </w:rPr>
      </w:pPr>
      <w:r>
        <w:rPr>
          <w:b/>
          <w:bCs/>
        </w:rPr>
        <w:t>风险提示：</w:t>
      </w:r>
    </w:p>
    <w:p>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pPr>
        <w:tabs>
          <w:tab w:val="left" w:pos="7920"/>
          <w:tab w:val="left" w:pos="8100"/>
        </w:tabs>
        <w:spacing w:line="0" w:lineRule="atLeast"/>
        <w:rPr>
          <w:b/>
          <w:bCs/>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spacing w:line="200" w:lineRule="exact"/>
        <w:ind w:firstLine="300" w:firstLineChars="200"/>
        <w:rPr>
          <w:rFonts w:eastAsia="方正细黑一简体"/>
          <w:sz w:val="15"/>
          <w:szCs w:val="15"/>
        </w:rPr>
      </w:pPr>
    </w:p>
    <w:p>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pPr>
        <w:numPr>
          <w:ilvl w:val="0"/>
          <w:numId w:val="6"/>
        </w:numPr>
        <w:spacing w:line="200" w:lineRule="exact"/>
        <w:ind w:firstLine="341" w:firstLineChars="200"/>
        <w:rPr>
          <w:b/>
          <w:bCs/>
          <w:spacing w:val="10"/>
          <w:sz w:val="15"/>
          <w:szCs w:val="15"/>
        </w:rPr>
      </w:pPr>
      <w:r>
        <w:rPr>
          <w:b/>
          <w:bCs/>
          <w:spacing w:val="10"/>
          <w:sz w:val="15"/>
          <w:szCs w:val="15"/>
        </w:rPr>
        <w:t>名词释义</w:t>
      </w:r>
    </w:p>
    <w:p>
      <w:pPr>
        <w:pStyle w:val="63"/>
        <w:ind w:firstLine="340"/>
        <w:rPr>
          <w:spacing w:val="10"/>
          <w:sz w:val="15"/>
          <w:szCs w:val="15"/>
        </w:rPr>
      </w:pPr>
      <w:r>
        <w:rPr>
          <w:spacing w:val="10"/>
          <w:sz w:val="15"/>
          <w:szCs w:val="15"/>
        </w:rPr>
        <w:t>本协议项下用词与对应期次的《理财产品说明书》中相关用词含义一致，本协议另有说明的除外。</w:t>
      </w:r>
    </w:p>
    <w:p>
      <w:pPr>
        <w:numPr>
          <w:ilvl w:val="0"/>
          <w:numId w:val="6"/>
        </w:numPr>
        <w:spacing w:line="200" w:lineRule="exact"/>
        <w:ind w:firstLine="341" w:firstLineChars="200"/>
        <w:rPr>
          <w:b/>
          <w:bCs/>
          <w:spacing w:val="10"/>
          <w:sz w:val="15"/>
          <w:szCs w:val="15"/>
        </w:rPr>
      </w:pPr>
      <w:r>
        <w:rPr>
          <w:rFonts w:hint="eastAsia"/>
          <w:b/>
          <w:bCs/>
          <w:spacing w:val="10"/>
          <w:sz w:val="15"/>
          <w:szCs w:val="15"/>
        </w:rPr>
        <w:t>销售机构</w:t>
      </w:r>
    </w:p>
    <w:p>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pPr>
        <w:numPr>
          <w:ilvl w:val="0"/>
          <w:numId w:val="6"/>
        </w:numPr>
        <w:spacing w:line="200" w:lineRule="exact"/>
        <w:ind w:firstLine="341" w:firstLineChars="200"/>
        <w:rPr>
          <w:b/>
          <w:bCs/>
          <w:spacing w:val="10"/>
          <w:sz w:val="15"/>
          <w:szCs w:val="15"/>
        </w:rPr>
      </w:pPr>
      <w:r>
        <w:rPr>
          <w:b/>
          <w:bCs/>
          <w:spacing w:val="10"/>
          <w:sz w:val="15"/>
          <w:szCs w:val="15"/>
        </w:rPr>
        <w:t>甲方的权利与义务：</w:t>
      </w:r>
    </w:p>
    <w:p>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pPr>
        <w:numPr>
          <w:ilvl w:val="0"/>
          <w:numId w:val="7"/>
        </w:numPr>
        <w:spacing w:line="200" w:lineRule="exact"/>
        <w:ind w:firstLine="301"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pPr>
        <w:numPr>
          <w:ilvl w:val="0"/>
          <w:numId w:val="7"/>
        </w:numPr>
        <w:spacing w:line="200" w:lineRule="exact"/>
        <w:ind w:firstLine="341"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pPr>
        <w:numPr>
          <w:ilvl w:val="0"/>
          <w:numId w:val="7"/>
        </w:numPr>
        <w:spacing w:line="200" w:lineRule="exact"/>
        <w:ind w:firstLine="341"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pPr>
        <w:numPr>
          <w:ilvl w:val="0"/>
          <w:numId w:val="8"/>
        </w:numPr>
        <w:spacing w:line="200" w:lineRule="exact"/>
        <w:ind w:firstLine="341"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pPr>
        <w:numPr>
          <w:ilvl w:val="0"/>
          <w:numId w:val="8"/>
        </w:numPr>
        <w:spacing w:line="200" w:lineRule="exact"/>
        <w:ind w:firstLine="341"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pPr>
        <w:numPr>
          <w:ilvl w:val="0"/>
          <w:numId w:val="8"/>
        </w:numPr>
        <w:spacing w:line="200" w:lineRule="exact"/>
        <w:ind w:firstLine="341"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pPr>
        <w:numPr>
          <w:ilvl w:val="0"/>
          <w:numId w:val="8"/>
        </w:numPr>
        <w:spacing w:line="200" w:lineRule="exact"/>
        <w:ind w:firstLine="341"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00" w:lineRule="exact"/>
        <w:ind w:firstLine="341"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pPr>
        <w:spacing w:line="200" w:lineRule="exact"/>
        <w:ind w:firstLine="341" w:firstLineChars="200"/>
        <w:rPr>
          <w:spacing w:val="10"/>
          <w:sz w:val="15"/>
          <w:szCs w:val="15"/>
        </w:rPr>
      </w:pPr>
      <w:r>
        <w:rPr>
          <w:rFonts w:hint="eastAsia"/>
          <w:b/>
          <w:bCs/>
          <w:spacing w:val="10"/>
          <w:sz w:val="15"/>
          <w:szCs w:val="15"/>
        </w:rPr>
        <w:t>5</w:t>
      </w:r>
      <w:r>
        <w:rPr>
          <w:b/>
          <w:bCs/>
          <w:spacing w:val="10"/>
          <w:sz w:val="15"/>
          <w:szCs w:val="15"/>
        </w:rPr>
        <w:t>.产品认购或申购、赎回</w:t>
      </w:r>
    </w:p>
    <w:p>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1"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pPr>
        <w:spacing w:line="200" w:lineRule="exact"/>
        <w:ind w:firstLine="341" w:firstLineChars="200"/>
        <w:rPr>
          <w:b/>
          <w:bCs/>
          <w:spacing w:val="10"/>
          <w:sz w:val="15"/>
          <w:szCs w:val="15"/>
        </w:rPr>
      </w:pPr>
      <w:r>
        <w:rPr>
          <w:rFonts w:hint="eastAsia"/>
          <w:b/>
          <w:bCs/>
          <w:spacing w:val="10"/>
          <w:sz w:val="15"/>
          <w:szCs w:val="15"/>
        </w:rPr>
        <w:t>（1）理财</w:t>
      </w:r>
      <w:r>
        <w:rPr>
          <w:b/>
          <w:bCs/>
          <w:spacing w:val="10"/>
          <w:sz w:val="15"/>
          <w:szCs w:val="15"/>
        </w:rPr>
        <w:t>产品提前终止</w:t>
      </w:r>
    </w:p>
    <w:p>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pPr>
        <w:pStyle w:val="63"/>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pPr>
        <w:pStyle w:val="63"/>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pPr>
        <w:pStyle w:val="63"/>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pPr>
        <w:pStyle w:val="63"/>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pPr>
        <w:pStyle w:val="63"/>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63"/>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pPr>
        <w:pStyle w:val="63"/>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pPr>
        <w:pStyle w:val="63"/>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pPr>
        <w:pStyle w:val="63"/>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pPr>
        <w:pStyle w:val="63"/>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pPr>
        <w:spacing w:line="200" w:lineRule="exact"/>
        <w:ind w:firstLine="341"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pPr>
        <w:pStyle w:val="63"/>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pPr>
        <w:pStyle w:val="63"/>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pPr>
        <w:pStyle w:val="63"/>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pPr>
        <w:pStyle w:val="63"/>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pPr>
        <w:pStyle w:val="63"/>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pPr>
        <w:pStyle w:val="63"/>
        <w:numPr>
          <w:ilvl w:val="0"/>
          <w:numId w:val="11"/>
        </w:numPr>
        <w:spacing w:line="200" w:lineRule="exact"/>
        <w:ind w:firstLineChars="0"/>
        <w:rPr>
          <w:bCs/>
          <w:spacing w:val="10"/>
          <w:sz w:val="15"/>
          <w:szCs w:val="15"/>
        </w:rPr>
      </w:pPr>
      <w:r>
        <w:rPr>
          <w:bCs/>
          <w:spacing w:val="10"/>
          <w:sz w:val="15"/>
          <w:szCs w:val="15"/>
        </w:rPr>
        <w:t>其他管理人认为需要延期的情形；</w:t>
      </w:r>
    </w:p>
    <w:p>
      <w:pPr>
        <w:pStyle w:val="63"/>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pPr>
        <w:spacing w:line="200" w:lineRule="exact"/>
        <w:ind w:firstLine="341"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1" w:firstLineChars="200"/>
        <w:rPr>
          <w:b/>
          <w:spacing w:val="10"/>
          <w:sz w:val="15"/>
          <w:szCs w:val="15"/>
        </w:rPr>
      </w:pPr>
      <w:r>
        <w:rPr>
          <w:rFonts w:hint="eastAsia"/>
          <w:b/>
          <w:spacing w:val="10"/>
          <w:sz w:val="15"/>
          <w:szCs w:val="15"/>
        </w:rPr>
        <w:t xml:space="preserve">7.产品资产的清算 </w:t>
      </w:r>
    </w:p>
    <w:p>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1" w:firstLineChars="200"/>
        <w:rPr>
          <w:b/>
          <w:bCs/>
          <w:spacing w:val="10"/>
          <w:sz w:val="15"/>
          <w:szCs w:val="15"/>
        </w:rPr>
      </w:pPr>
      <w:r>
        <w:rPr>
          <w:rFonts w:hint="eastAsia"/>
          <w:b/>
          <w:bCs/>
          <w:spacing w:val="10"/>
          <w:sz w:val="15"/>
          <w:szCs w:val="15"/>
        </w:rPr>
        <w:t>8</w:t>
      </w:r>
      <w:r>
        <w:rPr>
          <w:b/>
          <w:bCs/>
          <w:spacing w:val="10"/>
          <w:sz w:val="15"/>
          <w:szCs w:val="15"/>
        </w:rPr>
        <w:t>.特别提示</w:t>
      </w:r>
    </w:p>
    <w:p>
      <w:pPr>
        <w:spacing w:line="200" w:lineRule="exact"/>
        <w:ind w:firstLine="341" w:firstLineChars="200"/>
        <w:rPr>
          <w:b/>
          <w:spacing w:val="10"/>
          <w:sz w:val="15"/>
          <w:szCs w:val="15"/>
        </w:rPr>
      </w:pPr>
      <w:r>
        <w:rPr>
          <w:b/>
          <w:spacing w:val="10"/>
          <w:sz w:val="15"/>
          <w:szCs w:val="15"/>
        </w:rPr>
        <w:t>在本理财产品存续期内</w:t>
      </w:r>
      <w:r>
        <w:rPr>
          <w:rFonts w:hint="eastAsia"/>
          <w:b/>
          <w:spacing w:val="10"/>
          <w:sz w:val="15"/>
          <w:szCs w:val="15"/>
        </w:rPr>
        <w:t>：</w:t>
      </w:r>
    </w:p>
    <w:p>
      <w:pPr>
        <w:numPr>
          <w:ilvl w:val="0"/>
          <w:numId w:val="12"/>
        </w:numPr>
        <w:spacing w:line="200" w:lineRule="exact"/>
        <w:ind w:firstLine="341"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pPr>
        <w:numPr>
          <w:ilvl w:val="0"/>
          <w:numId w:val="12"/>
        </w:numPr>
        <w:spacing w:line="200" w:lineRule="exact"/>
        <w:ind w:firstLine="341"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00" w:lineRule="exact"/>
        <w:ind w:firstLine="341" w:firstLineChars="200"/>
        <w:rPr>
          <w:b/>
          <w:bCs/>
          <w:spacing w:val="10"/>
          <w:sz w:val="15"/>
          <w:szCs w:val="15"/>
        </w:rPr>
      </w:pPr>
      <w:r>
        <w:rPr>
          <w:b/>
          <w:bCs/>
          <w:spacing w:val="10"/>
          <w:sz w:val="15"/>
          <w:szCs w:val="15"/>
        </w:rPr>
        <w:t>免责条款</w:t>
      </w:r>
    </w:p>
    <w:p>
      <w:pPr>
        <w:pStyle w:val="63"/>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63"/>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pPr>
        <w:pStyle w:val="63"/>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pPr>
        <w:pStyle w:val="63"/>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pPr>
        <w:numPr>
          <w:ilvl w:val="0"/>
          <w:numId w:val="12"/>
        </w:numPr>
        <w:spacing w:line="200" w:lineRule="exact"/>
        <w:ind w:firstLine="340" w:firstLineChars="200"/>
        <w:rPr>
          <w:spacing w:val="10"/>
          <w:sz w:val="15"/>
          <w:szCs w:val="15"/>
        </w:rPr>
      </w:pPr>
      <w:r>
        <w:rPr>
          <w:bCs/>
          <w:spacing w:val="10"/>
          <w:sz w:val="15"/>
          <w:szCs w:val="15"/>
        </w:rPr>
        <w:t>抵销</w:t>
      </w:r>
    </w:p>
    <w:p>
      <w:pPr>
        <w:pStyle w:val="63"/>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pPr>
        <w:pStyle w:val="63"/>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pPr>
        <w:numPr>
          <w:ilvl w:val="0"/>
          <w:numId w:val="12"/>
        </w:numPr>
        <w:spacing w:line="200" w:lineRule="exact"/>
        <w:ind w:firstLine="340" w:firstLineChars="200"/>
        <w:rPr>
          <w:spacing w:val="10"/>
          <w:sz w:val="15"/>
          <w:szCs w:val="15"/>
        </w:rPr>
      </w:pPr>
      <w:r>
        <w:rPr>
          <w:bCs/>
          <w:spacing w:val="10"/>
          <w:sz w:val="15"/>
          <w:szCs w:val="15"/>
        </w:rPr>
        <w:t>弃权</w:t>
      </w:r>
    </w:p>
    <w:p>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00" w:lineRule="exact"/>
        <w:ind w:firstLine="340" w:firstLineChars="200"/>
        <w:rPr>
          <w:spacing w:val="10"/>
          <w:sz w:val="15"/>
          <w:szCs w:val="15"/>
        </w:rPr>
      </w:pPr>
      <w:r>
        <w:rPr>
          <w:spacing w:val="10"/>
          <w:sz w:val="15"/>
          <w:szCs w:val="15"/>
        </w:rPr>
        <w:t>可分割性</w:t>
      </w:r>
    </w:p>
    <w:p>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pPr>
        <w:numPr>
          <w:ilvl w:val="0"/>
          <w:numId w:val="12"/>
        </w:numPr>
        <w:spacing w:line="200" w:lineRule="exact"/>
        <w:ind w:firstLine="340" w:firstLineChars="200"/>
        <w:rPr>
          <w:spacing w:val="10"/>
          <w:sz w:val="15"/>
          <w:szCs w:val="15"/>
        </w:rPr>
      </w:pPr>
      <w:r>
        <w:rPr>
          <w:spacing w:val="10"/>
          <w:sz w:val="15"/>
          <w:szCs w:val="15"/>
        </w:rPr>
        <w:t>税收条款</w:t>
      </w:r>
    </w:p>
    <w:p>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pPr>
        <w:spacing w:line="200" w:lineRule="exact"/>
        <w:ind w:firstLine="341" w:firstLineChars="200"/>
        <w:rPr>
          <w:spacing w:val="10"/>
          <w:sz w:val="15"/>
          <w:szCs w:val="15"/>
        </w:rPr>
      </w:pPr>
      <w:r>
        <w:rPr>
          <w:rFonts w:hint="eastAsia"/>
          <w:b/>
          <w:bCs/>
          <w:spacing w:val="10"/>
          <w:sz w:val="15"/>
          <w:szCs w:val="15"/>
        </w:rPr>
        <w:t>9</w:t>
      </w:r>
      <w:r>
        <w:rPr>
          <w:b/>
          <w:bCs/>
          <w:spacing w:val="10"/>
          <w:sz w:val="15"/>
          <w:szCs w:val="15"/>
        </w:rPr>
        <w:t>.争议处理</w:t>
      </w:r>
    </w:p>
    <w:p>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pPr>
        <w:spacing w:line="200" w:lineRule="exact"/>
        <w:ind w:firstLine="341" w:firstLineChars="200"/>
        <w:rPr>
          <w:b/>
          <w:bCs/>
          <w:spacing w:val="10"/>
          <w:sz w:val="15"/>
          <w:szCs w:val="15"/>
        </w:rPr>
      </w:pPr>
      <w:r>
        <w:rPr>
          <w:rFonts w:hint="eastAsia"/>
          <w:b/>
          <w:bCs/>
          <w:spacing w:val="10"/>
          <w:sz w:val="15"/>
          <w:szCs w:val="15"/>
        </w:rPr>
        <w:t>10</w:t>
      </w:r>
      <w:r>
        <w:rPr>
          <w:b/>
          <w:bCs/>
          <w:spacing w:val="10"/>
          <w:sz w:val="15"/>
          <w:szCs w:val="15"/>
        </w:rPr>
        <w:t>.协议的生效和终止</w:t>
      </w:r>
    </w:p>
    <w:p>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1"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pPr>
        <w:spacing w:line="200" w:lineRule="exact"/>
        <w:ind w:firstLine="341"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1"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1"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pPr>
        <w:spacing w:line="200" w:lineRule="exact"/>
        <w:ind w:firstLine="340" w:firstLineChars="200"/>
        <w:rPr>
          <w:spacing w:val="10"/>
          <w:sz w:val="15"/>
          <w:szCs w:val="15"/>
        </w:rPr>
      </w:pPr>
    </w:p>
    <w:p>
      <w:pPr>
        <w:spacing w:line="200" w:lineRule="exact"/>
        <w:ind w:firstLine="340" w:firstLineChars="200"/>
        <w:rPr>
          <w:spacing w:val="10"/>
          <w:sz w:val="15"/>
          <w:szCs w:val="15"/>
        </w:rPr>
      </w:pPr>
    </w:p>
    <w:tbl>
      <w:tblPr>
        <w:tblStyle w:val="17"/>
        <w:tblW w:w="9525" w:type="dxa"/>
        <w:jc w:val="center"/>
        <w:tblInd w:w="0" w:type="dxa"/>
        <w:tblLayout w:type="fixed"/>
        <w:tblCellMar>
          <w:top w:w="0" w:type="dxa"/>
          <w:left w:w="108" w:type="dxa"/>
          <w:bottom w:w="0" w:type="dxa"/>
          <w:right w:w="108" w:type="dxa"/>
        </w:tblCellMar>
      </w:tblPr>
      <w:tblGrid>
        <w:gridCol w:w="4812"/>
        <w:gridCol w:w="4713"/>
      </w:tblGrid>
      <w:tr>
        <w:tblPrEx>
          <w:tblLayout w:type="fixed"/>
          <w:tblCellMar>
            <w:top w:w="0" w:type="dxa"/>
            <w:left w:w="108" w:type="dxa"/>
            <w:bottom w:w="0" w:type="dxa"/>
            <w:right w:w="108" w:type="dxa"/>
          </w:tblCellMar>
        </w:tblPrEx>
        <w:trPr>
          <w:jc w:val="center"/>
        </w:trPr>
        <w:tc>
          <w:tcPr>
            <w:tcW w:w="4812" w:type="dxa"/>
          </w:tcPr>
          <w:p>
            <w:pPr>
              <w:spacing w:line="200" w:lineRule="exact"/>
              <w:rPr>
                <w:spacing w:val="10"/>
                <w:sz w:val="15"/>
                <w:szCs w:val="15"/>
              </w:rPr>
            </w:pPr>
            <w:r>
              <w:rPr>
                <w:spacing w:val="10"/>
                <w:sz w:val="15"/>
                <w:szCs w:val="15"/>
              </w:rPr>
              <w:t>个人投资者（如适用）：</w:t>
            </w:r>
          </w:p>
        </w:tc>
        <w:tc>
          <w:tcPr>
            <w:tcW w:w="4713" w:type="dxa"/>
          </w:tcPr>
          <w:p>
            <w:pPr>
              <w:spacing w:line="200" w:lineRule="exact"/>
              <w:rPr>
                <w:spacing w:val="10"/>
                <w:sz w:val="15"/>
                <w:szCs w:val="15"/>
              </w:rPr>
            </w:pPr>
            <w:r>
              <w:rPr>
                <w:spacing w:val="10"/>
                <w:sz w:val="15"/>
                <w:szCs w:val="15"/>
              </w:rPr>
              <w:t>机构投资者（如适用）：</w:t>
            </w:r>
          </w:p>
        </w:tc>
      </w:tr>
      <w:tr>
        <w:tblPrEx>
          <w:tblLayout w:type="fixed"/>
          <w:tblCellMar>
            <w:top w:w="0" w:type="dxa"/>
            <w:left w:w="108" w:type="dxa"/>
            <w:bottom w:w="0" w:type="dxa"/>
            <w:right w:w="108" w:type="dxa"/>
          </w:tblCellMar>
        </w:tblPrEx>
        <w:trPr>
          <w:jc w:val="center"/>
        </w:trPr>
        <w:tc>
          <w:tcPr>
            <w:tcW w:w="4812"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pPr>
              <w:spacing w:line="200" w:lineRule="exact"/>
              <w:ind w:firstLine="680" w:firstLineChars="400"/>
              <w:rPr>
                <w:spacing w:val="10"/>
                <w:sz w:val="15"/>
                <w:szCs w:val="15"/>
              </w:rPr>
            </w:pPr>
          </w:p>
          <w:p>
            <w:pPr>
              <w:spacing w:line="200" w:lineRule="exact"/>
              <w:ind w:firstLine="850" w:firstLineChars="500"/>
              <w:rPr>
                <w:spacing w:val="10"/>
                <w:sz w:val="15"/>
                <w:szCs w:val="15"/>
              </w:rPr>
            </w:pPr>
          </w:p>
          <w:p>
            <w:pPr>
              <w:spacing w:line="200" w:lineRule="exact"/>
              <w:ind w:firstLine="850" w:firstLineChars="500"/>
              <w:rPr>
                <w:spacing w:val="10"/>
                <w:sz w:val="15"/>
                <w:szCs w:val="15"/>
              </w:rPr>
            </w:pPr>
            <w:r>
              <w:rPr>
                <w:spacing w:val="10"/>
                <w:sz w:val="15"/>
                <w:szCs w:val="15"/>
              </w:rPr>
              <w:t>年月日</w:t>
            </w:r>
          </w:p>
        </w:tc>
        <w:tc>
          <w:tcPr>
            <w:tcW w:w="4713"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pPr>
              <w:spacing w:line="200" w:lineRule="exact"/>
              <w:rPr>
                <w:spacing w:val="10"/>
                <w:sz w:val="15"/>
                <w:szCs w:val="15"/>
              </w:rPr>
            </w:pPr>
          </w:p>
          <w:p>
            <w:pPr>
              <w:spacing w:line="200" w:lineRule="exact"/>
              <w:rPr>
                <w:spacing w:val="10"/>
                <w:sz w:val="15"/>
                <w:szCs w:val="15"/>
              </w:rPr>
            </w:pPr>
          </w:p>
          <w:p>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pPr>
              <w:spacing w:line="200" w:lineRule="exact"/>
              <w:ind w:firstLine="680" w:firstLineChars="400"/>
              <w:rPr>
                <w:spacing w:val="10"/>
                <w:sz w:val="15"/>
                <w:szCs w:val="15"/>
              </w:rPr>
            </w:pPr>
          </w:p>
          <w:p>
            <w:pPr>
              <w:spacing w:line="200" w:lineRule="exact"/>
              <w:ind w:firstLine="680" w:firstLineChars="400"/>
              <w:rPr>
                <w:spacing w:val="10"/>
                <w:sz w:val="15"/>
                <w:szCs w:val="15"/>
              </w:rPr>
            </w:pPr>
            <w:r>
              <w:rPr>
                <w:spacing w:val="10"/>
                <w:sz w:val="15"/>
                <w:szCs w:val="15"/>
              </w:rPr>
              <w:t>年月日</w:t>
            </w:r>
          </w:p>
        </w:tc>
      </w:tr>
    </w:tbl>
    <w:p>
      <w:pPr>
        <w:spacing w:line="200" w:lineRule="exact"/>
        <w:rPr>
          <w:spacing w:val="10"/>
          <w:sz w:val="15"/>
          <w:szCs w:val="15"/>
        </w:rPr>
      </w:pPr>
    </w:p>
    <w:p>
      <w:pPr>
        <w:pStyle w:val="64"/>
        <w:spacing w:line="360" w:lineRule="auto"/>
        <w:ind w:firstLine="0" w:firstLineChars="0"/>
        <w:jc w:val="center"/>
        <w:sectPr>
          <w:headerReference r:id="rId3" w:type="default"/>
          <w:footerReference r:id="rId4" w:type="default"/>
          <w:pgSz w:w="11906" w:h="16838"/>
          <w:pgMar w:top="720" w:right="720" w:bottom="720" w:left="720" w:header="851" w:footer="992" w:gutter="0"/>
          <w:cols w:space="720" w:num="1"/>
          <w:docGrid w:type="lines" w:linePitch="312" w:charSpace="0"/>
        </w:sectPr>
      </w:pPr>
    </w:p>
    <w:p>
      <w:pPr>
        <w:pStyle w:val="64"/>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pPr>
        <w:pStyle w:val="64"/>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pPr>
        <w:pStyle w:val="64"/>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pPr>
        <w:pStyle w:val="64"/>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pPr>
        <w:pStyle w:val="64"/>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pPr>
        <w:pStyle w:val="64"/>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pPr>
        <w:pStyle w:val="64"/>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pPr>
        <w:pStyle w:val="64"/>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pPr>
        <w:pStyle w:val="64"/>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pPr>
        <w:pStyle w:val="64"/>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pPr>
        <w:pStyle w:val="64"/>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pPr>
        <w:pStyle w:val="64"/>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pPr>
        <w:pStyle w:val="64"/>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64"/>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64"/>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pPr>
        <w:pStyle w:val="64"/>
        <w:spacing w:line="360" w:lineRule="auto"/>
        <w:ind w:firstLine="400"/>
        <w:rPr>
          <w:rFonts w:ascii="宋体" w:hAnsi="宋体" w:cs="宋体"/>
          <w:sz w:val="20"/>
          <w:szCs w:val="21"/>
        </w:rPr>
      </w:pPr>
      <w:r>
        <w:rPr>
          <w:rFonts w:hint="eastAsia" w:ascii="宋体" w:hAnsi="宋体" w:cs="宋体"/>
          <w:sz w:val="20"/>
          <w:szCs w:val="21"/>
        </w:rPr>
        <w:t>（二）乙方的权利与义务</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pPr>
        <w:pStyle w:val="64"/>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pPr>
        <w:pStyle w:val="64"/>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64"/>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64"/>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pPr>
        <w:pStyle w:val="64"/>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pPr>
        <w:pStyle w:val="64"/>
        <w:spacing w:line="360" w:lineRule="auto"/>
        <w:ind w:firstLine="402"/>
        <w:rPr>
          <w:rFonts w:ascii="宋体" w:hAnsi="宋体" w:cs="宋体"/>
          <w:b/>
          <w:sz w:val="20"/>
          <w:szCs w:val="21"/>
        </w:rPr>
      </w:pPr>
      <w:r>
        <w:rPr>
          <w:rFonts w:hint="eastAsia" w:ascii="宋体" w:hAnsi="宋体" w:cs="宋体"/>
          <w:b/>
          <w:sz w:val="20"/>
          <w:szCs w:val="21"/>
        </w:rPr>
        <w:t>三、协议的生效和终止</w:t>
      </w:r>
    </w:p>
    <w:p>
      <w:pPr>
        <w:pStyle w:val="64"/>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64"/>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64"/>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pPr>
        <w:pStyle w:val="64"/>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pPr>
        <w:pStyle w:val="64"/>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64"/>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pPr>
        <w:pStyle w:val="64"/>
        <w:spacing w:line="360" w:lineRule="auto"/>
        <w:ind w:firstLine="402"/>
        <w:rPr>
          <w:rFonts w:ascii="宋体" w:hAnsi="宋体" w:cs="宋体"/>
          <w:b/>
          <w:bCs/>
          <w:sz w:val="20"/>
          <w:szCs w:val="21"/>
        </w:rPr>
      </w:pPr>
      <w:r>
        <w:rPr>
          <w:rFonts w:hint="eastAsia" w:ascii="宋体" w:hAnsi="宋体" w:cs="宋体"/>
          <w:b/>
          <w:bCs/>
          <w:sz w:val="20"/>
          <w:szCs w:val="21"/>
        </w:rPr>
        <w:t>五、争议解决</w:t>
      </w:r>
    </w:p>
    <w:p>
      <w:pPr>
        <w:pStyle w:val="64"/>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64"/>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pPr>
        <w:pStyle w:val="64"/>
        <w:spacing w:line="360" w:lineRule="auto"/>
        <w:ind w:firstLine="400"/>
        <w:rPr>
          <w:rFonts w:ascii="宋体" w:hAnsi="宋体" w:cs="宋体"/>
          <w:sz w:val="20"/>
          <w:szCs w:val="21"/>
        </w:rPr>
      </w:pPr>
    </w:p>
    <w:p>
      <w:pPr>
        <w:pStyle w:val="64"/>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pPr>
        <w:pStyle w:val="64"/>
        <w:spacing w:line="360" w:lineRule="auto"/>
        <w:ind w:firstLine="400"/>
        <w:rPr>
          <w:rFonts w:ascii="宋体" w:hAnsi="宋体" w:cs="宋体"/>
          <w:sz w:val="20"/>
          <w:szCs w:val="21"/>
        </w:rPr>
      </w:pPr>
      <w:r>
        <w:rPr>
          <w:rFonts w:hint="eastAsia" w:ascii="宋体" w:hAnsi="宋体" w:cs="宋体"/>
          <w:sz w:val="20"/>
          <w:szCs w:val="21"/>
        </w:rPr>
        <w:t>（以下无正文）</w:t>
      </w:r>
    </w:p>
    <w:p>
      <w:pPr>
        <w:pStyle w:val="64"/>
        <w:spacing w:line="360" w:lineRule="auto"/>
        <w:ind w:firstLine="400"/>
        <w:rPr>
          <w:rFonts w:ascii="宋体" w:hAnsi="宋体" w:cs="宋体"/>
          <w:sz w:val="20"/>
          <w:szCs w:val="21"/>
        </w:rPr>
      </w:pPr>
    </w:p>
    <w:p>
      <w:pPr>
        <w:spacing w:line="360" w:lineRule="auto"/>
        <w:rPr>
          <w:rStyle w:val="65"/>
          <w:rFonts w:hint="default"/>
          <w:sz w:val="20"/>
        </w:rPr>
      </w:pPr>
      <w:r>
        <w:rPr>
          <w:rStyle w:val="65"/>
          <w:rFonts w:hint="default"/>
          <w:sz w:val="20"/>
        </w:rPr>
        <w:t>个人投资者（如适用）：                   机构投资者（如适用）：</w:t>
      </w:r>
    </w:p>
    <w:p>
      <w:pPr>
        <w:spacing w:line="360" w:lineRule="auto"/>
        <w:rPr>
          <w:rStyle w:val="65"/>
          <w:rFonts w:hint="default"/>
          <w:sz w:val="20"/>
        </w:rPr>
      </w:pPr>
      <w:r>
        <w:rPr>
          <w:rStyle w:val="65"/>
          <w:rFonts w:hint="default"/>
          <w:sz w:val="20"/>
        </w:rPr>
        <w:t>个人投资者： （签名或盖章）              机构投资者： （</w:t>
      </w:r>
      <w:r>
        <w:rPr>
          <w:rFonts w:hint="eastAsia" w:ascii="宋体" w:hAnsi="宋体" w:cs="宋体"/>
          <w:sz w:val="20"/>
        </w:rPr>
        <w:t>公章或合同专用章</w:t>
      </w:r>
      <w:r>
        <w:rPr>
          <w:rStyle w:val="65"/>
          <w:rFonts w:hint="default"/>
          <w:sz w:val="20"/>
        </w:rPr>
        <w:t>）</w:t>
      </w:r>
    </w:p>
    <w:p>
      <w:pPr>
        <w:spacing w:line="360" w:lineRule="auto"/>
        <w:rPr>
          <w:rStyle w:val="65"/>
          <w:rFonts w:hint="default"/>
          <w:sz w:val="20"/>
        </w:rPr>
      </w:pPr>
      <w:r>
        <w:rPr>
          <w:rStyle w:val="65"/>
          <w:rFonts w:hint="default"/>
          <w:sz w:val="20"/>
        </w:rPr>
        <w:t xml:space="preserve">   年  月  日                           法定代表人或授权代理人：（签名或盖章）</w:t>
      </w:r>
    </w:p>
    <w:p>
      <w:pPr>
        <w:widowControl/>
        <w:jc w:val="left"/>
      </w:pPr>
      <w:r>
        <w:rPr>
          <w:rStyle w:val="65"/>
          <w:rFonts w:hint="default"/>
          <w:sz w:val="20"/>
        </w:rPr>
        <w:t xml:space="preserve">                                            年    月   日</w:t>
      </w:r>
    </w:p>
    <w:p>
      <w:pPr>
        <w:pStyle w:val="5"/>
        <w:ind w:firstLine="0" w:firstLineChars="0"/>
        <w:rPr>
          <w:b/>
          <w:kern w:val="0"/>
          <w:sz w:val="15"/>
          <w:szCs w:val="11"/>
        </w:rPr>
      </w:pPr>
    </w:p>
    <w:p>
      <w:pPr>
        <w:rPr>
          <w:rFonts w:hint="eastAsia" w:ascii="方正黑体_GBK" w:eastAsia="方正黑体_GBK"/>
          <w:b/>
          <w:bCs/>
          <w:color w:val="3D3D3D"/>
          <w:kern w:val="0"/>
          <w:sz w:val="15"/>
          <w:szCs w:val="15"/>
          <w:lang w:val="en-US" w:eastAsia="zh-CN"/>
        </w:rPr>
      </w:pPr>
    </w:p>
    <w:sectPr>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宋体"/>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细黑一简体">
    <w:altName w:val="宋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2"/>
      </w:pBdr>
      <w:ind w:right="360"/>
      <w:jc w:val="right"/>
      <w:rPr>
        <w:sz w:val="32"/>
      </w:rPr>
    </w:pPr>
    <w:r>
      <w:rPr>
        <w:rFonts w:hint="eastAsia"/>
        <w:sz w:val="22"/>
        <w:szCs w:val="24"/>
      </w:rP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00000001"/>
    <w:multiLevelType w:val="multilevel"/>
    <w:tmpl w:val="00000001"/>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000002"/>
    <w:multiLevelType w:val="multilevel"/>
    <w:tmpl w:val="00000002"/>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3">
    <w:nsid w:val="00000003"/>
    <w:multiLevelType w:val="multilevel"/>
    <w:tmpl w:val="00000003"/>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4">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7">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10A3506"/>
    <w:multiLevelType w:val="singleLevel"/>
    <w:tmpl w:val="510A3506"/>
    <w:lvl w:ilvl="0" w:tentative="0">
      <w:start w:val="1"/>
      <w:numFmt w:val="decimal"/>
      <w:suff w:val="nothing"/>
      <w:lvlText w:val="（%1）"/>
      <w:lvlJc w:val="left"/>
    </w:lvl>
  </w:abstractNum>
  <w:abstractNum w:abstractNumId="9">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4D56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5">
    <w:name w:val="Normal Indent"/>
    <w:basedOn w:val="1"/>
    <w:uiPriority w:val="0"/>
    <w:pPr>
      <w:ind w:firstLine="200" w:firstLineChars="200"/>
    </w:pPr>
    <w:rPr>
      <w:rFonts w:ascii="Times New Roman" w:hAnsi="Times New Roman" w:eastAsia="宋体"/>
      <w:sz w:val="18"/>
      <w:szCs w:val="18"/>
    </w:rPr>
  </w:style>
  <w:style w:type="paragraph" w:styleId="6">
    <w:name w:val="annotation text"/>
    <w:basedOn w:val="1"/>
    <w:uiPriority w:val="0"/>
    <w:pPr>
      <w:jc w:val="left"/>
    </w:pPr>
    <w:rPr>
      <w:rFonts w:ascii="Times New Roman" w:hAnsi="Times New Roman" w:eastAsia="宋体"/>
      <w:sz w:val="18"/>
      <w:szCs w:val="18"/>
    </w:rPr>
  </w:style>
  <w:style w:type="paragraph" w:styleId="7">
    <w:name w:val="toc 5"/>
    <w:basedOn w:val="1"/>
    <w:next w:val="1"/>
    <w:qFormat/>
    <w:uiPriority w:val="0"/>
    <w:pPr>
      <w:ind w:left="1680"/>
    </w:pPr>
  </w:style>
  <w:style w:type="paragraph" w:styleId="8">
    <w:name w:val="toc 3"/>
    <w:basedOn w:val="1"/>
    <w:next w:val="1"/>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qFormat/>
    <w:uiPriority w:val="0"/>
  </w:style>
  <w:style w:type="paragraph" w:styleId="12">
    <w:name w:val="toc 4"/>
    <w:basedOn w:val="1"/>
    <w:next w:val="1"/>
    <w:uiPriority w:val="0"/>
    <w:pPr>
      <w:ind w:left="1260"/>
    </w:pPr>
  </w:style>
  <w:style w:type="paragraph" w:styleId="13">
    <w:name w:val="toc 2"/>
    <w:basedOn w:val="1"/>
    <w:next w:val="1"/>
    <w:qFormat/>
    <w:uiPriority w:val="0"/>
    <w:pPr>
      <w:ind w:left="420"/>
    </w:pPr>
  </w:style>
  <w:style w:type="paragraph" w:styleId="14">
    <w:name w:val="Normal (Web)"/>
    <w:next w:val="11"/>
    <w:uiPriority w:val="0"/>
    <w:pPr>
      <w:spacing w:before="102" w:after="102" w:line="1099" w:lineRule="atLeast"/>
      <w:ind w:firstLine="419"/>
      <w:textAlignment w:val="baseline"/>
    </w:pPr>
    <w:rPr>
      <w:rFonts w:ascii="Times New Roman" w:hAnsi="Times New Roman" w:eastAsia="宋体" w:cs="Times New Roman"/>
      <w:kern w:val="0"/>
      <w:sz w:val="24"/>
      <w:szCs w:val="24"/>
      <w:lang w:val="en-US" w:eastAsia="zh-CN" w:bidi="ar-SA"/>
    </w:rPr>
  </w:style>
  <w:style w:type="character" w:styleId="16">
    <w:name w:val="Strong"/>
    <w:uiPriority w:val="0"/>
    <w:rPr>
      <w:b/>
    </w:rPr>
  </w:style>
  <w:style w:type="paragraph" w:customStyle="1" w:styleId="18">
    <w:name w:val="Normal5f35f61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e87607aa"/>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1d40a9bc"/>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eastAsia="方正黑体_GBK"/>
      <w:b/>
      <w:sz w:val="32"/>
    </w:rPr>
  </w:style>
  <w:style w:type="paragraph" w:customStyle="1" w:styleId="21">
    <w:name w:val="heading 3114f5f38"/>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720090dc"/>
    <w:qFormat/>
    <w:uiPriority w:val="0"/>
  </w:style>
  <w:style w:type="paragraph" w:customStyle="1" w:styleId="23">
    <w:name w:val="toc 123fcc952"/>
    <w:basedOn w:val="18"/>
    <w:next w:val="1"/>
    <w:qFormat/>
    <w:uiPriority w:val="0"/>
  </w:style>
  <w:style w:type="paragraph" w:customStyle="1" w:styleId="24">
    <w:name w:val="toc 2cebe66e7"/>
    <w:basedOn w:val="18"/>
    <w:next w:val="1"/>
    <w:uiPriority w:val="0"/>
    <w:pPr>
      <w:ind w:left="420"/>
    </w:pPr>
  </w:style>
  <w:style w:type="paragraph" w:customStyle="1" w:styleId="25">
    <w:name w:val="toc 3312cc66f"/>
    <w:basedOn w:val="18"/>
    <w:next w:val="1"/>
    <w:qFormat/>
    <w:uiPriority w:val="0"/>
    <w:pPr>
      <w:ind w:left="840"/>
    </w:pPr>
  </w:style>
  <w:style w:type="paragraph" w:customStyle="1" w:styleId="26">
    <w:name w:val="toc 467ba3fe4"/>
    <w:basedOn w:val="18"/>
    <w:next w:val="1"/>
    <w:qFormat/>
    <w:uiPriority w:val="0"/>
    <w:pPr>
      <w:ind w:left="1260"/>
    </w:pPr>
  </w:style>
  <w:style w:type="paragraph" w:customStyle="1" w:styleId="27">
    <w:name w:val="toc 5a8e9ab22"/>
    <w:basedOn w:val="18"/>
    <w:next w:val="1"/>
    <w:qFormat/>
    <w:uiPriority w:val="0"/>
    <w:pPr>
      <w:ind w:left="1680"/>
    </w:pPr>
  </w:style>
  <w:style w:type="paragraph" w:customStyle="1" w:styleId="28">
    <w:name w:val="headerc6b1a0ee"/>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50b86dcf"/>
    <w:basedOn w:val="18"/>
    <w:qFormat/>
    <w:uiPriority w:val="0"/>
    <w:pPr>
      <w:tabs>
        <w:tab w:val="center" w:pos="4153"/>
        <w:tab w:val="right" w:pos="8307"/>
      </w:tabs>
      <w:adjustRightInd/>
      <w:snapToGrid w:val="0"/>
      <w:contextualSpacing w:val="0"/>
      <w:jc w:val="left"/>
    </w:pPr>
    <w:rPr>
      <w:sz w:val="18"/>
    </w:rPr>
  </w:style>
  <w:style w:type="character" w:customStyle="1" w:styleId="30">
    <w:name w:val="Strong36422e8d"/>
    <w:qFormat/>
    <w:uiPriority w:val="0"/>
    <w:rPr>
      <w:b/>
    </w:rPr>
  </w:style>
  <w:style w:type="paragraph" w:customStyle="1" w:styleId="31">
    <w:name w:val="annotation text23"/>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41753a65"/>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2dc6db48"/>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987a1900"/>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eastAsia="方正黑体_GBK"/>
      <w:b/>
      <w:sz w:val="32"/>
    </w:rPr>
  </w:style>
  <w:style w:type="paragraph" w:customStyle="1" w:styleId="35">
    <w:name w:val="heading 3c98d2a62"/>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b2a6e5f9"/>
    <w:uiPriority w:val="0"/>
  </w:style>
  <w:style w:type="paragraph" w:customStyle="1" w:styleId="37">
    <w:name w:val="Normal Indentb27b41a8"/>
    <w:basedOn w:val="32"/>
    <w:qFormat/>
    <w:uiPriority w:val="0"/>
    <w:pPr>
      <w:ind w:firstLine="200" w:firstLineChars="200"/>
    </w:pPr>
  </w:style>
  <w:style w:type="paragraph" w:customStyle="1" w:styleId="38">
    <w:name w:val="toc 572a56b44"/>
    <w:basedOn w:val="32"/>
    <w:next w:val="1"/>
    <w:uiPriority w:val="0"/>
    <w:pPr>
      <w:ind w:left="1680"/>
    </w:pPr>
  </w:style>
  <w:style w:type="paragraph" w:customStyle="1" w:styleId="39">
    <w:name w:val="toc 37770e133"/>
    <w:basedOn w:val="32"/>
    <w:next w:val="1"/>
    <w:qFormat/>
    <w:uiPriority w:val="0"/>
    <w:pPr>
      <w:ind w:left="840"/>
    </w:pPr>
  </w:style>
  <w:style w:type="paragraph" w:customStyle="1" w:styleId="40">
    <w:name w:val="footer44fcf85e"/>
    <w:basedOn w:val="32"/>
    <w:qFormat/>
    <w:uiPriority w:val="0"/>
    <w:pPr>
      <w:tabs>
        <w:tab w:val="center" w:pos="4153"/>
        <w:tab w:val="right" w:pos="8307"/>
      </w:tabs>
      <w:adjustRightInd/>
      <w:snapToGrid w:val="0"/>
      <w:contextualSpacing w:val="0"/>
      <w:jc w:val="left"/>
    </w:pPr>
    <w:rPr>
      <w:sz w:val="18"/>
    </w:rPr>
  </w:style>
  <w:style w:type="paragraph" w:customStyle="1" w:styleId="41">
    <w:name w:val="header0bf782ea"/>
    <w:basedOn w:val="32"/>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3a52bc2c"/>
    <w:basedOn w:val="32"/>
    <w:next w:val="1"/>
    <w:qFormat/>
    <w:uiPriority w:val="0"/>
  </w:style>
  <w:style w:type="paragraph" w:customStyle="1" w:styleId="43">
    <w:name w:val="toc 456a28dbc"/>
    <w:basedOn w:val="32"/>
    <w:next w:val="1"/>
    <w:qFormat/>
    <w:uiPriority w:val="0"/>
    <w:pPr>
      <w:ind w:left="1260"/>
    </w:pPr>
  </w:style>
  <w:style w:type="paragraph" w:customStyle="1" w:styleId="44">
    <w:name w:val="toc 29b20d531"/>
    <w:basedOn w:val="32"/>
    <w:next w:val="1"/>
    <w:qFormat/>
    <w:uiPriority w:val="0"/>
    <w:pPr>
      <w:ind w:left="420"/>
    </w:pPr>
  </w:style>
  <w:style w:type="paragraph" w:customStyle="1" w:styleId="45">
    <w:name w:val="Normal (Web)16a49e69"/>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Times New Roman"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70133b4970133b49"/>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d8b01b8bd8b01b8b"/>
    <w:basedOn w:val="4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9c7cec949c7cec94"/>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eastAsia="方正黑体_GBK"/>
      <w:b/>
      <w:sz w:val="32"/>
    </w:rPr>
  </w:style>
  <w:style w:type="paragraph" w:customStyle="1" w:styleId="50">
    <w:name w:val="heading 3ddbd933addbd933a"/>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0788b8d00788b8d0"/>
    <w:qFormat/>
    <w:uiPriority w:val="0"/>
  </w:style>
  <w:style w:type="paragraph" w:customStyle="1" w:styleId="52">
    <w:name w:val="引文目录1c2e4a1f2c2e4a1f2"/>
    <w:basedOn w:val="47"/>
    <w:next w:val="1"/>
    <w:qFormat/>
    <w:uiPriority w:val="0"/>
    <w:pPr>
      <w:ind w:left="200" w:leftChars="200"/>
    </w:pPr>
  </w:style>
  <w:style w:type="paragraph" w:customStyle="1" w:styleId="53">
    <w:name w:val="toc 5fce69e6dfce69e6d"/>
    <w:basedOn w:val="47"/>
    <w:next w:val="1"/>
    <w:uiPriority w:val="0"/>
    <w:pPr>
      <w:ind w:left="1680"/>
    </w:pPr>
  </w:style>
  <w:style w:type="paragraph" w:customStyle="1" w:styleId="54">
    <w:name w:val="toc 39829906498299064"/>
    <w:basedOn w:val="47"/>
    <w:next w:val="1"/>
    <w:qFormat/>
    <w:uiPriority w:val="0"/>
    <w:pPr>
      <w:ind w:left="840"/>
    </w:pPr>
  </w:style>
  <w:style w:type="paragraph" w:customStyle="1" w:styleId="55">
    <w:name w:val="footer387fe7b6387fe7b6"/>
    <w:basedOn w:val="47"/>
    <w:uiPriority w:val="0"/>
    <w:pPr>
      <w:tabs>
        <w:tab w:val="center" w:pos="4153"/>
        <w:tab w:val="right" w:pos="8307"/>
      </w:tabs>
      <w:adjustRightInd/>
      <w:snapToGrid w:val="0"/>
      <w:contextualSpacing w:val="0"/>
      <w:jc w:val="left"/>
    </w:pPr>
    <w:rPr>
      <w:sz w:val="18"/>
    </w:rPr>
  </w:style>
  <w:style w:type="paragraph" w:customStyle="1" w:styleId="56">
    <w:name w:val="header176881d6176881d6"/>
    <w:basedOn w:val="4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7a6339ca7a6339ca"/>
    <w:basedOn w:val="47"/>
    <w:next w:val="1"/>
    <w:qFormat/>
    <w:uiPriority w:val="0"/>
  </w:style>
  <w:style w:type="paragraph" w:customStyle="1" w:styleId="58">
    <w:name w:val="toc 4e3c88426e3c88426"/>
    <w:basedOn w:val="47"/>
    <w:next w:val="1"/>
    <w:qFormat/>
    <w:uiPriority w:val="0"/>
    <w:pPr>
      <w:ind w:left="1260"/>
    </w:pPr>
  </w:style>
  <w:style w:type="paragraph" w:customStyle="1" w:styleId="59">
    <w:name w:val="toc 29676981096769810"/>
    <w:basedOn w:val="47"/>
    <w:next w:val="1"/>
    <w:qFormat/>
    <w:uiPriority w:val="0"/>
    <w:pPr>
      <w:ind w:left="420"/>
    </w:pPr>
  </w:style>
  <w:style w:type="paragraph" w:customStyle="1" w:styleId="60">
    <w:name w:val="列出段落12bb1fa452bb1fa45"/>
    <w:next w:val="16"/>
    <w:link w:val="6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customStyle="1" w:styleId="61">
    <w:name w:val="列出段落12bb1fa452bb1fa45 Char"/>
    <w:basedOn w:val="15"/>
    <w:link w:val="60"/>
    <w:uiPriority w:val="0"/>
    <w:rPr>
      <w:rFonts w:asci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2">
    <w:name w:val="Normal950dbae9950dbae9"/>
    <w:next w:val="13"/>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Times New Roman"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3">
    <w:name w:val="列出段落1"/>
    <w:basedOn w:val="1"/>
    <w:qFormat/>
    <w:uiPriority w:val="99"/>
    <w:pPr>
      <w:ind w:firstLine="420" w:firstLineChars="200"/>
    </w:pPr>
    <w:rPr>
      <w:rFonts w:ascii="Times New Roman" w:hAnsi="Times New Roman" w:eastAsia="宋体"/>
      <w:sz w:val="18"/>
      <w:szCs w:val="18"/>
    </w:rPr>
  </w:style>
  <w:style w:type="paragraph" w:customStyle="1" w:styleId="64">
    <w:name w:val="列表段落1"/>
    <w:basedOn w:val="1"/>
    <w:qFormat/>
    <w:uiPriority w:val="34"/>
    <w:pPr>
      <w:ind w:firstLine="420" w:firstLineChars="200"/>
    </w:pPr>
    <w:rPr>
      <w:rFonts w:ascii="Times New Roman" w:hAnsi="Times New Roman" w:eastAsia="宋体"/>
      <w:sz w:val="18"/>
      <w:szCs w:val="18"/>
    </w:rPr>
  </w:style>
  <w:style w:type="character" w:customStyle="1" w:styleId="65">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23491</Words>
  <Characters>24120</Characters>
  <Lines>823</Lines>
  <Paragraphs>463</Paragraphs>
  <TotalTime>0</TotalTime>
  <ScaleCrop>false</ScaleCrop>
  <LinksUpToDate>false</LinksUpToDate>
  <CharactersWithSpaces>24292</CharactersWithSpaces>
  <Application>WPS Office_10.8.0.6157_F1E327BC-269C-435d-A152-05C5408002CA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Administrator</cp:lastModifiedBy>
  <dcterms:modified xsi:type="dcterms:W3CDTF">2024-05-07T01:12:14Z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