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PWMR6BT7R9A0T9GRAR8PL0S7ZQMOXPREO0XLJDWXF88TFCT6IBR6CJUFY9HPB8RBNMXJOLYZH5D8LJJQSFAYFFT8RZ0WICBAFOOQHB3410113C2F5A3F2948ADD13562BBA94A9" Type="http://schemas.microsoft.com/office/2006/relationships/officeDocumentMain" Target="docProps/core.xml"/><Relationship Id="SZWM06GE79TQ06BGQPR8RL0J7NZMO7GR9F06FJDWXGORTECTN0BR6C0PFYRHPDRRBEMXOOLYZI778IXJQFFTQFFV8RFMWMLBANODYHB30F27AA2A87DBBE61231C91454E296773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南银理财珠联璧合鑫逸稳两年65期封闭式公募人民币理财产品发行公告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南银理财珠联璧合鑫逸稳两年65期封闭式公募人民币理财产品（产品登记编码：Z7003224000063）已于2024年03月26日结束募集，符合产品成立条件，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于2024年03月27日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成立。该产品募集金额464,975,011.00元，理财资金将按产品说明书约定进行投资。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2024年03月28日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DPWMR6BT7R9A0T9GRAR8PL0S7ZQMOXPREO0XLJDWXF88TFCT6IBR6CJUFY9HPB8RBNMXJOLYZH5D8LJJQSFAYFFT8RZ0WICBAFOOQHB3410113C2F5A3F2948ADD13562BBA94A9</vt:lpwstr>
  </property>
  <property fmtid="{D5CDD505-2E9C-101B-9397-08002B2CF9AE}" pid="5" name="_KSOProductBuildSID">
    <vt:lpwstr>SZWM06GE79TQ06BGQPR8RL0J7NZMO7GR9F06FJDWXGORTECTN0BR6C0PFYRHPDRRBEMXOOLYZI778IXJQFFTQFFV8RFMWMLBANODYHB30F27AA2A87DBBE61231C91454E296773</vt:lpwstr>
  </property>
</Properties>
</file>