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D994C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南银理财珠联璧合安稳1907一年定开公募人民币理财产品（ZF32003）</w:t>
      </w:r>
      <w:r w:rsidR="00E122B0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 xml:space="preserve">2026年10月2</w:t>
      </w:r>
      <w:r w:rsidR="00744B25">
        <w:rPr>
          <w:rFonts w:ascii="方正黑体简体" w:eastAsia="方正黑体简体" w:hAnsi="仿宋_GB2312" w:cs="仿宋_GB2312"/>
          <w:b/>
          <w:bCs/>
          <w:sz w:val="28"/>
          <w:szCs w:val="28"/>
        </w:rPr>
        <w:t xml:space="preserve">1</w:t>
      </w:r>
      <w:r w:rsidR="005416D6" w:rsidRPr="005416D6"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 xml:space="preserve">日</w:t>
      </w:r>
    </w:p>
    <w:p w14:paraId="44CEE900" w14:textId="77777777" w:rsidR="00B55BF8" w:rsidRDefault="00BD35D6">
      <w:pPr>
        <w:jc w:val="center"/>
        <w:rPr>
          <w:rFonts w:ascii="方正黑体简体" w:eastAsia="方正黑体简体" w:hAnsi="仿宋_GB2312" w:cs="仿宋_GB2312"/>
          <w:b/>
          <w:bCs/>
          <w:sz w:val="28"/>
          <w:szCs w:val="28"/>
        </w:rPr>
      </w:pPr>
      <w:r>
        <w:rPr>
          <w:rFonts w:ascii="方正黑体简体" w:eastAsia="方正黑体简体" w:hAnsi="仿宋_GB2312" w:cs="仿宋_GB2312" w:hint="eastAsia"/>
          <w:b/>
          <w:bCs/>
          <w:sz w:val="28"/>
          <w:szCs w:val="28"/>
        </w:rPr>
        <w:t>开放及净值公告</w:t>
      </w:r>
    </w:p>
    <w:p w14:paraId="50CD9085" w14:textId="77777777" w:rsidR="00B55BF8" w:rsidRDefault="00BD35D6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 w:val="28"/>
          <w:szCs w:val="28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792E3141" w14:textId="64D3F28F" w:rsidR="00B55BF8" w:rsidRDefault="008018CA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南银理财安稳1907一年定开-F3份额（私钻）（产品登记编码</w:t>
      </w:r>
      <w:r w:rsidR="003F1BC0">
        <w:rPr>
          <w:rFonts w:ascii="方正仿宋简体" w:eastAsia="方正仿宋简体" w:hAnsi="仿宋_GB2312" w:cs="仿宋_GB2312" w:hint="eastAsia"/>
          <w:szCs w:val="21"/>
        </w:rPr>
        <w:t>Z7003221000024</w:t>
      </w:r>
      <w:r>
        <w:rPr>
          <w:rFonts w:ascii="方正仿宋简体" w:eastAsia="方正仿宋简体" w:hAnsi="仿宋_GB2312" w:cs="仿宋_GB2312" w:hint="eastAsia"/>
          <w:szCs w:val="21"/>
        </w:rPr>
        <w:t>，内部销售代码ZF32003）</w:t>
      </w:r>
      <w:r w:rsidR="00BD35D6">
        <w:rPr>
          <w:rFonts w:ascii="方正仿宋简体" w:eastAsia="方正仿宋简体" w:hAnsi="仿宋_GB2312" w:cs="仿宋_GB2312" w:hint="eastAsia"/>
          <w:szCs w:val="21"/>
        </w:rPr>
        <w:t xml:space="preserve">于2026-10-15</w:t>
      </w:r>
      <w:r w:rsidR="00EB6BD2">
        <w:rPr>
          <w:rFonts w:ascii="方正仿宋简体" w:eastAsia="方正仿宋简体" w:hAnsi="仿宋_GB2312" w:cs="仿宋_GB2312" w:hint="eastAsia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 xml:space="preserve">至2026-10-21</w:t>
      </w:r>
      <w:r w:rsidR="000B54F8">
        <w:rPr>
          <w:rFonts w:ascii="方正仿宋简体" w:eastAsia="方正仿宋简体" w:hAnsi="仿宋_GB2312" w:cs="仿宋_GB2312" w:hint="eastAsia"/>
          <w:szCs w:val="21"/>
        </w:rPr>
        <w:t/>
      </w:r>
      <w:r w:rsidR="004C7547">
        <w:rPr>
          <w:rFonts w:ascii="方正仿宋简体" w:eastAsia="方正仿宋简体" w:hAnsi="仿宋_GB2312" w:cs="仿宋_GB2312"/>
          <w:szCs w:val="21"/>
        </w:rPr>
        <w:t/>
      </w:r>
      <w:r w:rsidR="00EC2602">
        <w:rPr>
          <w:rFonts w:ascii="方正仿宋简体" w:eastAsia="方正仿宋简体" w:hAnsi="仿宋_GB2312" w:cs="仿宋_GB2312" w:hint="eastAsia"/>
          <w:szCs w:val="21"/>
        </w:rPr>
        <w:t/>
      </w:r>
      <w:r w:rsidR="00EC2602">
        <w:rPr>
          <w:rFonts w:ascii="方正仿宋简体" w:eastAsia="方正仿宋简体" w:hAnsi="仿宋_GB2312" w:cs="仿宋_GB2312"/>
          <w:szCs w:val="21"/>
        </w:rPr>
        <w:t/>
      </w:r>
      <w:r w:rsidR="00BD35D6">
        <w:rPr>
          <w:rFonts w:ascii="方正仿宋简体" w:eastAsia="方正仿宋简体" w:hAnsi="仿宋_GB2312" w:cs="仿宋_GB2312" w:hint="eastAsia"/>
          <w:szCs w:val="21"/>
        </w:rPr>
        <w:t>开放申购/赎回。</w:t>
      </w:r>
    </w:p>
    <w:p w14:paraId="7C247CE0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520"/>
        <w:gridCol w:w="2487"/>
        <w:gridCol w:w="3519"/>
      </w:tblGrid>
      <w:tr w:rsidR="00B55BF8" w14:paraId="08B6E435" w14:textId="77777777" w:rsidTr="00732F26"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13DBB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9F9CA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07F77" w14:textId="77777777" w:rsidR="00B55BF8" w:rsidRDefault="00BD35D6" w:rsidP="008018CA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trHeight w:val="567"/>
          <w:jc w:val="center"/>
        </w:trPr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2027-11-18至2027-11-24</w:t>
            </w:r>
          </w:p>
        </w:tc>
        <w:tc>
          <w:tcPr>
            <w:tcW w:w="2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2027-11-24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 xml:space="preserve">2027-11-25</w:t>
            </w:r>
          </w:p>
        </w:tc>
      </w:tr>
    </w:tbl>
    <w:p w14:paraId="026C9E45" w14:textId="77777777" w:rsidR="00B55BF8" w:rsidRDefault="00BD35D6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  <w:r>
        <w:rPr>
          <w:rFonts w:ascii="方正仿宋简体" w:eastAsia="方正仿宋简体" w:hAnsi="仿宋_GB2312" w:cs="仿宋_GB2312" w:hint="eastAsia"/>
          <w:bCs/>
          <w:szCs w:val="21"/>
        </w:rPr>
        <w:t>近期净值信息：</w:t>
      </w:r>
    </w:p>
    <w:tbl>
      <w:tblPr>
        <w:tblW w:w="95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461"/>
        <w:gridCol w:w="1134"/>
        <w:gridCol w:w="1134"/>
        <w:gridCol w:w="1276"/>
        <w:gridCol w:w="1275"/>
        <w:gridCol w:w="1418"/>
        <w:gridCol w:w="1828"/>
      </w:tblGrid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</w:t>
            </w:r>
            <w:r>
              <w:rPr>
                <w:rFonts w:ascii="方正仿宋简体" w:eastAsia="方正仿宋简体" w:hAnsi="仿宋_GB2312" w:cs="仿宋_GB2312"/>
                <w:szCs w:val="21"/>
              </w:rPr>
              <w:t>确认日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本期封闭期</w:t>
            </w:r>
          </w:p>
        </w:tc>
      </w:tr>
      <w:tr w:rsidR="00732F26" w14:paraId="53C29E69" w14:textId="77777777" w:rsidTr="005B47F1">
        <w:trPr>
          <w:jc w:val="center"/>
        </w:trPr>
        <w:tc>
          <w:tcPr>
            <w:tcW w:w="1461" w:type="dxa"/>
            <w:vAlign w:val="center"/>
          </w:tcPr>
          <w:p w14:paraId="3A07E81D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2026-10-21</w:t>
            </w:r>
          </w:p>
        </w:tc>
        <w:tc>
          <w:tcPr>
            <w:tcW w:w="1134" w:type="dxa"/>
            <w:vAlign w:val="center"/>
          </w:tcPr>
          <w:p w14:paraId="5C60838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1.0012</w:t>
            </w:r>
          </w:p>
        </w:tc>
        <w:tc>
          <w:tcPr>
            <w:tcW w:w="1134" w:type="dxa"/>
            <w:vAlign w:val="center"/>
          </w:tcPr>
          <w:p w14:paraId="7DA236C4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1.0325</w:t>
            </w:r>
          </w:p>
        </w:tc>
        <w:tc>
          <w:tcPr>
            <w:tcW w:w="1276" w:type="dxa"/>
            <w:vAlign w:val="center"/>
          </w:tcPr>
          <w:p w14:paraId="531BF8E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1.0012</w:t>
            </w:r>
          </w:p>
        </w:tc>
        <w:tc>
          <w:tcPr>
            <w:tcW w:w="1275" w:type="dxa"/>
            <w:vAlign w:val="center"/>
          </w:tcPr>
          <w:p w14:paraId="7328D849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1.0012</w:t>
            </w:r>
          </w:p>
        </w:tc>
        <w:tc>
          <w:tcPr>
            <w:tcW w:w="1418" w:type="dxa"/>
            <w:vAlign w:val="center"/>
          </w:tcPr>
          <w:p w14:paraId="00FE59F7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-</w:t>
            </w:r>
          </w:p>
        </w:tc>
        <w:tc>
          <w:tcPr>
            <w:tcW w:w="1828" w:type="dxa"/>
            <w:vAlign w:val="center"/>
          </w:tcPr>
          <w:p w14:paraId="38CE0C82" w14:textId="77777777" w:rsidR="00732F26" w:rsidRDefault="00732F26" w:rsidP="008018CA">
            <w:pPr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 xml:space="preserve">-</w:t>
            </w:r>
          </w:p>
        </w:tc>
      </w:tr>
    </w:tbl>
    <w:p w14:paraId="7D204511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5A06A339" w14:textId="77777777" w:rsidR="00B55BF8" w:rsidRDefault="00BD35D6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2.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4BB099E6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3.本期投资运作参考年化收益率=（本期份额累计净值-上期份额累计净值）/上期份额净值/本期天数*365。</w:t>
      </w:r>
    </w:p>
    <w:p w14:paraId="510CDE60" w14:textId="77777777" w:rsidR="00B55BF8" w:rsidRDefault="00BD35D6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4.产品净值可能存在未扣除管理人及投资合作机构业绩报酬、赎回费等费用（如有）的情况，实际收益以兑付为准。</w:t>
      </w:r>
    </w:p>
    <w:p w14:paraId="75BBF033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45FAC0E0" w14:textId="77777777" w:rsidR="00B55BF8" w:rsidRDefault="00BD35D6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3FC61E07" w14:textId="77777777" w:rsidR="00B55BF8" w:rsidRDefault="00B55BF8">
      <w:pPr>
        <w:ind w:firstLineChars="200" w:firstLine="420"/>
        <w:rPr>
          <w:rFonts w:ascii="方正仿宋简体" w:eastAsia="方正仿宋简体" w:hAnsi="仿宋_GB2312" w:cs="仿宋_GB2312"/>
          <w:szCs w:val="21"/>
        </w:rPr>
      </w:pPr>
    </w:p>
    <w:p w14:paraId="2E7AC56A" w14:textId="77777777" w:rsidR="00B55BF8" w:rsidRDefault="00BD35D6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南银理财有限责任公司</w:t>
      </w:r>
    </w:p>
    <w:p w14:paraId="54ACE7FD" w14:textId="4A286BBA" w:rsidR="00B55BF8" w:rsidRPr="008612FE" w:rsidRDefault="00BD35D6" w:rsidP="008612FE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                                      2026年10月22日</w:t>
      </w:r>
    </w:p>
    <w:sectPr w:rsidR="00B55BF8" w:rsidRPr="008612FE" w:rsidSect="0073094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B0B27" w14:textId="77777777" w:rsidR="00137D66" w:rsidRDefault="00137D66" w:rsidP="008018CA">
      <w:r>
        <w:separator/>
      </w:r>
    </w:p>
  </w:endnote>
  <w:endnote w:type="continuationSeparator" w:id="0">
    <w:p w14:paraId="14F1B2D9" w14:textId="77777777" w:rsidR="00137D66" w:rsidRDefault="00137D66" w:rsidP="008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00E3D" w14:textId="77777777" w:rsidR="00137D66" w:rsidRDefault="00137D66" w:rsidP="008018CA">
      <w:r>
        <w:separator/>
      </w:r>
    </w:p>
  </w:footnote>
  <w:footnote w:type="continuationSeparator" w:id="0">
    <w:p w14:paraId="055C4048" w14:textId="77777777" w:rsidR="00137D66" w:rsidRDefault="00137D66" w:rsidP="00801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B55BF8"/>
    <w:rsid w:val="000B54F8"/>
    <w:rsid w:val="00137D66"/>
    <w:rsid w:val="00236B27"/>
    <w:rsid w:val="00243D50"/>
    <w:rsid w:val="003F1BC0"/>
    <w:rsid w:val="004C7547"/>
    <w:rsid w:val="005416D6"/>
    <w:rsid w:val="005B47F1"/>
    <w:rsid w:val="005B5E70"/>
    <w:rsid w:val="00730940"/>
    <w:rsid w:val="00732F26"/>
    <w:rsid w:val="00735010"/>
    <w:rsid w:val="00744B25"/>
    <w:rsid w:val="008018CA"/>
    <w:rsid w:val="008612FE"/>
    <w:rsid w:val="009A4388"/>
    <w:rsid w:val="00B55BF8"/>
    <w:rsid w:val="00BD35D6"/>
    <w:rsid w:val="00BF23C6"/>
    <w:rsid w:val="00E122B0"/>
    <w:rsid w:val="00EB6BD2"/>
    <w:rsid w:val="00EC2602"/>
    <w:rsid w:val="00ED70FC"/>
    <w:rsid w:val="1A1964ED"/>
    <w:rsid w:val="25F10A83"/>
    <w:rsid w:val="31D14FEF"/>
    <w:rsid w:val="3897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5D57D8"/>
  <w15:docId w15:val="{3C0E34CB-93AF-4867-839C-1CE9AAD8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0940"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18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018CA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018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018C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2025-09-15T02:37:00Z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268D71D4CFB14B2EA5E76F3F89148870</vt:lpwstr>
  </property>
</Properties>
</file>