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F9B" w:rsidRPr="00B82CFA" w:rsidRDefault="00646F9B" w:rsidP="00646F9B">
      <w:pPr>
        <w:spacing w:line="360" w:lineRule="auto"/>
        <w:ind w:firstLineChars="200" w:firstLine="560"/>
        <w:jc w:val="center"/>
        <w:rPr>
          <w:rFonts w:ascii="方正黑体简体" w:eastAsia="方正黑体简体"/>
          <w:sz w:val="28"/>
          <w:szCs w:val="28"/>
        </w:rPr>
      </w:pPr>
      <w:r w:rsidRPr="00B82CFA">
        <w:rPr>
          <w:rFonts w:ascii="方正黑体简体" w:eastAsia="方正黑体简体" w:hint="eastAsia"/>
          <w:sz w:val="28"/>
          <w:szCs w:val="28"/>
        </w:rPr>
        <w:t>关于</w:t>
      </w:r>
      <w:r w:rsidR="00D625CD" w:rsidRPr="00B82CFA">
        <w:rPr>
          <w:rFonts w:ascii="方正黑体简体" w:eastAsia="方正黑体简体" w:hAnsi="Verdana" w:cs="Verdana" w:hint="eastAsia"/>
          <w:sz w:val="28"/>
          <w:szCs w:val="28"/>
          <w:shd w:val="clear" w:color="auto" w:fill="FFFFFF"/>
        </w:rPr>
        <w:t>南银理财珠联璧合安稳1912一年定开公募人民币理财产品</w:t>
      </w:r>
      <w:r w:rsidR="00A90D87" w:rsidRPr="00A90D87">
        <w:rPr>
          <w:rFonts w:ascii="方正黑体简体" w:eastAsia="方正黑体简体" w:hAnsi="Verdana" w:cs="Verdana"/>
          <w:sz w:val="28"/>
          <w:szCs w:val="28"/>
          <w:shd w:val="clear" w:color="auto" w:fill="FFFFFF"/>
        </w:rPr>
        <w:t>2026年10月21日</w:t>
      </w:r>
      <w:r w:rsidR="007F54FF">
        <w:rPr>
          <w:rFonts w:ascii="方正黑体简体" w:eastAsia="方正黑体简体" w:hAnsi="Verdana" w:cs="Verdana" w:hint="eastAsia"/>
          <w:sz w:val="28"/>
          <w:szCs w:val="28"/>
          <w:shd w:val="clear" w:color="auto" w:fill="FFFFFF"/>
        </w:rPr>
        <w:t>调整</w:t>
      </w:r>
      <w:r w:rsidR="007E30E7">
        <w:rPr>
          <w:rFonts w:ascii="方正黑体简体" w:eastAsia="方正黑体简体" w:hAnsi="Verdana" w:cs="Verdana" w:hint="eastAsia"/>
          <w:sz w:val="28"/>
          <w:szCs w:val="28"/>
          <w:shd w:val="clear" w:color="auto" w:fill="FFFFFF"/>
        </w:rPr>
        <w:t>投资</w:t>
      </w:r>
      <w:r w:rsidRPr="00B82CFA">
        <w:rPr>
          <w:rFonts w:ascii="方正黑体简体" w:eastAsia="方正黑体简体" w:hAnsi="Verdana" w:cs="Verdana" w:hint="eastAsia"/>
          <w:sz w:val="28"/>
          <w:szCs w:val="28"/>
          <w:shd w:val="clear" w:color="auto" w:fill="FFFFFF"/>
        </w:rPr>
        <w:t>非标准化债权类资产</w:t>
      </w:r>
      <w:r w:rsidRPr="00B82CFA">
        <w:rPr>
          <w:rFonts w:ascii="方正黑体简体" w:eastAsia="方正黑体简体" w:hint="eastAsia"/>
          <w:sz w:val="28"/>
          <w:szCs w:val="28"/>
        </w:rPr>
        <w:t>公告</w:t>
      </w:r>
    </w:p>
    <w:p w:rsidR="00646F9B" w:rsidRDefault="00646F9B" w:rsidP="00646F9B">
      <w:pPr>
        <w:spacing w:line="360" w:lineRule="auto"/>
        <w:ind w:firstLineChars="200" w:firstLine="440"/>
        <w:rPr>
          <w:sz w:val="22"/>
        </w:rPr>
      </w:pPr>
    </w:p>
    <w:tbl>
      <w:tblPr>
        <w:tblStyle w:val="a5"/>
        <w:tblW w:w="9180" w:type="dxa"/>
        <w:jc w:val="center"/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ook w:val="04A0"/>
      </w:tblPr>
      <w:tblGrid>
        <w:gridCol w:w="2518"/>
        <w:gridCol w:w="6662"/>
      </w:tblGrid>
      <w:tr w:rsidR="00646F9B" w:rsidRPr="00B82CFA" w:rsidTr="00B001FC">
        <w:tc>
          <w:tcPr>
            <w:tcW w:w="9180" w:type="dxa"/>
            <w:gridSpan w:val="2"/>
          </w:tcPr>
          <w:p w:rsidR="00646F9B" w:rsidRPr="00B82CFA" w:rsidRDefault="00646F9B" w:rsidP="00B001FC">
            <w:pPr>
              <w:spacing w:line="360" w:lineRule="auto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1、理财产品基本信息</w:t>
            </w:r>
          </w:p>
        </w:tc>
      </w:tr>
      <w:tr w:rsidR="00646F9B" w:rsidRPr="00B82CFA" w:rsidTr="00B001FC">
        <w:tc>
          <w:tcPr>
            <w:tcW w:w="2518" w:type="dxa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产品名称</w:t>
            </w:r>
          </w:p>
        </w:tc>
        <w:tc>
          <w:tcPr>
            <w:tcW w:w="6662" w:type="dxa"/>
          </w:tcPr>
          <w:p w:rsidR="00646F9B" w:rsidRPr="00B82CFA" w:rsidRDefault="003F4F93" w:rsidP="003F4F93">
            <w:pPr>
              <w:spacing w:line="360" w:lineRule="auto"/>
              <w:rPr>
                <w:rFonts w:ascii="方正仿宋简体" w:eastAsia="方正仿宋简体" w:hAnsi="仿宋_GB2312" w:cs="仿宋_GB2312"/>
                <w:kern w:val="2"/>
                <w:sz w:val="24"/>
                <w:szCs w:val="24"/>
              </w:rPr>
            </w:pPr>
            <w:r w:rsidRPr="00B82CFA">
              <w:rPr>
                <w:rFonts w:ascii="方正仿宋简体" w:eastAsia="方正仿宋简体" w:hAnsi="仿宋_GB2312" w:cs="仿宋_GB2312" w:hint="eastAsia"/>
                <w:kern w:val="2"/>
                <w:sz w:val="24"/>
                <w:szCs w:val="24"/>
              </w:rPr>
              <w:t>南银理财珠联璧合安稳1912一年定开公募人民币理财产品</w:t>
            </w:r>
          </w:p>
        </w:tc>
      </w:tr>
      <w:tr w:rsidR="00646F9B" w:rsidRPr="00B82CFA" w:rsidTr="00B001FC">
        <w:tc>
          <w:tcPr>
            <w:tcW w:w="2518" w:type="dxa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产品代码</w:t>
            </w:r>
          </w:p>
        </w:tc>
        <w:tc>
          <w:tcPr>
            <w:tcW w:w="6662" w:type="dxa"/>
          </w:tcPr>
          <w:p w:rsidR="00646F9B" w:rsidRPr="00B82CFA" w:rsidRDefault="00D625CD" w:rsidP="00B001FC">
            <w:pPr>
              <w:spacing w:line="360" w:lineRule="auto"/>
              <w:rPr>
                <w:rFonts w:ascii="方正仿宋简体" w:eastAsia="方正仿宋简体" w:hAnsi="仿宋_GB2312" w:cs="仿宋_GB2312"/>
                <w:kern w:val="2"/>
                <w:sz w:val="24"/>
                <w:szCs w:val="24"/>
              </w:rPr>
            </w:pPr>
            <w:r w:rsidRPr="00B82CFA">
              <w:rPr>
                <w:rFonts w:ascii="方正仿宋简体" w:eastAsia="方正仿宋简体" w:hAnsi="仿宋_GB2312" w:cs="仿宋_GB2312" w:hint="eastAsia"/>
                <w:kern w:val="2"/>
                <w:sz w:val="24"/>
                <w:szCs w:val="24"/>
              </w:rPr>
              <w:t>ZC108691944661</w:t>
            </w:r>
          </w:p>
        </w:tc>
      </w:tr>
      <w:tr w:rsidR="00646F9B" w:rsidRPr="00B82CFA" w:rsidTr="00B001FC">
        <w:tc>
          <w:tcPr>
            <w:tcW w:w="2518" w:type="dxa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销售代码</w:t>
            </w:r>
          </w:p>
        </w:tc>
        <w:tc>
          <w:tcPr>
            <w:tcW w:w="6662" w:type="dxa"/>
          </w:tcPr>
          <w:p w:rsidR="00646F9B" w:rsidRPr="00B82CFA" w:rsidRDefault="00D625CD" w:rsidP="00D625CD">
            <w:pPr>
              <w:spacing w:line="360" w:lineRule="auto"/>
              <w:rPr>
                <w:rFonts w:ascii="方正仿宋简体" w:eastAsia="方正仿宋简体" w:hAnsi="仿宋_GB2312" w:cs="仿宋_GB2312"/>
                <w:kern w:val="2"/>
                <w:sz w:val="24"/>
                <w:szCs w:val="24"/>
              </w:rPr>
            </w:pPr>
            <w:r w:rsidRPr="00B82CFA">
              <w:rPr>
                <w:rFonts w:ascii="方正仿宋简体" w:eastAsia="方正仿宋简体" w:hAnsi="仿宋_GB2312" w:cs="仿宋_GB2312" w:hint="eastAsia"/>
                <w:kern w:val="2"/>
                <w:sz w:val="24"/>
                <w:szCs w:val="24"/>
              </w:rPr>
              <w:t>Z30008、ZA32008、Z32008、Z33008、ZA30008、ZA33008、ZA31008、Z31008、NYAW000536、NYAW000558、NYAW000552、NYAW000557、NYAW000534、NYAW000525、NYAW000548、NYAW000556、NYAW000554、NYAW000543、NYAW000541、NYAW000549、NYAW000528、NYAW000516、NYAW000545、NYAW000523、NYAW000540、NYAW000535、NYAW000555、NYAW000538、NYAW000550、NYAW000546、NYAW000529、NYAW000517、NYAW000547、NYAW000531、NYAW000533、NYAW000519、NYAW000521、NYAW000524、NYAW000559、NYAW000530、NYAW000526、NYAW000551、NYAW000522、NYAW000544、NYAW000537、NYAW000532、NYAW000527、NYAW000539、NYAW000520、NYAW000542、NYAW000553、NYAW000518</w:t>
            </w:r>
          </w:p>
        </w:tc>
      </w:tr>
      <w:tr w:rsidR="00646F9B" w:rsidRPr="00B82CFA" w:rsidTr="00B001FC">
        <w:tc>
          <w:tcPr>
            <w:tcW w:w="2518" w:type="dxa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产品成立日</w:t>
            </w:r>
          </w:p>
        </w:tc>
        <w:tc>
          <w:tcPr>
            <w:tcW w:w="6662" w:type="dxa"/>
          </w:tcPr>
          <w:p w:rsidR="00646F9B" w:rsidRPr="00B82CFA" w:rsidRDefault="00F902BF" w:rsidP="00F902BF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Ansi="仿宋_GB2312" w:cs="仿宋_GB2312" w:hint="eastAsia"/>
                <w:kern w:val="2"/>
                <w:sz w:val="24"/>
                <w:szCs w:val="24"/>
              </w:rPr>
              <w:t>2019年12月05日</w:t>
            </w:r>
          </w:p>
        </w:tc>
      </w:tr>
      <w:tr w:rsidR="00646F9B" w:rsidRPr="00B82CFA" w:rsidTr="00B001FC">
        <w:tc>
          <w:tcPr>
            <w:tcW w:w="2518" w:type="dxa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非标资产投资变更日期</w:t>
            </w:r>
          </w:p>
        </w:tc>
        <w:tc>
          <w:tcPr>
            <w:tcW w:w="6662" w:type="dxa"/>
          </w:tcPr>
          <w:p w:rsidR="00646F9B" w:rsidRPr="00B82CFA" w:rsidRDefault="00F902BF" w:rsidP="00F902BF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Ansi="仿宋_GB2312" w:cs="仿宋_GB2312" w:hint="eastAsia"/>
                <w:kern w:val="2"/>
                <w:sz w:val="24"/>
                <w:szCs w:val="24"/>
              </w:rPr>
              <w:t>2026年10月20日</w:t>
            </w:r>
          </w:p>
        </w:tc>
      </w:tr>
    </w:tbl>
    <w:p w:rsidR="00646F9B" w:rsidRPr="00B82CFA" w:rsidRDefault="00646F9B" w:rsidP="00646F9B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</w:p>
    <w:p w:rsidR="00646F9B" w:rsidRPr="00B82CFA" w:rsidRDefault="00646F9B" w:rsidP="00646F9B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10597" w:type="dxa"/>
        <w:jc w:val="center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4" w:space="0" w:color="auto"/>
          <w:insideV w:val="single" w:sz="4" w:space="0" w:color="auto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000"/>
      </w:tblPr>
      <w:tblGrid>
        <w:gridCol w:w="707"/>
        <w:gridCol w:w="1277"/>
        <w:gridCol w:w="1417"/>
        <w:gridCol w:w="1701"/>
        <w:gridCol w:w="1679"/>
        <w:gridCol w:w="1582"/>
        <w:gridCol w:w="1134"/>
        <w:gridCol w:w="1100"/>
      </w:tblGrid>
      <w:tr w:rsidR="008340A5" w:rsidRPr="00B82CFA" w:rsidTr="00B001FC">
        <w:trPr>
          <w:jc w:val="center"/>
        </w:trPr>
        <w:tc>
          <w:tcPr>
            <w:tcW w:w="10597" w:type="dxa"/>
            <w:gridSpan w:val="8"/>
          </w:tcPr>
          <w:p w:rsidR="008340A5" w:rsidRPr="00B82CFA" w:rsidRDefault="008340A5" w:rsidP="008340A5">
            <w:pPr>
              <w:spacing w:line="360" w:lineRule="auto"/>
              <w:ind w:firstLineChars="200" w:firstLine="48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2、增加的非标准化资产明细</w:t>
            </w:r>
          </w:p>
        </w:tc>
      </w:tr>
      <w:tr w:rsidR="00646F9B" w:rsidRPr="00B82CFA" w:rsidTr="003F4F93">
        <w:trPr>
          <w:jc w:val="center"/>
        </w:trPr>
        <w:tc>
          <w:tcPr>
            <w:tcW w:w="707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序号</w:t>
            </w:r>
          </w:p>
        </w:tc>
        <w:tc>
          <w:tcPr>
            <w:tcW w:w="1277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交易日期</w:t>
            </w:r>
          </w:p>
        </w:tc>
        <w:tc>
          <w:tcPr>
            <w:tcW w:w="1417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融资客户</w:t>
            </w:r>
          </w:p>
        </w:tc>
        <w:tc>
          <w:tcPr>
            <w:tcW w:w="1701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项目名称</w:t>
            </w:r>
          </w:p>
        </w:tc>
        <w:tc>
          <w:tcPr>
            <w:tcW w:w="1679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剩余融资期限（天）</w:t>
            </w:r>
          </w:p>
        </w:tc>
        <w:tc>
          <w:tcPr>
            <w:tcW w:w="1582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到期收益分配</w:t>
            </w:r>
          </w:p>
        </w:tc>
        <w:tc>
          <w:tcPr>
            <w:tcW w:w="1134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交易结构</w:t>
            </w:r>
          </w:p>
        </w:tc>
        <w:tc>
          <w:tcPr>
            <w:tcW w:w="1100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风险状况</w:t>
            </w:r>
          </w:p>
        </w:tc>
      </w:tr>
      <w:tr>
        <w:trPr>
          <w:jc w:val="center"/>
        </w:trPr>
        <w:tc>
          <w:tcPr>
            <w:tcW w:w="707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277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417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701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679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582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134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100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</w:tr>
    </w:tbl>
    <w:p w:rsidR="00B82CFA" w:rsidRPr="00B82CFA" w:rsidRDefault="00B82CFA" w:rsidP="00B82CFA">
      <w:pPr>
        <w:spacing w:line="360" w:lineRule="auto"/>
        <w:rPr>
          <w:rFonts w:ascii="方正仿宋简体" w:eastAsia="方正仿宋简体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10598" w:type="dxa"/>
        <w:jc w:val="center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4" w:space="0" w:color="auto"/>
          <w:insideV w:val="single" w:sz="4" w:space="0" w:color="auto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000"/>
      </w:tblPr>
      <w:tblGrid>
        <w:gridCol w:w="708"/>
        <w:gridCol w:w="1276"/>
        <w:gridCol w:w="1417"/>
        <w:gridCol w:w="1701"/>
        <w:gridCol w:w="1574"/>
        <w:gridCol w:w="1695"/>
        <w:gridCol w:w="1272"/>
        <w:gridCol w:w="955"/>
      </w:tblGrid>
      <w:tr w:rsidR="001B7B78" w:rsidRPr="00B82CFA" w:rsidTr="00B001FC">
        <w:trPr>
          <w:jc w:val="center"/>
        </w:trPr>
        <w:tc>
          <w:tcPr>
            <w:tcW w:w="10598" w:type="dxa"/>
            <w:gridSpan w:val="8"/>
          </w:tcPr>
          <w:p w:rsidR="001B7B78" w:rsidRPr="00B82CFA" w:rsidRDefault="008340A5" w:rsidP="008340A5">
            <w:pPr>
              <w:spacing w:line="360" w:lineRule="auto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lastRenderedPageBreak/>
              <w:t>3、减少的非标准化资产明细</w:t>
            </w:r>
          </w:p>
        </w:tc>
      </w:tr>
      <w:tr w:rsidR="00646F9B" w:rsidRPr="00B82CFA" w:rsidTr="003F4F93">
        <w:trPr>
          <w:jc w:val="center"/>
        </w:trPr>
        <w:tc>
          <w:tcPr>
            <w:tcW w:w="708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序号</w:t>
            </w:r>
          </w:p>
        </w:tc>
        <w:tc>
          <w:tcPr>
            <w:tcW w:w="1276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交易日期</w:t>
            </w:r>
          </w:p>
        </w:tc>
        <w:tc>
          <w:tcPr>
            <w:tcW w:w="1417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融资客户</w:t>
            </w:r>
          </w:p>
        </w:tc>
        <w:tc>
          <w:tcPr>
            <w:tcW w:w="1701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项目名称</w:t>
            </w:r>
          </w:p>
        </w:tc>
        <w:tc>
          <w:tcPr>
            <w:tcW w:w="1574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剩余融资期限（天）</w:t>
            </w:r>
          </w:p>
        </w:tc>
        <w:tc>
          <w:tcPr>
            <w:tcW w:w="1695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到期收益分配</w:t>
            </w:r>
          </w:p>
        </w:tc>
        <w:tc>
          <w:tcPr>
            <w:tcW w:w="1272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交易结构</w:t>
            </w:r>
          </w:p>
        </w:tc>
        <w:tc>
          <w:tcPr>
            <w:tcW w:w="955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风险状况</w:t>
            </w:r>
          </w:p>
        </w:tc>
      </w:tr>
      <w:tr>
        <w:trPr>
          <w:jc w:val="center"/>
        </w:trPr>
        <w:tc>
          <w:tcPr>
            <w:tcW w:w="708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1</w:t>
            </w:r>
          </w:p>
        </w:tc>
        <w:tc>
          <w:tcPr>
            <w:tcW w:w="1276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2026年10月20日</w:t>
            </w:r>
          </w:p>
        </w:tc>
        <w:tc>
          <w:tcPr>
            <w:tcW w:w="1417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蚂蚁星河(重庆)信息技术有限公司</w:t>
            </w:r>
          </w:p>
        </w:tc>
        <w:tc>
          <w:tcPr>
            <w:tcW w:w="1701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光大永明-安鑫7号资产支持计划（第6期）优先级</w:t>
            </w:r>
          </w:p>
        </w:tc>
        <w:tc>
          <w:tcPr>
            <w:tcW w:w="1574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0</w:t>
            </w:r>
          </w:p>
        </w:tc>
        <w:tc>
          <w:tcPr>
            <w:tcW w:w="1695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每月一次</w:t>
            </w:r>
          </w:p>
        </w:tc>
        <w:tc>
          <w:tcPr>
            <w:tcW w:w="1272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资产证券化(债权型)</w:t>
            </w:r>
          </w:p>
        </w:tc>
        <w:tc>
          <w:tcPr>
            <w:tcW w:w="955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正常</w:t>
            </w:r>
          </w:p>
        </w:tc>
      </w:tr>
      <w:tr>
        <w:trPr>
          <w:jc w:val="center"/>
        </w:trPr>
        <w:tc>
          <w:tcPr>
            <w:tcW w:w="708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2</w:t>
            </w:r>
          </w:p>
        </w:tc>
        <w:tc>
          <w:tcPr>
            <w:tcW w:w="1276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2026年10月20日</w:t>
            </w:r>
          </w:p>
        </w:tc>
        <w:tc>
          <w:tcPr>
            <w:tcW w:w="1417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深圳面包星辰科技有限公司</w:t>
            </w:r>
          </w:p>
        </w:tc>
        <w:tc>
          <w:tcPr>
            <w:tcW w:w="1701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外贸信托臻璟系列集合资金信托计划84期</w:t>
            </w:r>
          </w:p>
        </w:tc>
        <w:tc>
          <w:tcPr>
            <w:tcW w:w="1574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0</w:t>
            </w:r>
          </w:p>
        </w:tc>
        <w:tc>
          <w:tcPr>
            <w:tcW w:w="1695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不规则付息</w:t>
            </w:r>
          </w:p>
        </w:tc>
        <w:tc>
          <w:tcPr>
            <w:tcW w:w="1272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信托贷款</w:t>
            </w:r>
          </w:p>
        </w:tc>
        <w:tc>
          <w:tcPr>
            <w:tcW w:w="955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正常</w:t>
            </w:r>
          </w:p>
        </w:tc>
      </w:tr>
    </w:tbl>
    <w:p w:rsidR="00646F9B" w:rsidRPr="00B82CFA" w:rsidRDefault="00646F9B" w:rsidP="00646F9B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</w:p>
    <w:p w:rsidR="00646F9B" w:rsidRPr="00B82CFA" w:rsidRDefault="00646F9B" w:rsidP="00646F9B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</w:p>
    <w:p w:rsidR="00646F9B" w:rsidRPr="00B82CFA" w:rsidRDefault="00646F9B" w:rsidP="00646F9B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</w:p>
    <w:p w:rsidR="00646F9B" w:rsidRDefault="00646F9B" w:rsidP="00646F9B">
      <w:pPr>
        <w:spacing w:line="360" w:lineRule="auto"/>
        <w:ind w:firstLineChars="200" w:firstLine="440"/>
        <w:rPr>
          <w:sz w:val="22"/>
        </w:rPr>
      </w:pPr>
    </w:p>
    <w:p w:rsidR="00646F9B" w:rsidRPr="00B82CFA" w:rsidRDefault="00646F9B" w:rsidP="00646F9B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  <w:r w:rsidRPr="00B82CFA">
        <w:rPr>
          <w:rFonts w:ascii="方正仿宋简体" w:eastAsia="方正仿宋简体" w:hint="eastAsia"/>
          <w:sz w:val="24"/>
          <w:szCs w:val="24"/>
        </w:rPr>
        <w:t>如您对本公告有任何疑问，可联系本理财产品代销机构或本公司，代销机构及本公司将竭诚为您服务。</w:t>
      </w:r>
    </w:p>
    <w:p w:rsidR="00646F9B" w:rsidRDefault="00646F9B" w:rsidP="00646F9B">
      <w:pPr>
        <w:spacing w:line="360" w:lineRule="auto"/>
        <w:ind w:firstLineChars="200" w:firstLine="480"/>
        <w:rPr>
          <w:sz w:val="22"/>
        </w:rPr>
      </w:pPr>
      <w:r w:rsidRPr="00B82CFA">
        <w:rPr>
          <w:rFonts w:ascii="方正仿宋简体" w:eastAsia="方正仿宋简体" w:hint="eastAsia"/>
          <w:sz w:val="24"/>
          <w:szCs w:val="24"/>
        </w:rPr>
        <w:t>感谢您一直以来的支持和信赖！</w:t>
      </w:r>
    </w:p>
    <w:p w:rsidR="00646F9B" w:rsidRDefault="00646F9B" w:rsidP="00646F9B">
      <w:pPr>
        <w:pStyle w:val="1"/>
        <w:rPr>
          <w:sz w:val="22"/>
        </w:rPr>
      </w:pPr>
    </w:p>
    <w:p w:rsidR="00646F9B" w:rsidRPr="00B82CFA" w:rsidRDefault="00646F9B" w:rsidP="00646F9B">
      <w:pPr>
        <w:spacing w:line="360" w:lineRule="auto"/>
        <w:ind w:firstLineChars="200" w:firstLine="480"/>
        <w:jc w:val="right"/>
        <w:rPr>
          <w:rFonts w:ascii="方正仿宋简体" w:eastAsia="方正仿宋简体"/>
          <w:sz w:val="24"/>
          <w:szCs w:val="24"/>
        </w:rPr>
      </w:pPr>
      <w:r w:rsidRPr="00B82CFA">
        <w:rPr>
          <w:rFonts w:ascii="方正仿宋简体" w:eastAsia="方正仿宋简体" w:hint="eastAsia"/>
          <w:sz w:val="24"/>
          <w:szCs w:val="24"/>
        </w:rPr>
        <w:t>南银理财有限责任公司</w:t>
      </w:r>
    </w:p>
    <w:p w:rsidR="00984DCF" w:rsidRPr="00D641DA" w:rsidRDefault="00F902BF" w:rsidP="00D641DA">
      <w:pPr>
        <w:spacing w:line="360" w:lineRule="auto"/>
        <w:ind w:firstLineChars="200" w:firstLine="480"/>
        <w:jc w:val="right"/>
        <w:rPr>
          <w:rFonts w:ascii="方正仿宋简体" w:eastAsia="方正仿宋简体" w:hAnsi="Verdana" w:cs="Verdana"/>
          <w:sz w:val="24"/>
          <w:szCs w:val="24"/>
          <w:shd w:val="clear" w:color="auto" w:fill="FFFFFF"/>
        </w:rPr>
      </w:pPr>
      <w:r w:rsidRPr="00B82CFA">
        <w:rPr>
          <w:rFonts w:ascii="方正仿宋简体" w:eastAsia="方正仿宋简体" w:hAnsi="仿宋_GB2312" w:cs="仿宋_GB2312" w:hint="eastAsia"/>
          <w:sz w:val="24"/>
          <w:szCs w:val="24"/>
        </w:rPr>
        <w:t>2026年10月21日</w:t>
      </w:r>
    </w:p>
    <w:sectPr w:rsidR="00984DCF" w:rsidRPr="00D641DA" w:rsidSect="00434B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7968" w:rsidRDefault="007F7968" w:rsidP="00646F9B">
      <w:r>
        <w:separator/>
      </w:r>
    </w:p>
  </w:endnote>
  <w:endnote w:type="continuationSeparator" w:id="1">
    <w:p w:rsidR="007F7968" w:rsidRDefault="007F7968" w:rsidP="00646F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简体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仿宋简体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7968" w:rsidRDefault="007F7968" w:rsidP="00646F9B">
      <w:r>
        <w:separator/>
      </w:r>
    </w:p>
  </w:footnote>
  <w:footnote w:type="continuationSeparator" w:id="1">
    <w:p w:rsidR="007F7968" w:rsidRDefault="007F7968" w:rsidP="00646F9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C5DCF"/>
    <w:rsid w:val="0006298F"/>
    <w:rsid w:val="00124C88"/>
    <w:rsid w:val="001B7B78"/>
    <w:rsid w:val="003D137C"/>
    <w:rsid w:val="003F4F93"/>
    <w:rsid w:val="00405CDB"/>
    <w:rsid w:val="004329B8"/>
    <w:rsid w:val="004C0CB6"/>
    <w:rsid w:val="0064271C"/>
    <w:rsid w:val="00646F9B"/>
    <w:rsid w:val="00714FDD"/>
    <w:rsid w:val="007378D2"/>
    <w:rsid w:val="00793FDD"/>
    <w:rsid w:val="007E30E7"/>
    <w:rsid w:val="007F54FF"/>
    <w:rsid w:val="007F7968"/>
    <w:rsid w:val="008340A5"/>
    <w:rsid w:val="00834388"/>
    <w:rsid w:val="00870DDB"/>
    <w:rsid w:val="00882F95"/>
    <w:rsid w:val="00984DCF"/>
    <w:rsid w:val="009966B9"/>
    <w:rsid w:val="00A90D87"/>
    <w:rsid w:val="00A97B16"/>
    <w:rsid w:val="00B82CFA"/>
    <w:rsid w:val="00C02B4D"/>
    <w:rsid w:val="00C118B5"/>
    <w:rsid w:val="00C239EA"/>
    <w:rsid w:val="00CC5DCF"/>
    <w:rsid w:val="00D21766"/>
    <w:rsid w:val="00D625CD"/>
    <w:rsid w:val="00D641DA"/>
    <w:rsid w:val="00E51978"/>
    <w:rsid w:val="00E534F4"/>
    <w:rsid w:val="00E83786"/>
    <w:rsid w:val="00F125A6"/>
    <w:rsid w:val="00F13F53"/>
    <w:rsid w:val="00F64093"/>
    <w:rsid w:val="00F90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0A5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46F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46F9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46F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46F9B"/>
    <w:rPr>
      <w:sz w:val="18"/>
      <w:szCs w:val="18"/>
    </w:rPr>
  </w:style>
  <w:style w:type="paragraph" w:customStyle="1" w:styleId="1">
    <w:name w:val="引文目录1"/>
    <w:basedOn w:val="a"/>
    <w:next w:val="a"/>
    <w:qFormat/>
    <w:rsid w:val="00646F9B"/>
    <w:pPr>
      <w:ind w:leftChars="200" w:left="420"/>
    </w:pPr>
  </w:style>
  <w:style w:type="table" w:styleId="a5">
    <w:name w:val="Table Grid"/>
    <w:basedOn w:val="a1"/>
    <w:rsid w:val="00646F9B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2023-11-10T03:01:00Z</dcterms:created>
  <dc:creator>admin</dc:creator>
  <cp:lastModifiedBy>yytx</cp:lastModifiedBy>
  <dcterms:modified xsi:type="dcterms:W3CDTF">2025-09-05T09:22:00Z</dcterms:modified>
  <cp:revision>27</cp:revision>
</cp:coreProperties>
</file>