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关于南银理财鼎瑞行稳一年定开2024第</w:t>
      </w:r>
      <w:r>
        <w:rPr>
          <w:rFonts w:hint="eastAsia" w:ascii="方正黑体_GBK" w:hAnsi="方正黑体_GBK" w:eastAsia="方正黑体_GBK" w:cs="方正黑体_GBK"/>
          <w:sz w:val="30"/>
          <w:szCs w:val="30"/>
          <w:lang w:val="en-US" w:eastAsia="zh-CN"/>
        </w:rPr>
        <w:t>3</w:t>
      </w:r>
      <w:r>
        <w:rPr>
          <w:rFonts w:hint="eastAsia" w:ascii="方正黑体_GBK" w:hAnsi="方正黑体_GBK" w:eastAsia="方正黑体_GBK" w:cs="方正黑体_GBK"/>
          <w:sz w:val="30"/>
          <w:szCs w:val="30"/>
        </w:rPr>
        <w:t>期公募人民币理财产品部分要素调整的公告</w:t>
      </w:r>
    </w:p>
    <w:p>
      <w:pPr>
        <w:adjustRightInd w:val="0"/>
        <w:spacing w:line="360" w:lineRule="auto"/>
        <w:ind w:firstLine="480" w:firstLineChars="200"/>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尊敬的投资者：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sz w:val="24"/>
        </w:rPr>
        <w:t>根据产品实际投资运作及市场变化情况，并结合产品说明书的相关约定，管理人将对南银理财鼎瑞行稳一年定开2024第</w:t>
      </w:r>
      <w:r>
        <w:rPr>
          <w:rFonts w:hint="eastAsia" w:ascii="方正黑体_GBK" w:hAnsi="方正黑体_GBK" w:eastAsia="方正黑体_GBK" w:cs="方正黑体_GBK"/>
          <w:color w:val="000000"/>
          <w:sz w:val="24"/>
          <w:lang w:val="en-US" w:eastAsia="zh-CN"/>
        </w:rPr>
        <w:t>3</w:t>
      </w:r>
      <w:bookmarkStart w:id="0" w:name="_GoBack"/>
      <w:bookmarkEnd w:id="0"/>
      <w:r>
        <w:rPr>
          <w:rFonts w:hint="eastAsia" w:ascii="方正黑体_GBK" w:hAnsi="方正黑体_GBK" w:eastAsia="方正黑体_GBK" w:cs="方正黑体_GBK"/>
          <w:color w:val="000000"/>
          <w:sz w:val="24"/>
        </w:rPr>
        <w:t>期公募人民币理财产品（产品登记编码：Z7003224000186；产</w:t>
      </w:r>
      <w:r>
        <w:rPr>
          <w:rFonts w:hint="eastAsia" w:ascii="方正黑体_GBK" w:hAnsi="方正黑体_GBK" w:eastAsia="方正黑体_GBK" w:cs="方正黑体_GBK"/>
          <w:color w:val="000000"/>
          <w:sz w:val="24"/>
        </w:rPr>
        <w:t>品代码：</w:t>
      </w:r>
      <w:r>
        <w:rPr>
          <w:rFonts w:hint="eastAsia" w:ascii="方正黑体_GBK" w:hAnsi="方正黑体_GBK" w:eastAsia="方正黑体_GBK" w:cs="方正黑体_GBK"/>
          <w:color w:val="000000"/>
          <w:sz w:val="24"/>
          <w:lang w:val="en-US" w:eastAsia="zh-CN"/>
        </w:rPr>
        <w:t>ZZ700322400387</w:t>
      </w:r>
      <w:r>
        <w:rPr>
          <w:rFonts w:hint="eastAsia" w:ascii="方正黑体_GBK" w:hAnsi="方正黑体_GBK" w:eastAsia="方正黑体_GBK" w:cs="方正黑体_GBK"/>
          <w:color w:val="000000"/>
          <w:sz w:val="24"/>
        </w:rPr>
        <w:t>）部分</w:t>
      </w:r>
      <w:r>
        <w:rPr>
          <w:rFonts w:hint="eastAsia" w:ascii="方正黑体_GBK" w:hAnsi="方正黑体_GBK" w:eastAsia="方正黑体_GBK" w:cs="方正黑体_GBK"/>
          <w:color w:val="000000"/>
          <w:sz w:val="24"/>
        </w:rPr>
        <w:t>要素进行调整，具体内容如下：</w:t>
      </w:r>
    </w:p>
    <w:tbl>
      <w:tblPr>
        <w:tblStyle w:val="2"/>
        <w:tblW w:w="50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6"/>
        <w:gridCol w:w="1148"/>
        <w:gridCol w:w="2649"/>
        <w:gridCol w:w="2366"/>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0" w:type="pct"/>
            <w:vAlign w:val="center"/>
          </w:tcPr>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份额代码</w:t>
            </w:r>
          </w:p>
        </w:tc>
        <w:tc>
          <w:tcPr>
            <w:tcW w:w="686" w:type="pct"/>
            <w:vAlign w:val="center"/>
          </w:tcPr>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调整的要素</w:t>
            </w:r>
          </w:p>
        </w:tc>
        <w:tc>
          <w:tcPr>
            <w:tcW w:w="1583" w:type="pct"/>
            <w:vAlign w:val="center"/>
          </w:tcPr>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调整前</w:t>
            </w:r>
          </w:p>
        </w:tc>
        <w:tc>
          <w:tcPr>
            <w:tcW w:w="1414" w:type="pct"/>
            <w:vAlign w:val="center"/>
          </w:tcPr>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调整后</w:t>
            </w:r>
          </w:p>
        </w:tc>
        <w:tc>
          <w:tcPr>
            <w:tcW w:w="754" w:type="pct"/>
            <w:vAlign w:val="center"/>
          </w:tcPr>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生效日期</w:t>
            </w:r>
          </w:p>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0" w:type="pct"/>
            <w:vAlign w:val="center"/>
          </w:tcPr>
          <w:p>
            <w:pPr>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Z1003</w:t>
            </w:r>
            <w:r>
              <w:rPr>
                <w:rFonts w:hint="eastAsia" w:ascii="方正黑体_GBK" w:hAnsi="方正黑体_GBK" w:eastAsia="方正黑体_GBK" w:cs="方正黑体_GBK"/>
                <w:sz w:val="21"/>
                <w:szCs w:val="21"/>
                <w:lang w:val="en-US" w:eastAsia="zh-CN"/>
              </w:rPr>
              <w:t>9</w:t>
            </w:r>
          </w:p>
        </w:tc>
        <w:tc>
          <w:tcPr>
            <w:tcW w:w="686" w:type="pct"/>
            <w:vAlign w:val="center"/>
          </w:tcPr>
          <w:p>
            <w:pPr>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投资范围</w:t>
            </w:r>
          </w:p>
        </w:tc>
        <w:tc>
          <w:tcPr>
            <w:tcW w:w="1583" w:type="pct"/>
            <w:vAlign w:val="center"/>
          </w:tcPr>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本理财产品募集的资金投资于以下金融资产和金融工具，包括但不限于：</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1.现金、银行存款、银行承兑汇票、同业存款、大额存单、同业存单、债券回购、货币基金等货币市场工具；</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4.公开募集基础设施证券投资基金等符合监管要求的公募证券投资基金；</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5.投资范围为上述资产的信托计划、资产管理计划等资产管理产品；</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6.法律法规或监管机构允许投资的符合本理财产品投资性质的其他金融工具；</w:t>
            </w:r>
          </w:p>
          <w:p>
            <w:pPr>
              <w:autoSpaceDN w:val="0"/>
              <w:spacing w:beforeLines="0" w:afterLines="0"/>
              <w:rPr>
                <w:rFonts w:hint="eastAsia" w:ascii="方正黑体_GBK" w:hAnsi="方正黑体_GBK" w:eastAsia="方正黑体_GBK" w:cs="宋体"/>
                <w:color w:val="auto"/>
                <w:kern w:val="2"/>
                <w:sz w:val="21"/>
                <w:szCs w:val="21"/>
                <w:lang w:val="en-US" w:eastAsia="zh-CN" w:bidi="ar"/>
              </w:rPr>
            </w:pPr>
            <w:r>
              <w:rPr>
                <w:rFonts w:hint="eastAsia" w:ascii="方正黑体_GBK" w:hAnsi="方正黑体_GBK" w:eastAsia="方正黑体_GBK" w:cs="宋体"/>
                <w:color w:val="auto"/>
                <w:sz w:val="21"/>
                <w:szCs w:val="21"/>
                <w:lang w:bidi="ar"/>
              </w:rPr>
              <w:t>7.如存在法律法规或监管机构以后允许投资的其他品种或法律法规或监管政策出现调整，管理人在履行本理财产品销售文件规定的适当程序后，有权调整以上品种。</w:t>
            </w:r>
          </w:p>
        </w:tc>
        <w:tc>
          <w:tcPr>
            <w:tcW w:w="1414" w:type="pct"/>
            <w:vAlign w:val="center"/>
          </w:tcPr>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本理财产品募集的资金投资于以下金融资产和金融工具，包括但不限于：</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1.现金、银行存款、银行承兑汇票、同业存款、大额存单、同业存单、债券回购、货币基金等货币市场工具；</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3.股票、公募混合型或股票型证券投资基金等权益类资产；</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4.公开募集基础设施证券投资基金等符合监管要求的公募证券投资基金；</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5.投资范围为上述资产的信托计划、资产管理计划等资产管理产品；</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6.法律法规或监管机构允许投资的符合本理财产品投资性质的其他金融工具。</w:t>
            </w:r>
          </w:p>
          <w:p>
            <w:pPr>
              <w:widowControl/>
              <w:spacing w:beforeLines="0" w:afterLines="0"/>
              <w:jc w:val="center"/>
              <w:rPr>
                <w:rFonts w:hint="eastAsia" w:ascii="方正黑体_GBK" w:hAnsi="方正黑体_GBK" w:eastAsia="方正黑体_GBK" w:cs="方正黑体_GBK"/>
                <w:kern w:val="2"/>
                <w:sz w:val="21"/>
                <w:szCs w:val="21"/>
                <w:lang w:val="en-US" w:eastAsia="zh-CN" w:bidi="ar-SA"/>
              </w:rPr>
            </w:pPr>
          </w:p>
        </w:tc>
        <w:tc>
          <w:tcPr>
            <w:tcW w:w="754" w:type="pct"/>
            <w:vAlign w:val="center"/>
          </w:tcPr>
          <w:p>
            <w:pPr>
              <w:widowControl/>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2026年9月</w:t>
            </w:r>
            <w:r>
              <w:rPr>
                <w:rFonts w:hint="eastAsia" w:ascii="方正黑体_GBK" w:hAnsi="方正黑体_GBK" w:eastAsia="方正黑体_GBK" w:cs="方正黑体_GBK"/>
                <w:sz w:val="21"/>
                <w:szCs w:val="21"/>
                <w:lang w:val="en-US" w:eastAsia="zh-CN"/>
              </w:rPr>
              <w:t>23</w:t>
            </w:r>
            <w:r>
              <w:rPr>
                <w:rFonts w:hint="eastAsia" w:ascii="方正黑体_GBK" w:hAnsi="方正黑体_GBK" w:eastAsia="方正黑体_GBK" w:cs="方正黑体_GBK"/>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0" w:type="pct"/>
            <w:vAlign w:val="center"/>
          </w:tcPr>
          <w:p>
            <w:pPr>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Z1003</w:t>
            </w:r>
            <w:r>
              <w:rPr>
                <w:rFonts w:hint="eastAsia" w:ascii="方正黑体_GBK" w:hAnsi="方正黑体_GBK" w:eastAsia="方正黑体_GBK" w:cs="方正黑体_GBK"/>
                <w:sz w:val="21"/>
                <w:szCs w:val="21"/>
                <w:lang w:val="en-US" w:eastAsia="zh-CN"/>
              </w:rPr>
              <w:t>9</w:t>
            </w:r>
          </w:p>
        </w:tc>
        <w:tc>
          <w:tcPr>
            <w:tcW w:w="686" w:type="pct"/>
            <w:vAlign w:val="center"/>
          </w:tcPr>
          <w:p>
            <w:pPr>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投资比例</w:t>
            </w:r>
          </w:p>
        </w:tc>
        <w:tc>
          <w:tcPr>
            <w:tcW w:w="1583" w:type="pct"/>
            <w:vAlign w:val="center"/>
          </w:tcPr>
          <w:p>
            <w:pPr>
              <w:spacing w:beforeLines="0" w:afterLines="0"/>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宋体"/>
                <w:sz w:val="21"/>
                <w:szCs w:val="21"/>
              </w:rPr>
              <w:t>本理财产品投资于固定收益类资产的比例不低于80%,投资于非标准化债权类资产的比例不高于50%。</w:t>
            </w:r>
          </w:p>
        </w:tc>
        <w:tc>
          <w:tcPr>
            <w:tcW w:w="1414" w:type="pct"/>
            <w:vAlign w:val="center"/>
          </w:tcPr>
          <w:p>
            <w:pPr>
              <w:autoSpaceDN w:val="0"/>
              <w:spacing w:beforeLines="0" w:afterLines="0"/>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宋体"/>
                <w:color w:val="auto"/>
                <w:sz w:val="21"/>
                <w:szCs w:val="21"/>
                <w:lang w:bidi="ar"/>
              </w:rPr>
              <w:t>本理财产品投资于固定收益类资产的比例不低于80%,投资于权益类资产的比例不高于20%。</w:t>
            </w:r>
          </w:p>
        </w:tc>
        <w:tc>
          <w:tcPr>
            <w:tcW w:w="754" w:type="pct"/>
            <w:vAlign w:val="center"/>
          </w:tcPr>
          <w:p>
            <w:pPr>
              <w:widowControl/>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2026年9月</w:t>
            </w:r>
            <w:r>
              <w:rPr>
                <w:rFonts w:hint="eastAsia" w:ascii="方正黑体_GBK" w:hAnsi="方正黑体_GBK" w:eastAsia="方正黑体_GBK" w:cs="方正黑体_GBK"/>
                <w:sz w:val="21"/>
                <w:szCs w:val="21"/>
                <w:lang w:val="en-US" w:eastAsia="zh-CN"/>
              </w:rPr>
              <w:t>23</w:t>
            </w:r>
            <w:r>
              <w:rPr>
                <w:rFonts w:hint="eastAsia" w:ascii="方正黑体_GBK" w:hAnsi="方正黑体_GBK" w:eastAsia="方正黑体_GBK" w:cs="方正黑体_GBK"/>
                <w:sz w:val="21"/>
                <w:szCs w:val="21"/>
              </w:rPr>
              <w:t>日</w:t>
            </w:r>
          </w:p>
        </w:tc>
      </w:tr>
    </w:tbl>
    <w:p>
      <w:pPr>
        <w:autoSpaceDE w:val="0"/>
        <w:autoSpaceDN w:val="0"/>
        <w:adjustRightInd w:val="0"/>
        <w:spacing w:line="360" w:lineRule="auto"/>
        <w:ind w:firstLine="480" w:firstLineChars="200"/>
        <w:rPr>
          <w:rFonts w:hint="eastAsia" w:ascii="方正黑体_GBK" w:hAnsi="方正黑体_GBK" w:eastAsia="方正黑体_GBK" w:cs="方正黑体_GBK"/>
          <w:color w:val="000000"/>
          <w:kern w:val="0"/>
          <w:sz w:val="24"/>
        </w:rPr>
      </w:pPr>
      <w:r>
        <w:rPr>
          <w:rFonts w:hint="eastAsia" w:ascii="方正黑体_GBK" w:hAnsi="方正黑体_GBK" w:eastAsia="方正黑体_GBK" w:cs="方正黑体_GBK"/>
          <w:color w:val="000000"/>
          <w:kern w:val="0"/>
          <w:sz w:val="24"/>
        </w:rPr>
        <w:t>如您不同意上述调整，可于20</w:t>
      </w:r>
      <w:r>
        <w:rPr>
          <w:rFonts w:hint="eastAsia" w:ascii="方正黑体_GBK" w:hAnsi="方正黑体_GBK" w:eastAsia="方正黑体_GBK" w:cs="方正黑体_GBK"/>
          <w:color w:val="000000"/>
          <w:kern w:val="0"/>
          <w:sz w:val="24"/>
          <w:lang w:val="en-US" w:eastAsia="zh-CN"/>
        </w:rPr>
        <w:t>26</w:t>
      </w:r>
      <w:r>
        <w:rPr>
          <w:rFonts w:hint="eastAsia" w:ascii="方正黑体_GBK" w:hAnsi="方正黑体_GBK" w:eastAsia="方正黑体_GBK" w:cs="方正黑体_GBK"/>
          <w:color w:val="000000"/>
          <w:kern w:val="0"/>
          <w:sz w:val="24"/>
        </w:rPr>
        <w:t>年</w:t>
      </w:r>
      <w:r>
        <w:rPr>
          <w:rFonts w:hint="eastAsia" w:ascii="方正黑体_GBK" w:hAnsi="方正黑体_GBK" w:eastAsia="方正黑体_GBK" w:cs="方正黑体_GBK"/>
          <w:color w:val="000000"/>
          <w:kern w:val="0"/>
          <w:sz w:val="24"/>
          <w:lang w:val="en-US" w:eastAsia="zh-CN"/>
        </w:rPr>
        <w:t>9</w:t>
      </w:r>
      <w:r>
        <w:rPr>
          <w:rFonts w:hint="eastAsia" w:ascii="方正黑体_GBK" w:hAnsi="方正黑体_GBK" w:eastAsia="方正黑体_GBK" w:cs="方正黑体_GBK"/>
          <w:color w:val="000000"/>
          <w:kern w:val="0"/>
          <w:sz w:val="24"/>
        </w:rPr>
        <w:t>月</w:t>
      </w:r>
      <w:r>
        <w:rPr>
          <w:rFonts w:hint="eastAsia" w:ascii="方正黑体_GBK" w:hAnsi="方正黑体_GBK" w:eastAsia="方正黑体_GBK" w:cs="方正黑体_GBK"/>
          <w:color w:val="000000"/>
          <w:kern w:val="0"/>
          <w:sz w:val="24"/>
          <w:lang w:val="en-US" w:eastAsia="zh-CN"/>
        </w:rPr>
        <w:t>16</w:t>
      </w:r>
      <w:r>
        <w:rPr>
          <w:rFonts w:hint="eastAsia" w:ascii="方正黑体_GBK" w:hAnsi="方正黑体_GBK" w:eastAsia="方正黑体_GBK" w:cs="方正黑体_GBK"/>
          <w:color w:val="000000"/>
          <w:kern w:val="0"/>
          <w:sz w:val="24"/>
        </w:rPr>
        <w:t>日至20</w:t>
      </w:r>
      <w:r>
        <w:rPr>
          <w:rFonts w:hint="eastAsia" w:ascii="方正黑体_GBK" w:hAnsi="方正黑体_GBK" w:eastAsia="方正黑体_GBK" w:cs="方正黑体_GBK"/>
          <w:color w:val="000000"/>
          <w:kern w:val="0"/>
          <w:sz w:val="24"/>
          <w:lang w:val="en-US" w:eastAsia="zh-CN"/>
        </w:rPr>
        <w:t>26</w:t>
      </w:r>
      <w:r>
        <w:rPr>
          <w:rFonts w:hint="eastAsia" w:ascii="方正黑体_GBK" w:hAnsi="方正黑体_GBK" w:eastAsia="方正黑体_GBK" w:cs="方正黑体_GBK"/>
          <w:color w:val="000000"/>
          <w:kern w:val="0"/>
          <w:sz w:val="24"/>
        </w:rPr>
        <w:t>年</w:t>
      </w:r>
      <w:r>
        <w:rPr>
          <w:rFonts w:hint="eastAsia" w:ascii="方正黑体_GBK" w:hAnsi="方正黑体_GBK" w:eastAsia="方正黑体_GBK" w:cs="方正黑体_GBK"/>
          <w:color w:val="000000"/>
          <w:kern w:val="0"/>
          <w:sz w:val="24"/>
          <w:lang w:val="en-US" w:eastAsia="zh-CN"/>
        </w:rPr>
        <w:t>9</w:t>
      </w:r>
      <w:r>
        <w:rPr>
          <w:rFonts w:hint="eastAsia" w:ascii="方正黑体_GBK" w:hAnsi="方正黑体_GBK" w:eastAsia="方正黑体_GBK" w:cs="方正黑体_GBK"/>
          <w:color w:val="000000"/>
          <w:kern w:val="0"/>
          <w:sz w:val="24"/>
        </w:rPr>
        <w:t>月</w:t>
      </w:r>
      <w:r>
        <w:rPr>
          <w:rFonts w:hint="eastAsia" w:ascii="方正黑体_GBK" w:hAnsi="方正黑体_GBK" w:eastAsia="方正黑体_GBK" w:cs="方正黑体_GBK"/>
          <w:color w:val="000000"/>
          <w:kern w:val="0"/>
          <w:sz w:val="24"/>
          <w:lang w:val="en-US" w:eastAsia="zh-CN"/>
        </w:rPr>
        <w:t>22</w:t>
      </w:r>
      <w:r>
        <w:rPr>
          <w:rFonts w:hint="eastAsia" w:ascii="方正黑体_GBK" w:hAnsi="方正黑体_GBK" w:eastAsia="方正黑体_GBK" w:cs="方正黑体_GBK"/>
          <w:color w:val="000000"/>
          <w:kern w:val="0"/>
          <w:sz w:val="24"/>
        </w:rPr>
        <w:t>日（产品申购/赎回开放期期间）通过销售机构向管理人申请赎回。</w:t>
      </w:r>
    </w:p>
    <w:p>
      <w:pPr>
        <w:autoSpaceDE w:val="0"/>
        <w:autoSpaceDN w:val="0"/>
        <w:adjustRightInd w:val="0"/>
        <w:spacing w:line="360" w:lineRule="auto"/>
        <w:ind w:firstLine="480" w:firstLineChars="200"/>
        <w:rPr>
          <w:rFonts w:hint="eastAsia" w:ascii="方正黑体_GBK" w:hAnsi="方正黑体_GBK" w:eastAsia="方正黑体_GBK" w:cs="方正黑体_GBK"/>
          <w:color w:val="000000"/>
          <w:kern w:val="0"/>
          <w:sz w:val="24"/>
        </w:rPr>
      </w:pPr>
      <w:r>
        <w:rPr>
          <w:rFonts w:hint="eastAsia" w:ascii="方正黑体_GBK" w:hAnsi="方正黑体_GBK" w:eastAsia="方正黑体_GBK" w:cs="方正黑体_GBK"/>
          <w:color w:val="000000"/>
          <w:kern w:val="0"/>
          <w:sz w:val="24"/>
        </w:rPr>
        <w:t>上述调整事项以本次公告为准，本产品其他信息仍以销售文件约定为准。如后续管理人更新销售文件，您可通过约定的信息披露渠道查询更新后的销售文件及公告。</w:t>
      </w:r>
    </w:p>
    <w:p>
      <w:pPr>
        <w:ind w:firstLine="480" w:firstLineChars="200"/>
        <w:rPr>
          <w:rFonts w:hint="eastAsia" w:ascii="方正黑体_GBK" w:hAnsi="方正黑体_GBK" w:eastAsia="方正黑体_GBK" w:cs="方正黑体_GBK"/>
        </w:rPr>
      </w:pPr>
      <w:r>
        <w:rPr>
          <w:rFonts w:hint="eastAsia" w:ascii="方正黑体_GBK" w:hAnsi="方正黑体_GBK" w:eastAsia="方正黑体_GBK" w:cs="方正黑体_GBK"/>
          <w:color w:val="000000"/>
          <w:kern w:val="0"/>
          <w:sz w:val="24"/>
        </w:rPr>
        <w:t>特此公告。</w:t>
      </w:r>
    </w:p>
    <w:p>
      <w:pPr>
        <w:spacing w:after="0" w:line="560" w:lineRule="exact"/>
        <w:ind w:firstLine="420"/>
        <w:jc w:val="right"/>
        <w:rPr>
          <w:rFonts w:ascii="方正黑体_GBK" w:hAnsi="方正黑体_GBK" w:eastAsia="方正黑体_GBK" w:cs="方正黑体_GBK"/>
          <w:lang w:eastAsia="zh-CN"/>
        </w:rPr>
      </w:pPr>
      <w:r>
        <w:rPr>
          <w:rFonts w:hint="eastAsia" w:ascii="方正黑体_GBK" w:hAnsi="方正黑体_GBK" w:eastAsia="方正黑体_GBK" w:cs="方正黑体_GBK"/>
          <w:sz w:val="24"/>
        </w:rPr>
        <w:t xml:space="preserve">     </w:t>
      </w:r>
      <w:r>
        <w:rPr>
          <w:rFonts w:hint="eastAsia" w:ascii="方正黑体_GBK" w:hAnsi="方正黑体_GBK" w:eastAsia="方正黑体_GBK" w:cs="方正黑体_GBK"/>
          <w:lang w:eastAsia="zh-CN"/>
        </w:rPr>
        <w:t>南银理财有限责任公司</w:t>
      </w:r>
      <w:r>
        <w:rPr>
          <w:rFonts w:hint="eastAsia" w:ascii="方正黑体_GBK" w:hAnsi="方正黑体_GBK" w:eastAsia="方正黑体_GBK" w:cs="方正黑体_GBK"/>
          <w:lang w:eastAsia="zh-CN"/>
        </w:rPr>
        <w:br w:type="textWrapping"/>
      </w:r>
      <w:r>
        <w:rPr>
          <w:rFonts w:ascii="方正黑体_GBK" w:hAnsi="方正黑体_GBK" w:eastAsia="方正黑体_GBK" w:cs="方正黑体_GBK"/>
          <w:lang w:eastAsia="zh-CN"/>
        </w:rPr>
        <w:t>2026</w:t>
      </w:r>
      <w:r>
        <w:rPr>
          <w:rFonts w:hint="eastAsia" w:ascii="方正黑体_GBK" w:hAnsi="方正黑体_GBK" w:eastAsia="方正黑体_GBK" w:cs="方正黑体_GBK"/>
          <w:lang w:eastAsia="zh-CN"/>
        </w:rPr>
        <w:t>年</w:t>
      </w:r>
      <w:r>
        <w:rPr>
          <w:rFonts w:hint="eastAsia" w:ascii="方正黑体_GBK" w:hAnsi="方正黑体_GBK" w:eastAsia="方正黑体_GBK" w:cs="方正黑体_GBK"/>
          <w:lang w:val="en-US" w:eastAsia="zh-CN"/>
        </w:rPr>
        <w:t>9</w:t>
      </w:r>
      <w:r>
        <w:rPr>
          <w:rFonts w:hint="eastAsia" w:ascii="方正黑体_GBK" w:hAnsi="方正黑体_GBK" w:eastAsia="方正黑体_GBK" w:cs="方正黑体_GBK"/>
          <w:lang w:eastAsia="zh-CN"/>
        </w:rPr>
        <w:t>月</w:t>
      </w:r>
      <w:r>
        <w:rPr>
          <w:rFonts w:hint="eastAsia" w:ascii="方正黑体_GBK" w:hAnsi="方正黑体_GBK" w:eastAsia="方正黑体_GBK" w:cs="方正黑体_GBK"/>
          <w:lang w:val="en-US" w:eastAsia="zh-CN"/>
        </w:rPr>
        <w:t>11</w:t>
      </w:r>
      <w:r>
        <w:rPr>
          <w:rFonts w:hint="eastAsia" w:ascii="方正黑体_GBK" w:hAnsi="方正黑体_GBK" w:eastAsia="方正黑体_GBK" w:cs="方正黑体_GBK"/>
          <w:lang w:eastAsia="zh-CN"/>
        </w:rPr>
        <w:t>日</w:t>
      </w:r>
    </w:p>
    <w:p>
      <w:pPr>
        <w:jc w:val="right"/>
        <w:rPr>
          <w:rFonts w:hint="eastAsia" w:ascii="方正黑体_GBK" w:hAnsi="方正黑体_GBK" w:eastAsia="方正黑体_GBK" w:cs="方正黑体_GBK"/>
        </w:rPr>
      </w:pPr>
    </w:p>
    <w:p>
      <w:pPr>
        <w:rPr>
          <w:rFonts w:hint="eastAsia" w:ascii="方正黑体_GBK" w:hAnsi="方正黑体_GBK" w:eastAsia="方正黑体_GBK" w:cs="方正黑体_GBK"/>
        </w:rPr>
      </w:pPr>
    </w:p>
    <w:p>
      <w:pPr>
        <w:rPr>
          <w:rFonts w:hint="eastAsia" w:ascii="方正黑体_GBK" w:hAnsi="方正黑体_GBK" w:eastAsia="方正黑体_GBK" w:cs="方正黑体_GBK"/>
        </w:rPr>
      </w:pPr>
    </w:p>
    <w:p>
      <w:pPr>
        <w:rPr>
          <w:rFonts w:hint="eastAsia" w:ascii="方正黑体_GBK" w:hAnsi="方正黑体_GBK" w:eastAsia="方正黑体_GBK" w:cs="方正黑体_GBK"/>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9211E8"/>
    <w:rsid w:val="272530A3"/>
    <w:rsid w:val="3A3B2638"/>
    <w:rsid w:val="3CAC4C50"/>
    <w:rsid w:val="64B63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Default Paragraph Font1b76f4aa1b76f4aa"/>
    <w:basedOn w:val="3"/>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Njcb</Company>
  <Pages>1</Pages>
  <Words>0</Words>
  <Characters>0</Characters>
  <Lines>0</Lines>
  <Paragraphs>0</Paragraphs>
  <TotalTime>34</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2026-09-01T09:41:00Z</dcterms:created>
  <dc:creator>PC</dc:creator>
  <cp:lastModifiedBy>PC</cp:lastModifiedBy>
  <dcterms:modified xsi:type="dcterms:W3CDTF">2026-09-07T03:27:06Z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A2FBFDE0072D44E2AA7C526B9FA5710A</vt:lpwstr>
  </property>
</Properties>
</file>