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关于南银理财鼎瑞行稳一年定开2024第</w:t>
      </w: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3</w:t>
      </w:r>
      <w:r>
        <w:rPr>
          <w:rFonts w:hint="eastAsia" w:ascii="方正黑体_GBK" w:hAnsi="方正黑体_GBK" w:eastAsia="方正黑体_GBK" w:cs="方正黑体_GBK"/>
          <w:sz w:val="30"/>
          <w:szCs w:val="30"/>
        </w:rPr>
        <w:t>期公募人民币理财产品实施阶段性费率优惠的公告</w:t>
      </w:r>
    </w:p>
    <w:p>
      <w:pPr>
        <w:snapToGrid w:val="0"/>
        <w:spacing w:before="156" w:beforeLines="50" w:after="156" w:afterLines="50" w:line="360" w:lineRule="auto"/>
        <w:rPr>
          <w:rFonts w:hint="eastAsia" w:ascii="方正黑体_GBK" w:hAnsi="方正黑体_GBK" w:eastAsia="方正黑体_GBK" w:cs="方正黑体_GBK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>尊敬的投资者：</w:t>
      </w:r>
    </w:p>
    <w:p>
      <w:pPr>
        <w:snapToGrid w:val="0"/>
        <w:spacing w:before="156" w:beforeLines="50" w:after="156" w:afterLines="50"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南银理财鼎瑞行稳一年定开2024第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3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期公募人民币理财产品（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产品登记编码：Z7003224000186；产品代码：</w:t>
      </w:r>
      <w:r>
        <w:rPr>
          <w:rFonts w:hint="eastAsia" w:ascii="方正黑体_GBK" w:hAnsi="方正黑体_GBK" w:eastAsia="方正黑体_GBK" w:cs="方正黑体_GBK"/>
          <w:color w:val="000000"/>
          <w:sz w:val="24"/>
          <w:lang w:val="en-US" w:eastAsia="zh-CN"/>
        </w:rPr>
        <w:t>ZZ700322400387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）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将实施阶段性费率优惠，具体内容如下：</w:t>
      </w:r>
    </w:p>
    <w:tbl>
      <w:tblPr>
        <w:tblStyle w:val="2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1269"/>
        <w:gridCol w:w="1468"/>
        <w:gridCol w:w="1468"/>
        <w:gridCol w:w="1498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8" w:type="pct"/>
            <w:vAlign w:val="center"/>
          </w:tcPr>
          <w:p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份额代码</w:t>
            </w:r>
          </w:p>
        </w:tc>
        <w:tc>
          <w:tcPr>
            <w:tcW w:w="759" w:type="pct"/>
            <w:vAlign w:val="center"/>
          </w:tcPr>
          <w:p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费用类别</w:t>
            </w:r>
          </w:p>
        </w:tc>
        <w:tc>
          <w:tcPr>
            <w:tcW w:w="878" w:type="pct"/>
            <w:vAlign w:val="center"/>
          </w:tcPr>
          <w:p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销售文件约定费率</w:t>
            </w:r>
          </w:p>
        </w:tc>
        <w:tc>
          <w:tcPr>
            <w:tcW w:w="878" w:type="pct"/>
            <w:vAlign w:val="center"/>
          </w:tcPr>
          <w:p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优惠后费率</w:t>
            </w:r>
          </w:p>
        </w:tc>
        <w:tc>
          <w:tcPr>
            <w:tcW w:w="896" w:type="pct"/>
            <w:vAlign w:val="center"/>
          </w:tcPr>
          <w:p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优惠生效日期（含）</w:t>
            </w:r>
          </w:p>
        </w:tc>
        <w:tc>
          <w:tcPr>
            <w:tcW w:w="827" w:type="pct"/>
            <w:vAlign w:val="center"/>
          </w:tcPr>
          <w:p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优惠截止日期（含）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758" w:type="pct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Z100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39</w:t>
            </w:r>
          </w:p>
        </w:tc>
        <w:tc>
          <w:tcPr>
            <w:tcW w:w="759" w:type="pct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固定管理费</w:t>
            </w:r>
          </w:p>
        </w:tc>
        <w:tc>
          <w:tcPr>
            <w:tcW w:w="878" w:type="pct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0.50%/年</w:t>
            </w:r>
          </w:p>
        </w:tc>
        <w:tc>
          <w:tcPr>
            <w:tcW w:w="878" w:type="pct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0.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30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%/年</w:t>
            </w:r>
          </w:p>
        </w:tc>
        <w:tc>
          <w:tcPr>
            <w:tcW w:w="896" w:type="pct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2026-0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9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-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23</w:t>
            </w:r>
          </w:p>
        </w:tc>
        <w:tc>
          <w:tcPr>
            <w:tcW w:w="827" w:type="pct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另行公告</w:t>
            </w:r>
          </w:p>
        </w:tc>
      </w:tr>
    </w:tbl>
    <w:p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后续若有调整，请以最新公告为准。</w:t>
      </w:r>
    </w:p>
    <w:p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上述调整事项以本次公告为准，本产品其他信息仍以销售文件约定为准。如后续管理人更新销售文件，您可通过约定的信息披露渠道查询更新后的销售文件及公告。</w:t>
      </w:r>
    </w:p>
    <w:p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jc w:val="left"/>
        <w:rPr>
          <w:rFonts w:hint="eastAsia" w:ascii="方正黑体_GBK" w:hAnsi="方正黑体_GBK" w:eastAsia="方正黑体_GBK" w:cs="方正黑体_GBK"/>
          <w:color w:val="000000"/>
          <w:kern w:val="0"/>
          <w:sz w:val="24"/>
          <w:u w:val="singl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 xml:space="preserve">特此公告。  </w:t>
      </w:r>
    </w:p>
    <w:p>
      <w:pPr>
        <w:spacing w:after="0" w:line="560" w:lineRule="exact"/>
        <w:ind w:firstLine="420"/>
        <w:jc w:val="right"/>
        <w:rPr>
          <w:rFonts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南银理财有限责任公司</w:t>
      </w:r>
      <w:r>
        <w:rPr>
          <w:rFonts w:hint="eastAsia" w:ascii="方正黑体_GBK" w:hAnsi="方正黑体_GBK" w:eastAsia="方正黑体_GBK" w:cs="方正黑体_GBK"/>
          <w:lang w:eastAsia="zh-CN"/>
        </w:rPr>
        <w:br w:type="textWrapping"/>
      </w:r>
      <w:r>
        <w:rPr>
          <w:rFonts w:ascii="方正黑体_GBK" w:hAnsi="方正黑体_GBK" w:eastAsia="方正黑体_GBK" w:cs="方正黑体_GBK"/>
          <w:lang w:eastAsia="zh-CN"/>
        </w:rPr>
        <w:t>2026</w:t>
      </w:r>
      <w:r>
        <w:rPr>
          <w:rFonts w:hint="eastAsia" w:ascii="方正黑体_GBK" w:hAnsi="方正黑体_GBK" w:eastAsia="方正黑体_GBK" w:cs="方正黑体_GBK"/>
          <w:lang w:eastAsia="zh-CN"/>
        </w:rPr>
        <w:t>年</w:t>
      </w:r>
      <w:r>
        <w:rPr>
          <w:rFonts w:hint="eastAsia" w:ascii="方正黑体_GBK" w:hAnsi="方正黑体_GBK" w:eastAsia="方正黑体_GBK" w:cs="方正黑体_GBK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lang w:eastAsia="zh-CN"/>
        </w:rPr>
        <w:t>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11</w:t>
      </w:r>
      <w:r>
        <w:rPr>
          <w:rFonts w:hint="eastAsia" w:ascii="方正黑体_GBK" w:hAnsi="方正黑体_GBK" w:eastAsia="方正黑体_GBK" w:cs="方正黑体_GBK"/>
          <w:lang w:eastAsia="zh-CN"/>
        </w:rPr>
        <w:t>日</w:t>
      </w:r>
    </w:p>
    <w:p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jc w:val="right"/>
        <w:rPr>
          <w:rFonts w:hint="eastAsia" w:ascii="方正黑体_GBK" w:hAnsi="方正黑体_GBK" w:eastAsia="方正黑体_GBK" w:cs="方正黑体_GBK"/>
          <w:color w:val="000000"/>
          <w:kern w:val="0"/>
          <w:sz w:val="24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935A5"/>
    <w:rsid w:val="027935A5"/>
    <w:rsid w:val="1C444E0E"/>
    <w:rsid w:val="2D624208"/>
    <w:rsid w:val="36625EF3"/>
    <w:rsid w:val="6D29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Njcb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2026-09-01T09:55:00Z</dcterms:created>
  <dc:creator>PC</dc:creator>
  <cp:lastModifiedBy>PC</cp:lastModifiedBy>
  <dcterms:modified xsi:type="dcterms:W3CDTF">2026-09-07T03:28:40Z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17809B9E1FF54425826F8E3ECF912D24</vt:lpwstr>
  </property>
</Properties>
</file>